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D289A" w14:textId="377B00FB" w:rsidR="00707565" w:rsidRDefault="00707565" w:rsidP="00D92212">
      <w:pPr>
        <w:ind w:left="6387" w:right="49" w:hanging="378"/>
        <w:jc w:val="center"/>
        <w:rPr>
          <w:b/>
          <w:szCs w:val="24"/>
        </w:rPr>
      </w:pPr>
      <w:r>
        <w:rPr>
          <w:b/>
        </w:rPr>
        <w:t>Projet</w:t>
      </w:r>
    </w:p>
    <w:p w14:paraId="4A4B6B25" w14:textId="77777777" w:rsidR="00707565" w:rsidRDefault="00707565" w:rsidP="00707565">
      <w:pPr>
        <w:ind w:left="7749" w:right="333" w:hanging="378"/>
        <w:rPr>
          <w:b/>
          <w:szCs w:val="24"/>
        </w:rPr>
      </w:pPr>
    </w:p>
    <w:p w14:paraId="5743EC91" w14:textId="77777777" w:rsidR="00F57874" w:rsidRPr="00A5009C" w:rsidRDefault="00010B6F">
      <w:pPr>
        <w:jc w:val="center"/>
        <w:rPr>
          <w:b/>
          <w:caps/>
        </w:rPr>
      </w:pPr>
      <w:r>
        <w:rPr>
          <w:b/>
          <w:caps/>
        </w:rPr>
        <w:t>LOI</w:t>
      </w:r>
    </w:p>
    <w:p w14:paraId="0740D84F" w14:textId="5A84A9FA" w:rsidR="00DE3FCE" w:rsidRPr="00C04037" w:rsidRDefault="00DE3FCE" w:rsidP="00DE3FCE">
      <w:pPr>
        <w:jc w:val="center"/>
        <w:rPr>
          <w:b/>
          <w:caps/>
        </w:rPr>
      </w:pPr>
      <w:r>
        <w:rPr>
          <w:b/>
          <w:caps/>
        </w:rPr>
        <w:t>SUR LES MODIFICATIONS DES ARTICLES 2 ET 20</w:t>
      </w:r>
      <w:r>
        <w:rPr>
          <w:b/>
          <w:caps/>
          <w:vertAlign w:val="superscript"/>
        </w:rPr>
        <w:t>7</w:t>
      </w:r>
      <w:r>
        <w:rPr>
          <w:b/>
          <w:caps/>
        </w:rPr>
        <w:t xml:space="preserve"> DE LA LOI SUR LES JEUX DE HASARD DE LA RÉPUBLIQUE DE LITUANIE</w:t>
      </w:r>
    </w:p>
    <w:p w14:paraId="5A20FC9E" w14:textId="43E302BE" w:rsidR="00F57874" w:rsidRPr="00C04037" w:rsidRDefault="00DE3FCE" w:rsidP="00DE3FCE">
      <w:pPr>
        <w:jc w:val="center"/>
        <w:rPr>
          <w:b/>
          <w:caps/>
        </w:rPr>
      </w:pPr>
      <w:r>
        <w:rPr>
          <w:b/>
          <w:caps/>
        </w:rPr>
        <w:t xml:space="preserve">Nº IX-325 </w:t>
      </w:r>
    </w:p>
    <w:p w14:paraId="6FB2CCE1" w14:textId="77777777" w:rsidR="007A525D" w:rsidRDefault="007A525D">
      <w:pPr>
        <w:jc w:val="center"/>
        <w:rPr>
          <w:szCs w:val="24"/>
        </w:rPr>
      </w:pPr>
    </w:p>
    <w:p w14:paraId="08D1F4BF" w14:textId="72AC7E82" w:rsidR="00F57874" w:rsidRPr="00F12EAF" w:rsidRDefault="0084154F">
      <w:pPr>
        <w:jc w:val="center"/>
        <w:rPr>
          <w:szCs w:val="24"/>
        </w:rPr>
      </w:pPr>
      <w:r>
        <w:t>Nº      du          2024</w:t>
      </w:r>
    </w:p>
    <w:p w14:paraId="79A6EADF" w14:textId="77777777" w:rsidR="00F57874" w:rsidRPr="00F12EAF" w:rsidRDefault="00010B6F">
      <w:pPr>
        <w:jc w:val="center"/>
        <w:rPr>
          <w:b/>
          <w:szCs w:val="24"/>
        </w:rPr>
      </w:pPr>
      <w:r>
        <w:t>Vilnius</w:t>
      </w:r>
    </w:p>
    <w:p w14:paraId="138D62A7" w14:textId="77777777" w:rsidR="00F57874" w:rsidRPr="00F12EAF" w:rsidRDefault="00F57874">
      <w:pPr>
        <w:spacing w:line="360" w:lineRule="auto"/>
        <w:rPr>
          <w:szCs w:val="24"/>
        </w:rPr>
      </w:pPr>
    </w:p>
    <w:p w14:paraId="0E96E1EE" w14:textId="1B12DBDC" w:rsidR="00761882" w:rsidRDefault="008E583B" w:rsidP="00831EBE">
      <w:pPr>
        <w:ind w:firstLine="720"/>
        <w:jc w:val="both"/>
        <w:rPr>
          <w:b/>
          <w:szCs w:val="24"/>
        </w:rPr>
      </w:pPr>
      <w:r>
        <w:rPr>
          <w:b/>
        </w:rPr>
        <w:t>Article 1. Modification de l’article 2</w:t>
      </w:r>
    </w:p>
    <w:p w14:paraId="56191B23" w14:textId="193C5573" w:rsidR="008074DB" w:rsidRDefault="008074DB" w:rsidP="00831EBE">
      <w:pPr>
        <w:ind w:firstLine="720"/>
        <w:jc w:val="both"/>
        <w:rPr>
          <w:szCs w:val="24"/>
        </w:rPr>
      </w:pPr>
      <w:r>
        <w:t>L’article 2, paragraphe 31 est modifié comme suit:</w:t>
      </w:r>
    </w:p>
    <w:p w14:paraId="2BD267D2" w14:textId="7978C855" w:rsidR="003D1173" w:rsidRDefault="003D1173" w:rsidP="00831EBE">
      <w:pPr>
        <w:ind w:firstLine="720"/>
        <w:jc w:val="both"/>
        <w:rPr>
          <w:color w:val="000000"/>
        </w:rPr>
      </w:pPr>
      <w:r>
        <w:t>«</w:t>
      </w:r>
      <w:r>
        <w:rPr>
          <w:color w:val="000000"/>
        </w:rPr>
        <w:t>31. Le terme «contrôleur» utilisé dans la présente loi s’entend comme le terme «bénéficiaire» au sens de la loi de la République de Lituanie sur la prévention du blanchiment de capitaux et du financement du terrorisme. Les autres termes utilisés dans la présente loi s’entendent au sens de la loi sur la prévention du blanchiment de capitaux et du financement du terrorisme, la loi de la République de Lituanie sur la comptabilité financière et la loi de la République de Lituanie sur les paiements.»</w:t>
      </w:r>
    </w:p>
    <w:p w14:paraId="090E8724" w14:textId="77777777" w:rsidR="003D1173" w:rsidRDefault="003D1173" w:rsidP="00831EBE">
      <w:pPr>
        <w:ind w:firstLine="720"/>
        <w:jc w:val="both"/>
        <w:rPr>
          <w:b/>
          <w:szCs w:val="24"/>
          <w:lang w:eastAsia="lt-LT"/>
        </w:rPr>
      </w:pPr>
    </w:p>
    <w:p w14:paraId="1C48472B" w14:textId="4FFA2E68" w:rsidR="00E4609C" w:rsidRPr="00DA4930" w:rsidRDefault="00761882" w:rsidP="00831EBE">
      <w:pPr>
        <w:ind w:firstLine="720"/>
        <w:jc w:val="both"/>
        <w:rPr>
          <w:b/>
          <w:szCs w:val="24"/>
        </w:rPr>
      </w:pPr>
      <w:r>
        <w:rPr>
          <w:b/>
        </w:rPr>
        <w:t>Article 2. Modification de l’article 20</w:t>
      </w:r>
      <w:r>
        <w:rPr>
          <w:b/>
          <w:vertAlign w:val="superscript"/>
        </w:rPr>
        <w:t>7</w:t>
      </w:r>
    </w:p>
    <w:p w14:paraId="03C9EC55" w14:textId="7E9093D8" w:rsidR="00241196" w:rsidRPr="00AE66B1" w:rsidRDefault="00241196" w:rsidP="00AE66B1">
      <w:pPr>
        <w:ind w:firstLine="720"/>
        <w:jc w:val="both"/>
        <w:rPr>
          <w:color w:val="000000"/>
          <w:szCs w:val="24"/>
        </w:rPr>
      </w:pPr>
      <w:r>
        <w:t>L’article 20</w:t>
      </w:r>
      <w:r>
        <w:rPr>
          <w:vertAlign w:val="superscript"/>
        </w:rPr>
        <w:t>7</w:t>
      </w:r>
      <w:r>
        <w:t xml:space="preserve"> est modifié comme suit:</w:t>
      </w:r>
    </w:p>
    <w:p w14:paraId="0ADC0E89" w14:textId="095860E9" w:rsidR="00391AD2" w:rsidRPr="00D92212" w:rsidRDefault="00241196" w:rsidP="00BE7F0F">
      <w:pPr>
        <w:ind w:left="2268" w:hanging="1548"/>
        <w:jc w:val="both"/>
        <w:rPr>
          <w:bCs/>
          <w:color w:val="000000"/>
          <w:szCs w:val="24"/>
        </w:rPr>
      </w:pPr>
      <w:r>
        <w:rPr>
          <w:color w:val="000000"/>
        </w:rPr>
        <w:t>«</w:t>
      </w:r>
      <w:r>
        <w:rPr>
          <w:b/>
          <w:color w:val="000000"/>
        </w:rPr>
        <w:t>Article 20</w:t>
      </w:r>
      <w:r>
        <w:rPr>
          <w:b/>
          <w:color w:val="000000"/>
          <w:vertAlign w:val="superscript"/>
        </w:rPr>
        <w:t>7</w:t>
      </w:r>
      <w:r>
        <w:rPr>
          <w:b/>
          <w:color w:val="000000"/>
        </w:rPr>
        <w:t xml:space="preserve">. </w:t>
      </w:r>
      <w:r>
        <w:rPr>
          <w:b/>
        </w:rPr>
        <w:t>Mesures de lutte contre les opérateurs illégaux de jeux de hasard à distance et dispositions relatives aux paiements pour la participation à des jeux de hasard à distance</w:t>
      </w:r>
    </w:p>
    <w:p w14:paraId="422F135F" w14:textId="6B476C79" w:rsidR="003712E3" w:rsidRPr="00D92212" w:rsidRDefault="003712E3" w:rsidP="003712E3">
      <w:pPr>
        <w:ind w:firstLine="720"/>
        <w:jc w:val="both"/>
        <w:rPr>
          <w:bCs/>
          <w:color w:val="000000"/>
          <w:szCs w:val="24"/>
        </w:rPr>
      </w:pPr>
      <w:r>
        <w:rPr>
          <w:color w:val="000000"/>
        </w:rPr>
        <w:t>1. Après avoir mené une enquête et constaté qu’un opérateur illégal de jeux de hasard organise des jeux à distance en République de Lituanie, l’autorité lituanienne de contrôle des jeux de hasard émet l’une ou l’autre des instructions obligatoires, ou les deux:</w:t>
      </w:r>
    </w:p>
    <w:p w14:paraId="604E9F0D" w14:textId="1A72885B" w:rsidR="003712E3" w:rsidRPr="00D92212" w:rsidRDefault="00F537F9" w:rsidP="003712E3">
      <w:pPr>
        <w:ind w:firstLine="720"/>
        <w:jc w:val="both"/>
        <w:rPr>
          <w:bCs/>
          <w:color w:val="000000"/>
          <w:szCs w:val="24"/>
        </w:rPr>
      </w:pPr>
      <w:r>
        <w:rPr>
          <w:color w:val="000000"/>
        </w:rPr>
        <w:t>1) le prestataire de services de paiement doit mettre un terme aux paiements ou autres transactions financières relatives à une entité exerçant des activités illégales de jeux de hasard à distance en République de Lituanie, y compris les paiements pour la participation à des jeux de hasard à distance organisés par des opérateurs de jeux illégaux, le paiement des gains et l’acceptation de mises au profit de l’entité organisant des jeux illégaux;</w:t>
      </w:r>
    </w:p>
    <w:p w14:paraId="7077647A" w14:textId="1429E83D" w:rsidR="003712E3" w:rsidRPr="00D92212" w:rsidRDefault="00F537F9" w:rsidP="00433BA1">
      <w:pPr>
        <w:ind w:firstLine="720"/>
        <w:jc w:val="both"/>
        <w:rPr>
          <w:bCs/>
          <w:color w:val="000000"/>
          <w:szCs w:val="24"/>
        </w:rPr>
      </w:pPr>
      <w:r>
        <w:rPr>
          <w:color w:val="000000"/>
        </w:rPr>
        <w:t>2) supprimer, conformément à la procédure prévue à l’article 98 de la loi de la République de Lituanie sur les communications électroniques, les informations utilisées pour l’organisation illégale de jeux de hasard à distance ou supprimer l’accès à ces informations.</w:t>
      </w:r>
    </w:p>
    <w:p w14:paraId="04048991" w14:textId="1BC0D27A" w:rsidR="00433BA1" w:rsidRPr="003E4BE3" w:rsidRDefault="00433BA1" w:rsidP="003E4BE3">
      <w:pPr>
        <w:ind w:firstLine="720"/>
        <w:jc w:val="both"/>
        <w:rPr>
          <w:color w:val="000000"/>
          <w:szCs w:val="24"/>
        </w:rPr>
      </w:pPr>
      <w:bookmarkStart w:id="0" w:name="part_37b00d01355d4d72979c4d23d497bcc2"/>
      <w:bookmarkEnd w:id="0"/>
      <w:r>
        <w:rPr>
          <w:color w:val="000000"/>
        </w:rPr>
        <w:t>2. L’autorité de contrôle, en vue d’émettre l’injonction visée au paragraphe 1, point 1 du présent article, dans un délai de trois jours ouvrables suivant la découverte de l’activité illégale de jeu à distance,</w:t>
      </w:r>
      <w:r>
        <w:t xml:space="preserve"> </w:t>
      </w:r>
      <w:r>
        <w:rPr>
          <w:color w:val="000000"/>
        </w:rPr>
        <w:t xml:space="preserve">soumet une demande d’autorisation de recours à la Cour administrative de première instance. La demande d’autorisation d’agir doit comporter le nom de la personne présumée avoir commis l’infraction, la nature de l’infraction présumée et l’action envisagée. La Cour administrative de première instance examine la demande d’autorisation de poursuite et rend une ordonnance motivée faisant droit ou rejetant la demande d’autorisation de poursuite. La demande d’autorisation de poursuite doit être examinée et une ordonnance doit être rendue au plus tard trois jours après la présentation de la demande d’autorisation de poursuite. Si l’autorité de contrôle n’est pas d’accord avec la décision de la Cour administrative de première instance rejetant une demande d’autorisation de poursuite, celle-ci a le droit de faire appel de cette décision devant la Cour administrative suprême de Lituanie dans un délai de sept jours à compter de cette décision. La Cour administrative suprême de Lituanie doit examiner la demande d’appel contre la décision de la Cour administrative de première instance rejetant la demande d’autorisation de poursuite au plus tard dans un délai de sept jours à compter de la date de réception de la demande de poursuite de l’autorité de contrôle. Le représentant de l’autorité de contrôle a le droit d’être présent lors de l’examen de la demande d’appel dans le cadre d’une procédure orale. Une décision adoptée par la Cour administrative suprême de Lituanie est définitive et ne peut faire l’objet d’aucun recours. Les tribunaux, lors de l’examen des demandes </w:t>
      </w:r>
      <w:r>
        <w:rPr>
          <w:color w:val="000000"/>
        </w:rPr>
        <w:lastRenderedPageBreak/>
        <w:t>d’appel relatives à la délivrance de l’autorisation de poursuite en question, doivent vérifier la confidentialité des informations reçues et des actions envisagées.</w:t>
      </w:r>
    </w:p>
    <w:p w14:paraId="2527BBD0" w14:textId="309CBEA9" w:rsidR="003712E3" w:rsidRDefault="003712E3" w:rsidP="003712E3">
      <w:pPr>
        <w:ind w:firstLine="720"/>
        <w:jc w:val="both"/>
        <w:rPr>
          <w:color w:val="000000"/>
          <w:szCs w:val="24"/>
        </w:rPr>
      </w:pPr>
      <w:r>
        <w:t>3</w:t>
      </w:r>
      <w:r>
        <w:rPr>
          <w:color w:val="000000"/>
        </w:rPr>
        <w:t>. L’autorité de contrôle rend publiques les informations relatives aux opérateurs de jeux de hasard illégaux identifiés qui organisent illégalement des jeux à distance en République de Lituanie (ces opérateurs ne figurent pas sur la liste de l’autorité de contrôle</w:t>
      </w:r>
      <w:r>
        <w:t xml:space="preserve"> </w:t>
      </w:r>
      <w:r>
        <w:rPr>
          <w:color w:val="000000"/>
        </w:rPr>
        <w:t>des entités autorisées à exercer des activités de jeux de hasard à distance en République de Lituanie (ci-après dénommée «liste» dans le présent article) et informe que les activités spécifiées pour la fourniture de services de jeux de hasard à distance sont exercées illégalement.</w:t>
      </w:r>
    </w:p>
    <w:p w14:paraId="5275184C" w14:textId="0A761486" w:rsidR="00E76A47" w:rsidRPr="00D92212" w:rsidRDefault="00E76A47" w:rsidP="00B371EB">
      <w:pPr>
        <w:ind w:firstLine="720"/>
        <w:jc w:val="both"/>
        <w:rPr>
          <w:bCs/>
          <w:iCs/>
        </w:rPr>
      </w:pPr>
      <w:r>
        <w:rPr>
          <w:color w:val="000000"/>
        </w:rPr>
        <w:t>4. Un prestataire de services de paiement n’exécute que des opérations de paiement et/ou de paiement à distance liées à des entités figurant sur la liste ou initiées par carte de paiement au profit de ces entités</w:t>
      </w:r>
      <w:r>
        <w:t xml:space="preserve">. </w:t>
      </w:r>
    </w:p>
    <w:p w14:paraId="5B63201C" w14:textId="55EB2EE4" w:rsidR="00CF58B3" w:rsidRPr="00D92212" w:rsidRDefault="00E76A47" w:rsidP="00CF58B3">
      <w:pPr>
        <w:ind w:firstLine="720"/>
        <w:jc w:val="both"/>
        <w:rPr>
          <w:bCs/>
          <w:iCs/>
        </w:rPr>
      </w:pPr>
      <w:r>
        <w:rPr>
          <w:color w:val="000000"/>
        </w:rPr>
        <w:t>5.</w:t>
      </w:r>
      <w:r>
        <w:t xml:space="preserve"> Une entité est ajoutée à la liste à la date à laquelle une licence de jeux de hasard lui est accordée et est retirée de la liste à la date à laquelle la licence de jeux de hasard est retirée. L’autorité de contrôle publie sur son site web la liste contenant le nom de l’entité juridique, le code de l’entité juridique, le numéro de compte et le numéro unique d’identification de l’opérateur attribué par l’organisme de cartes de paiement. </w:t>
      </w:r>
    </w:p>
    <w:p w14:paraId="067B233A" w14:textId="3391AC68" w:rsidR="003712E3" w:rsidRPr="00D92212" w:rsidRDefault="00241196" w:rsidP="000F7446">
      <w:pPr>
        <w:ind w:firstLine="720"/>
        <w:jc w:val="both"/>
        <w:rPr>
          <w:color w:val="000000"/>
          <w:szCs w:val="24"/>
        </w:rPr>
      </w:pPr>
      <w:r>
        <w:t>6</w:t>
      </w:r>
      <w:r>
        <w:rPr>
          <w:color w:val="000000"/>
        </w:rPr>
        <w:t>. La procédure de limitation des paiements pour la participation à des jeux de hasard à distance organisés par des opérateurs de jeux illégaux et le paiement des gains par l’intermédiaire de prestataires de services de paiement opérant en République de Lituanie est définie par l’autorité de contrôle en accord avec la Banque de Lituanie.»</w:t>
      </w:r>
    </w:p>
    <w:p w14:paraId="716EFF7C" w14:textId="77777777" w:rsidR="002B0F69" w:rsidRDefault="002B0F69" w:rsidP="00AE66B1">
      <w:pPr>
        <w:ind w:right="482"/>
        <w:jc w:val="both"/>
        <w:rPr>
          <w:b/>
          <w:szCs w:val="24"/>
        </w:rPr>
      </w:pPr>
    </w:p>
    <w:p w14:paraId="46F93A0B" w14:textId="2BAD3A38" w:rsidR="00E67D2C" w:rsidRPr="003104C1" w:rsidRDefault="00EC0680" w:rsidP="00E67D2C">
      <w:pPr>
        <w:ind w:right="482" w:firstLine="709"/>
        <w:jc w:val="both"/>
        <w:rPr>
          <w:b/>
          <w:szCs w:val="24"/>
        </w:rPr>
      </w:pPr>
      <w:r>
        <w:rPr>
          <w:b/>
        </w:rPr>
        <w:t>Article 3. Entrée en vigueur et application de la loi</w:t>
      </w:r>
    </w:p>
    <w:p w14:paraId="1BA2B12D" w14:textId="3D6A3722" w:rsidR="00C41FF3" w:rsidRDefault="00E33ED1" w:rsidP="00C41FF3">
      <w:pPr>
        <w:pStyle w:val="BodyTextIndent"/>
        <w:ind w:firstLine="709"/>
        <w:rPr>
          <w:rFonts w:ascii="Times New Roman" w:hAnsi="Times New Roman"/>
          <w:b w:val="0"/>
          <w:szCs w:val="24"/>
        </w:rPr>
      </w:pPr>
      <w:r>
        <w:rPr>
          <w:rFonts w:ascii="Times New Roman" w:hAnsi="Times New Roman"/>
          <w:b w:val="0"/>
        </w:rPr>
        <w:t>1. La présente loi, à l’exception du paragraphe 2 du présent article, entre en vigueur le 1</w:t>
      </w:r>
      <w:r>
        <w:rPr>
          <w:rFonts w:ascii="Times New Roman" w:hAnsi="Times New Roman"/>
          <w:b w:val="0"/>
          <w:vertAlign w:val="superscript"/>
        </w:rPr>
        <w:t>er</w:t>
      </w:r>
      <w:r>
        <w:rPr>
          <w:rFonts w:ascii="Times New Roman" w:hAnsi="Times New Roman"/>
          <w:b w:val="0"/>
        </w:rPr>
        <w:t> mai 2025.</w:t>
      </w:r>
    </w:p>
    <w:p w14:paraId="54F7F9FD" w14:textId="158061E0" w:rsidR="00E33ED1" w:rsidRDefault="00C41FF3" w:rsidP="00AE66B1">
      <w:pPr>
        <w:pStyle w:val="BodyTextIndent"/>
        <w:ind w:firstLine="709"/>
        <w:rPr>
          <w:rFonts w:ascii="Times New Roman" w:hAnsi="Times New Roman"/>
          <w:b w:val="0"/>
          <w:szCs w:val="24"/>
        </w:rPr>
      </w:pPr>
      <w:r>
        <w:rPr>
          <w:rFonts w:ascii="Times New Roman" w:hAnsi="Times New Roman"/>
          <w:b w:val="0"/>
        </w:rPr>
        <w:t>2. Le directeur de l’autorité de contrôle des jeux relevant du ministère des finances de la République de Lituanie adopte les dispositions d’application de la présente loi au plus tard le 31 janvier 2025.</w:t>
      </w:r>
    </w:p>
    <w:p w14:paraId="74BBCE39" w14:textId="0A584CFD" w:rsidR="00D7464E" w:rsidRDefault="00D7464E" w:rsidP="00D7464E">
      <w:pPr>
        <w:pStyle w:val="BodyTextIndent"/>
        <w:ind w:firstLine="709"/>
        <w:rPr>
          <w:rFonts w:ascii="Times New Roman" w:hAnsi="Times New Roman"/>
          <w:b w:val="0"/>
          <w:szCs w:val="24"/>
        </w:rPr>
      </w:pPr>
    </w:p>
    <w:p w14:paraId="69FB9F77" w14:textId="77777777" w:rsidR="00F57874" w:rsidRPr="00F12EAF" w:rsidRDefault="00F57874" w:rsidP="000A312F">
      <w:pPr>
        <w:spacing w:line="360" w:lineRule="auto"/>
        <w:ind w:right="482"/>
        <w:jc w:val="both"/>
        <w:rPr>
          <w:szCs w:val="24"/>
          <w:lang w:eastAsia="lt-LT"/>
        </w:rPr>
      </w:pPr>
    </w:p>
    <w:p w14:paraId="752176DD" w14:textId="77777777" w:rsidR="00F57874" w:rsidRPr="00F12EAF" w:rsidRDefault="00010B6F">
      <w:pPr>
        <w:spacing w:line="360" w:lineRule="auto"/>
        <w:ind w:firstLine="709"/>
        <w:jc w:val="both"/>
        <w:rPr>
          <w:i/>
          <w:szCs w:val="24"/>
        </w:rPr>
      </w:pPr>
      <w:r>
        <w:rPr>
          <w:i/>
        </w:rPr>
        <w:t>Je déclare par la présente cette Loi adoptée par le Seimas (Parlement lituanien) de la République de Lituanie.</w:t>
      </w:r>
    </w:p>
    <w:p w14:paraId="56EBDB07" w14:textId="77777777" w:rsidR="00F57874" w:rsidRPr="00F12EAF" w:rsidRDefault="00F57874">
      <w:pPr>
        <w:spacing w:line="360" w:lineRule="auto"/>
        <w:jc w:val="both"/>
        <w:rPr>
          <w:i/>
          <w:szCs w:val="24"/>
        </w:rPr>
      </w:pPr>
    </w:p>
    <w:p w14:paraId="5D298BDD" w14:textId="479026BE" w:rsidR="00F57874" w:rsidRPr="00F12EAF" w:rsidRDefault="00010B6F" w:rsidP="00AC6C8A">
      <w:pPr>
        <w:spacing w:line="360" w:lineRule="auto"/>
        <w:jc w:val="both"/>
        <w:rPr>
          <w:szCs w:val="24"/>
        </w:rPr>
      </w:pPr>
      <w:r>
        <w:t>Président de la République</w:t>
      </w:r>
    </w:p>
    <w:sectPr w:rsidR="00F57874" w:rsidRPr="00F12EAF" w:rsidSect="00BE7F0F">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9BF88" w14:textId="77777777" w:rsidR="002C310C" w:rsidRDefault="002C310C" w:rsidP="001F1ABF">
      <w:r>
        <w:separator/>
      </w:r>
    </w:p>
  </w:endnote>
  <w:endnote w:type="continuationSeparator" w:id="0">
    <w:p w14:paraId="34D33DD3" w14:textId="77777777" w:rsidR="002C310C" w:rsidRDefault="002C310C" w:rsidP="001F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F7E75" w14:textId="77777777" w:rsidR="002C310C" w:rsidRDefault="002C310C" w:rsidP="001F1ABF">
      <w:r>
        <w:separator/>
      </w:r>
    </w:p>
  </w:footnote>
  <w:footnote w:type="continuationSeparator" w:id="0">
    <w:p w14:paraId="779B6464" w14:textId="77777777" w:rsidR="002C310C" w:rsidRDefault="002C310C" w:rsidP="001F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005187"/>
      <w:docPartObj>
        <w:docPartGallery w:val="Page Numbers (Top of Page)"/>
        <w:docPartUnique/>
      </w:docPartObj>
    </w:sdtPr>
    <w:sdtEndPr/>
    <w:sdtContent>
      <w:p w14:paraId="53FAEA70" w14:textId="22B41E30" w:rsidR="0016788A" w:rsidRDefault="0016788A">
        <w:pPr>
          <w:pStyle w:val="Header"/>
          <w:jc w:val="center"/>
        </w:pPr>
        <w:r>
          <w:fldChar w:fldCharType="begin"/>
        </w:r>
        <w:r>
          <w:instrText>PAGE   \* MERGEFORMAT</w:instrText>
        </w:r>
        <w:r>
          <w:fldChar w:fldCharType="separate"/>
        </w:r>
        <w:r w:rsidR="007B53AE">
          <w:t>2</w:t>
        </w:r>
        <w:r>
          <w:fldChar w:fldCharType="end"/>
        </w:r>
      </w:p>
    </w:sdtContent>
  </w:sdt>
  <w:p w14:paraId="7EE0E976" w14:textId="77777777" w:rsidR="0016788A" w:rsidRDefault="0016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3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9B7C51"/>
    <w:multiLevelType w:val="hybridMultilevel"/>
    <w:tmpl w:val="58C85734"/>
    <w:lvl w:ilvl="0" w:tplc="544C499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9156F56"/>
    <w:multiLevelType w:val="hybridMultilevel"/>
    <w:tmpl w:val="3FC4BBCA"/>
    <w:lvl w:ilvl="0" w:tplc="B192C35A">
      <w:start w:val="1"/>
      <w:numFmt w:val="decimal"/>
      <w:lvlText w:val="%1)"/>
      <w:lvlJc w:val="left"/>
      <w:pPr>
        <w:ind w:left="786" w:hanging="360"/>
      </w:pPr>
      <w:rPr>
        <w:rFonts w:asciiTheme="majorBidi" w:eastAsia="Times New Roman" w:hAnsiTheme="majorBidi" w:cstheme="majorBid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56EE28AE"/>
    <w:multiLevelType w:val="hybridMultilevel"/>
    <w:tmpl w:val="8C9A8424"/>
    <w:lvl w:ilvl="0" w:tplc="F7EE2156">
      <w:start w:val="1"/>
      <w:numFmt w:val="decimal"/>
      <w:lvlText w:val="%1."/>
      <w:lvlJc w:val="left"/>
      <w:pPr>
        <w:ind w:left="1070" w:hanging="360"/>
      </w:pPr>
      <w:rPr>
        <w:rFonts w:asciiTheme="majorBidi" w:eastAsiaTheme="minorHAnsi" w:hAnsiTheme="majorBidi" w:cstheme="majorBidi"/>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75BF6BB0"/>
    <w:multiLevelType w:val="hybridMultilevel"/>
    <w:tmpl w:val="22C0979A"/>
    <w:lvl w:ilvl="0" w:tplc="04270011">
      <w:start w:val="1"/>
      <w:numFmt w:val="decimal"/>
      <w:lvlText w:val="%1)"/>
      <w:lvlJc w:val="left"/>
      <w:pPr>
        <w:ind w:left="1080" w:hanging="360"/>
      </w:pPr>
      <w:rPr>
        <w:color w:val="auto"/>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2444608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334133">
    <w:abstractNumId w:val="0"/>
  </w:num>
  <w:num w:numId="3" w16cid:durableId="1068696381">
    <w:abstractNumId w:val="3"/>
  </w:num>
  <w:num w:numId="4" w16cid:durableId="1280408601">
    <w:abstractNumId w:val="1"/>
  </w:num>
  <w:num w:numId="5" w16cid:durableId="865102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12"/>
    <w:rsid w:val="00004489"/>
    <w:rsid w:val="000109F1"/>
    <w:rsid w:val="00010B6F"/>
    <w:rsid w:val="00010D56"/>
    <w:rsid w:val="000110EE"/>
    <w:rsid w:val="000117CD"/>
    <w:rsid w:val="000124B8"/>
    <w:rsid w:val="00015117"/>
    <w:rsid w:val="00015AE8"/>
    <w:rsid w:val="00015B61"/>
    <w:rsid w:val="00016406"/>
    <w:rsid w:val="000167D3"/>
    <w:rsid w:val="0001796D"/>
    <w:rsid w:val="0002327B"/>
    <w:rsid w:val="00024114"/>
    <w:rsid w:val="00026BB7"/>
    <w:rsid w:val="00026E4A"/>
    <w:rsid w:val="000272A6"/>
    <w:rsid w:val="0003256C"/>
    <w:rsid w:val="000349A7"/>
    <w:rsid w:val="000359ED"/>
    <w:rsid w:val="00036420"/>
    <w:rsid w:val="000365FB"/>
    <w:rsid w:val="00036986"/>
    <w:rsid w:val="0003769C"/>
    <w:rsid w:val="0004057D"/>
    <w:rsid w:val="00040F7A"/>
    <w:rsid w:val="00042A8D"/>
    <w:rsid w:val="00043202"/>
    <w:rsid w:val="0004762E"/>
    <w:rsid w:val="000500D9"/>
    <w:rsid w:val="000515F7"/>
    <w:rsid w:val="0005176F"/>
    <w:rsid w:val="00051E94"/>
    <w:rsid w:val="000539A4"/>
    <w:rsid w:val="000554C8"/>
    <w:rsid w:val="000556DB"/>
    <w:rsid w:val="00057006"/>
    <w:rsid w:val="00060A0A"/>
    <w:rsid w:val="0006123C"/>
    <w:rsid w:val="00061818"/>
    <w:rsid w:val="0006324D"/>
    <w:rsid w:val="00064CA9"/>
    <w:rsid w:val="00067AD7"/>
    <w:rsid w:val="00072E7C"/>
    <w:rsid w:val="00074279"/>
    <w:rsid w:val="000742B8"/>
    <w:rsid w:val="000765AA"/>
    <w:rsid w:val="000776B8"/>
    <w:rsid w:val="00080B77"/>
    <w:rsid w:val="000824A6"/>
    <w:rsid w:val="0008269B"/>
    <w:rsid w:val="00082859"/>
    <w:rsid w:val="000846E9"/>
    <w:rsid w:val="00087959"/>
    <w:rsid w:val="00087D98"/>
    <w:rsid w:val="00091BF8"/>
    <w:rsid w:val="000930AB"/>
    <w:rsid w:val="00095F96"/>
    <w:rsid w:val="000962F0"/>
    <w:rsid w:val="000969FF"/>
    <w:rsid w:val="000A00A8"/>
    <w:rsid w:val="000A016A"/>
    <w:rsid w:val="000A2295"/>
    <w:rsid w:val="000A312F"/>
    <w:rsid w:val="000A3412"/>
    <w:rsid w:val="000A3DF7"/>
    <w:rsid w:val="000A427C"/>
    <w:rsid w:val="000A5F94"/>
    <w:rsid w:val="000A675F"/>
    <w:rsid w:val="000A6B58"/>
    <w:rsid w:val="000A71CD"/>
    <w:rsid w:val="000B13D5"/>
    <w:rsid w:val="000B3663"/>
    <w:rsid w:val="000B505E"/>
    <w:rsid w:val="000B67D6"/>
    <w:rsid w:val="000B79A4"/>
    <w:rsid w:val="000C0FC3"/>
    <w:rsid w:val="000C1925"/>
    <w:rsid w:val="000C2F3B"/>
    <w:rsid w:val="000C30A0"/>
    <w:rsid w:val="000C3240"/>
    <w:rsid w:val="000C5C2C"/>
    <w:rsid w:val="000C6654"/>
    <w:rsid w:val="000C6DE4"/>
    <w:rsid w:val="000C6DFF"/>
    <w:rsid w:val="000C7C6E"/>
    <w:rsid w:val="000C7CD7"/>
    <w:rsid w:val="000C7D3C"/>
    <w:rsid w:val="000D0493"/>
    <w:rsid w:val="000D1DC2"/>
    <w:rsid w:val="000D4D8B"/>
    <w:rsid w:val="000D53B6"/>
    <w:rsid w:val="000D6AF4"/>
    <w:rsid w:val="000D7C92"/>
    <w:rsid w:val="000E19F3"/>
    <w:rsid w:val="000E4CF2"/>
    <w:rsid w:val="000E6140"/>
    <w:rsid w:val="000F074D"/>
    <w:rsid w:val="000F1C4E"/>
    <w:rsid w:val="000F207F"/>
    <w:rsid w:val="000F2E28"/>
    <w:rsid w:val="000F30E2"/>
    <w:rsid w:val="000F3C81"/>
    <w:rsid w:val="000F4D48"/>
    <w:rsid w:val="000F5A45"/>
    <w:rsid w:val="000F63CD"/>
    <w:rsid w:val="000F6540"/>
    <w:rsid w:val="000F66E1"/>
    <w:rsid w:val="000F6B61"/>
    <w:rsid w:val="000F6CCB"/>
    <w:rsid w:val="000F7446"/>
    <w:rsid w:val="00101904"/>
    <w:rsid w:val="00101EDA"/>
    <w:rsid w:val="00102725"/>
    <w:rsid w:val="0010339D"/>
    <w:rsid w:val="001036C7"/>
    <w:rsid w:val="00104714"/>
    <w:rsid w:val="00107C5F"/>
    <w:rsid w:val="00113784"/>
    <w:rsid w:val="00113816"/>
    <w:rsid w:val="001144BA"/>
    <w:rsid w:val="00114E9F"/>
    <w:rsid w:val="001152F1"/>
    <w:rsid w:val="0011560F"/>
    <w:rsid w:val="00120940"/>
    <w:rsid w:val="001224A4"/>
    <w:rsid w:val="00122F84"/>
    <w:rsid w:val="001249EA"/>
    <w:rsid w:val="0012506E"/>
    <w:rsid w:val="00125FC9"/>
    <w:rsid w:val="00126A1D"/>
    <w:rsid w:val="00126B68"/>
    <w:rsid w:val="00126E28"/>
    <w:rsid w:val="00127DBD"/>
    <w:rsid w:val="00130D2D"/>
    <w:rsid w:val="001317F8"/>
    <w:rsid w:val="00131ECE"/>
    <w:rsid w:val="001358BE"/>
    <w:rsid w:val="001361C5"/>
    <w:rsid w:val="00136AA7"/>
    <w:rsid w:val="0013714F"/>
    <w:rsid w:val="00140033"/>
    <w:rsid w:val="0014133D"/>
    <w:rsid w:val="00141556"/>
    <w:rsid w:val="0014159F"/>
    <w:rsid w:val="00142F25"/>
    <w:rsid w:val="00143959"/>
    <w:rsid w:val="001440B0"/>
    <w:rsid w:val="00146B02"/>
    <w:rsid w:val="0014738C"/>
    <w:rsid w:val="00150060"/>
    <w:rsid w:val="00152E1B"/>
    <w:rsid w:val="00154289"/>
    <w:rsid w:val="0015444B"/>
    <w:rsid w:val="00154BEE"/>
    <w:rsid w:val="001563E1"/>
    <w:rsid w:val="00157C99"/>
    <w:rsid w:val="00162C14"/>
    <w:rsid w:val="001640E9"/>
    <w:rsid w:val="0016788A"/>
    <w:rsid w:val="00167AAF"/>
    <w:rsid w:val="0017051A"/>
    <w:rsid w:val="00175E92"/>
    <w:rsid w:val="00177323"/>
    <w:rsid w:val="00180E46"/>
    <w:rsid w:val="00182249"/>
    <w:rsid w:val="001825A2"/>
    <w:rsid w:val="00182D32"/>
    <w:rsid w:val="00182ED2"/>
    <w:rsid w:val="00184F66"/>
    <w:rsid w:val="00190142"/>
    <w:rsid w:val="00191DE7"/>
    <w:rsid w:val="00192B0F"/>
    <w:rsid w:val="001931B5"/>
    <w:rsid w:val="0019376B"/>
    <w:rsid w:val="00193917"/>
    <w:rsid w:val="00193C85"/>
    <w:rsid w:val="00194D0D"/>
    <w:rsid w:val="00194E51"/>
    <w:rsid w:val="0019506D"/>
    <w:rsid w:val="00195AF3"/>
    <w:rsid w:val="00196456"/>
    <w:rsid w:val="001A01AE"/>
    <w:rsid w:val="001A06C7"/>
    <w:rsid w:val="001A3179"/>
    <w:rsid w:val="001A3326"/>
    <w:rsid w:val="001A34CC"/>
    <w:rsid w:val="001A37C1"/>
    <w:rsid w:val="001A45B7"/>
    <w:rsid w:val="001A50B7"/>
    <w:rsid w:val="001A55C8"/>
    <w:rsid w:val="001A5ABC"/>
    <w:rsid w:val="001B026D"/>
    <w:rsid w:val="001B1298"/>
    <w:rsid w:val="001B2960"/>
    <w:rsid w:val="001B3DD6"/>
    <w:rsid w:val="001B42BE"/>
    <w:rsid w:val="001B72AB"/>
    <w:rsid w:val="001C1F71"/>
    <w:rsid w:val="001C4EDE"/>
    <w:rsid w:val="001C5990"/>
    <w:rsid w:val="001C5ABF"/>
    <w:rsid w:val="001C5CED"/>
    <w:rsid w:val="001C5E7F"/>
    <w:rsid w:val="001C7404"/>
    <w:rsid w:val="001C78F5"/>
    <w:rsid w:val="001D0821"/>
    <w:rsid w:val="001D162E"/>
    <w:rsid w:val="001D3266"/>
    <w:rsid w:val="001D3E22"/>
    <w:rsid w:val="001D4857"/>
    <w:rsid w:val="001D5688"/>
    <w:rsid w:val="001D5F1F"/>
    <w:rsid w:val="001E2287"/>
    <w:rsid w:val="001E4AAC"/>
    <w:rsid w:val="001E5338"/>
    <w:rsid w:val="001E5558"/>
    <w:rsid w:val="001E6394"/>
    <w:rsid w:val="001E6C55"/>
    <w:rsid w:val="001E780E"/>
    <w:rsid w:val="001F14F3"/>
    <w:rsid w:val="001F1910"/>
    <w:rsid w:val="001F1ABF"/>
    <w:rsid w:val="001F2054"/>
    <w:rsid w:val="001F2358"/>
    <w:rsid w:val="001F31B8"/>
    <w:rsid w:val="001F35B6"/>
    <w:rsid w:val="001F3913"/>
    <w:rsid w:val="001F4491"/>
    <w:rsid w:val="001F579E"/>
    <w:rsid w:val="001F59D5"/>
    <w:rsid w:val="001F6B01"/>
    <w:rsid w:val="001F6E4D"/>
    <w:rsid w:val="00200A6D"/>
    <w:rsid w:val="0020141E"/>
    <w:rsid w:val="0020424B"/>
    <w:rsid w:val="0020646D"/>
    <w:rsid w:val="00211349"/>
    <w:rsid w:val="00211A55"/>
    <w:rsid w:val="00211B6E"/>
    <w:rsid w:val="002133D6"/>
    <w:rsid w:val="00213B9A"/>
    <w:rsid w:val="0021597A"/>
    <w:rsid w:val="00216A37"/>
    <w:rsid w:val="00217651"/>
    <w:rsid w:val="00220457"/>
    <w:rsid w:val="0022175B"/>
    <w:rsid w:val="0022184A"/>
    <w:rsid w:val="002220FC"/>
    <w:rsid w:val="002245DB"/>
    <w:rsid w:val="0022544C"/>
    <w:rsid w:val="002258A5"/>
    <w:rsid w:val="00225954"/>
    <w:rsid w:val="002260D9"/>
    <w:rsid w:val="002308C3"/>
    <w:rsid w:val="0023092E"/>
    <w:rsid w:val="002312CB"/>
    <w:rsid w:val="00231DCF"/>
    <w:rsid w:val="00235B79"/>
    <w:rsid w:val="00236B93"/>
    <w:rsid w:val="00236D9E"/>
    <w:rsid w:val="00240A0F"/>
    <w:rsid w:val="00241196"/>
    <w:rsid w:val="00243110"/>
    <w:rsid w:val="00243C17"/>
    <w:rsid w:val="002473FF"/>
    <w:rsid w:val="00247448"/>
    <w:rsid w:val="00247D86"/>
    <w:rsid w:val="00247E59"/>
    <w:rsid w:val="002504A7"/>
    <w:rsid w:val="0025083F"/>
    <w:rsid w:val="002508A9"/>
    <w:rsid w:val="00250907"/>
    <w:rsid w:val="00251DEB"/>
    <w:rsid w:val="0025462C"/>
    <w:rsid w:val="002546C9"/>
    <w:rsid w:val="0025587B"/>
    <w:rsid w:val="00255BDD"/>
    <w:rsid w:val="00257371"/>
    <w:rsid w:val="00260605"/>
    <w:rsid w:val="002649FD"/>
    <w:rsid w:val="002668B3"/>
    <w:rsid w:val="002670C7"/>
    <w:rsid w:val="00270B65"/>
    <w:rsid w:val="00270C76"/>
    <w:rsid w:val="002713BA"/>
    <w:rsid w:val="002731E2"/>
    <w:rsid w:val="00273361"/>
    <w:rsid w:val="00273376"/>
    <w:rsid w:val="0027555D"/>
    <w:rsid w:val="00275A20"/>
    <w:rsid w:val="0027755E"/>
    <w:rsid w:val="00277A6F"/>
    <w:rsid w:val="002816A8"/>
    <w:rsid w:val="002827AF"/>
    <w:rsid w:val="00282B38"/>
    <w:rsid w:val="00283611"/>
    <w:rsid w:val="00284E0F"/>
    <w:rsid w:val="002863A3"/>
    <w:rsid w:val="002908DD"/>
    <w:rsid w:val="002954DF"/>
    <w:rsid w:val="002968E9"/>
    <w:rsid w:val="002A30D9"/>
    <w:rsid w:val="002A3292"/>
    <w:rsid w:val="002A4928"/>
    <w:rsid w:val="002A4A07"/>
    <w:rsid w:val="002A4F23"/>
    <w:rsid w:val="002B007A"/>
    <w:rsid w:val="002B0F69"/>
    <w:rsid w:val="002B28EB"/>
    <w:rsid w:val="002B44BE"/>
    <w:rsid w:val="002B4896"/>
    <w:rsid w:val="002B4DB3"/>
    <w:rsid w:val="002B50DF"/>
    <w:rsid w:val="002B572D"/>
    <w:rsid w:val="002B6082"/>
    <w:rsid w:val="002B7C60"/>
    <w:rsid w:val="002C1591"/>
    <w:rsid w:val="002C310C"/>
    <w:rsid w:val="002C4865"/>
    <w:rsid w:val="002C5287"/>
    <w:rsid w:val="002C55A5"/>
    <w:rsid w:val="002C7869"/>
    <w:rsid w:val="002D0068"/>
    <w:rsid w:val="002D119A"/>
    <w:rsid w:val="002D173A"/>
    <w:rsid w:val="002D5CA2"/>
    <w:rsid w:val="002E032B"/>
    <w:rsid w:val="002E04F5"/>
    <w:rsid w:val="002E08B6"/>
    <w:rsid w:val="002E1641"/>
    <w:rsid w:val="002E23EB"/>
    <w:rsid w:val="002E264C"/>
    <w:rsid w:val="002E3A30"/>
    <w:rsid w:val="002E6891"/>
    <w:rsid w:val="002F00FF"/>
    <w:rsid w:val="002F106C"/>
    <w:rsid w:val="002F2004"/>
    <w:rsid w:val="002F285B"/>
    <w:rsid w:val="002F34A8"/>
    <w:rsid w:val="002F6816"/>
    <w:rsid w:val="002F6ADF"/>
    <w:rsid w:val="002F723A"/>
    <w:rsid w:val="00300485"/>
    <w:rsid w:val="003018D5"/>
    <w:rsid w:val="003036F7"/>
    <w:rsid w:val="0030371F"/>
    <w:rsid w:val="00303AC0"/>
    <w:rsid w:val="00304A44"/>
    <w:rsid w:val="00304B55"/>
    <w:rsid w:val="003050C0"/>
    <w:rsid w:val="00307323"/>
    <w:rsid w:val="00307D77"/>
    <w:rsid w:val="003110E9"/>
    <w:rsid w:val="0031578A"/>
    <w:rsid w:val="003157FC"/>
    <w:rsid w:val="00316805"/>
    <w:rsid w:val="00316AC5"/>
    <w:rsid w:val="00316E8F"/>
    <w:rsid w:val="00322175"/>
    <w:rsid w:val="00322E7F"/>
    <w:rsid w:val="00322F47"/>
    <w:rsid w:val="00325150"/>
    <w:rsid w:val="003279BA"/>
    <w:rsid w:val="00327C87"/>
    <w:rsid w:val="00331F14"/>
    <w:rsid w:val="00332FF2"/>
    <w:rsid w:val="00334801"/>
    <w:rsid w:val="00334FE1"/>
    <w:rsid w:val="00340455"/>
    <w:rsid w:val="003419BB"/>
    <w:rsid w:val="0034204B"/>
    <w:rsid w:val="003423F6"/>
    <w:rsid w:val="00343867"/>
    <w:rsid w:val="00343C90"/>
    <w:rsid w:val="003470C8"/>
    <w:rsid w:val="00350159"/>
    <w:rsid w:val="00350AD6"/>
    <w:rsid w:val="003510A8"/>
    <w:rsid w:val="003527F5"/>
    <w:rsid w:val="0035358C"/>
    <w:rsid w:val="00354566"/>
    <w:rsid w:val="003554EE"/>
    <w:rsid w:val="00356E88"/>
    <w:rsid w:val="00360085"/>
    <w:rsid w:val="00360A95"/>
    <w:rsid w:val="00361A6D"/>
    <w:rsid w:val="00361C3C"/>
    <w:rsid w:val="00363E95"/>
    <w:rsid w:val="00366B6E"/>
    <w:rsid w:val="003706F4"/>
    <w:rsid w:val="00370A29"/>
    <w:rsid w:val="003712E3"/>
    <w:rsid w:val="0037229D"/>
    <w:rsid w:val="0037439C"/>
    <w:rsid w:val="00375057"/>
    <w:rsid w:val="00375675"/>
    <w:rsid w:val="003756DC"/>
    <w:rsid w:val="003759D2"/>
    <w:rsid w:val="0037618E"/>
    <w:rsid w:val="003763A7"/>
    <w:rsid w:val="00376A59"/>
    <w:rsid w:val="00380CB8"/>
    <w:rsid w:val="003812FE"/>
    <w:rsid w:val="003835ED"/>
    <w:rsid w:val="0038381B"/>
    <w:rsid w:val="00383860"/>
    <w:rsid w:val="00386308"/>
    <w:rsid w:val="00390752"/>
    <w:rsid w:val="00391797"/>
    <w:rsid w:val="003919D5"/>
    <w:rsid w:val="00391AD2"/>
    <w:rsid w:val="003934CF"/>
    <w:rsid w:val="00394A62"/>
    <w:rsid w:val="003968DD"/>
    <w:rsid w:val="00397262"/>
    <w:rsid w:val="00397700"/>
    <w:rsid w:val="003A1D86"/>
    <w:rsid w:val="003A29F0"/>
    <w:rsid w:val="003A3825"/>
    <w:rsid w:val="003A4DAB"/>
    <w:rsid w:val="003A53EC"/>
    <w:rsid w:val="003A5A56"/>
    <w:rsid w:val="003B0094"/>
    <w:rsid w:val="003B0EE3"/>
    <w:rsid w:val="003B1E8D"/>
    <w:rsid w:val="003B2708"/>
    <w:rsid w:val="003B368E"/>
    <w:rsid w:val="003B3F04"/>
    <w:rsid w:val="003B433C"/>
    <w:rsid w:val="003B5761"/>
    <w:rsid w:val="003C0057"/>
    <w:rsid w:val="003C3391"/>
    <w:rsid w:val="003C4AEF"/>
    <w:rsid w:val="003C53AE"/>
    <w:rsid w:val="003C6C24"/>
    <w:rsid w:val="003D0D4F"/>
    <w:rsid w:val="003D0E81"/>
    <w:rsid w:val="003D1173"/>
    <w:rsid w:val="003D36F5"/>
    <w:rsid w:val="003D4EEC"/>
    <w:rsid w:val="003D6C00"/>
    <w:rsid w:val="003D76BE"/>
    <w:rsid w:val="003E1362"/>
    <w:rsid w:val="003E1401"/>
    <w:rsid w:val="003E19B5"/>
    <w:rsid w:val="003E3AEE"/>
    <w:rsid w:val="003E3F6E"/>
    <w:rsid w:val="003E4539"/>
    <w:rsid w:val="003E476A"/>
    <w:rsid w:val="003E4BE3"/>
    <w:rsid w:val="003E51BC"/>
    <w:rsid w:val="003E5586"/>
    <w:rsid w:val="003E591B"/>
    <w:rsid w:val="003E60C0"/>
    <w:rsid w:val="003E6173"/>
    <w:rsid w:val="003E75B4"/>
    <w:rsid w:val="003E7C95"/>
    <w:rsid w:val="003F1E35"/>
    <w:rsid w:val="003F2D65"/>
    <w:rsid w:val="003F5516"/>
    <w:rsid w:val="003F60D5"/>
    <w:rsid w:val="003F697E"/>
    <w:rsid w:val="003F7BA8"/>
    <w:rsid w:val="004015C6"/>
    <w:rsid w:val="004025B1"/>
    <w:rsid w:val="00402BE5"/>
    <w:rsid w:val="00402CB1"/>
    <w:rsid w:val="00403908"/>
    <w:rsid w:val="00403BBD"/>
    <w:rsid w:val="00404636"/>
    <w:rsid w:val="00405D1D"/>
    <w:rsid w:val="00407D7B"/>
    <w:rsid w:val="00407DB7"/>
    <w:rsid w:val="00412162"/>
    <w:rsid w:val="0041463B"/>
    <w:rsid w:val="004146A9"/>
    <w:rsid w:val="00416FFF"/>
    <w:rsid w:val="0042061B"/>
    <w:rsid w:val="00420FAF"/>
    <w:rsid w:val="004225D3"/>
    <w:rsid w:val="00422E48"/>
    <w:rsid w:val="0042342F"/>
    <w:rsid w:val="004245B8"/>
    <w:rsid w:val="00424B75"/>
    <w:rsid w:val="00425042"/>
    <w:rsid w:val="004267D3"/>
    <w:rsid w:val="0042728C"/>
    <w:rsid w:val="004306E4"/>
    <w:rsid w:val="0043095B"/>
    <w:rsid w:val="00431536"/>
    <w:rsid w:val="00433BA1"/>
    <w:rsid w:val="00433BA4"/>
    <w:rsid w:val="004345D7"/>
    <w:rsid w:val="00435C31"/>
    <w:rsid w:val="00440454"/>
    <w:rsid w:val="00442EC5"/>
    <w:rsid w:val="00443274"/>
    <w:rsid w:val="00443381"/>
    <w:rsid w:val="00444DCF"/>
    <w:rsid w:val="0044736D"/>
    <w:rsid w:val="0045069B"/>
    <w:rsid w:val="0045085F"/>
    <w:rsid w:val="00453C98"/>
    <w:rsid w:val="00454983"/>
    <w:rsid w:val="00454DA8"/>
    <w:rsid w:val="0045554A"/>
    <w:rsid w:val="004569B8"/>
    <w:rsid w:val="0045706E"/>
    <w:rsid w:val="00457585"/>
    <w:rsid w:val="00461CBB"/>
    <w:rsid w:val="00462BF0"/>
    <w:rsid w:val="004635CA"/>
    <w:rsid w:val="00465264"/>
    <w:rsid w:val="00466085"/>
    <w:rsid w:val="00466C8E"/>
    <w:rsid w:val="004678E2"/>
    <w:rsid w:val="00470147"/>
    <w:rsid w:val="00471BF3"/>
    <w:rsid w:val="004726A0"/>
    <w:rsid w:val="0047316F"/>
    <w:rsid w:val="00474046"/>
    <w:rsid w:val="004759D1"/>
    <w:rsid w:val="00481F8A"/>
    <w:rsid w:val="00482B3A"/>
    <w:rsid w:val="00482B3F"/>
    <w:rsid w:val="0048790E"/>
    <w:rsid w:val="004904D0"/>
    <w:rsid w:val="00494589"/>
    <w:rsid w:val="00495382"/>
    <w:rsid w:val="00496A12"/>
    <w:rsid w:val="00497EF6"/>
    <w:rsid w:val="004A058E"/>
    <w:rsid w:val="004A0E1D"/>
    <w:rsid w:val="004A293D"/>
    <w:rsid w:val="004A5506"/>
    <w:rsid w:val="004B032A"/>
    <w:rsid w:val="004B1AD7"/>
    <w:rsid w:val="004B284F"/>
    <w:rsid w:val="004B36FE"/>
    <w:rsid w:val="004B3A1D"/>
    <w:rsid w:val="004B5571"/>
    <w:rsid w:val="004C1517"/>
    <w:rsid w:val="004C1693"/>
    <w:rsid w:val="004C1A8E"/>
    <w:rsid w:val="004C1EC7"/>
    <w:rsid w:val="004C2F9C"/>
    <w:rsid w:val="004C387E"/>
    <w:rsid w:val="004C416B"/>
    <w:rsid w:val="004C51C6"/>
    <w:rsid w:val="004C6714"/>
    <w:rsid w:val="004D0F63"/>
    <w:rsid w:val="004D1FAA"/>
    <w:rsid w:val="004D2C3A"/>
    <w:rsid w:val="004D4CAC"/>
    <w:rsid w:val="004D5C5B"/>
    <w:rsid w:val="004D6AD6"/>
    <w:rsid w:val="004E0F02"/>
    <w:rsid w:val="004E24CA"/>
    <w:rsid w:val="004F2B9C"/>
    <w:rsid w:val="004F2DA5"/>
    <w:rsid w:val="004F3DEF"/>
    <w:rsid w:val="004F3ECA"/>
    <w:rsid w:val="004F43D1"/>
    <w:rsid w:val="004F5604"/>
    <w:rsid w:val="004F6A08"/>
    <w:rsid w:val="004F757F"/>
    <w:rsid w:val="004F7977"/>
    <w:rsid w:val="004F7B26"/>
    <w:rsid w:val="0050035E"/>
    <w:rsid w:val="005016C5"/>
    <w:rsid w:val="005016FB"/>
    <w:rsid w:val="005049D4"/>
    <w:rsid w:val="00505B1F"/>
    <w:rsid w:val="005063FF"/>
    <w:rsid w:val="00507F80"/>
    <w:rsid w:val="00510028"/>
    <w:rsid w:val="00512B26"/>
    <w:rsid w:val="00513446"/>
    <w:rsid w:val="00515C0C"/>
    <w:rsid w:val="005164EC"/>
    <w:rsid w:val="00520CE6"/>
    <w:rsid w:val="00521015"/>
    <w:rsid w:val="005227A6"/>
    <w:rsid w:val="00522CB6"/>
    <w:rsid w:val="00524DA2"/>
    <w:rsid w:val="00526099"/>
    <w:rsid w:val="0052673D"/>
    <w:rsid w:val="005348C6"/>
    <w:rsid w:val="00534D86"/>
    <w:rsid w:val="00536E19"/>
    <w:rsid w:val="00541CB9"/>
    <w:rsid w:val="0054201C"/>
    <w:rsid w:val="00542035"/>
    <w:rsid w:val="005424FF"/>
    <w:rsid w:val="00542C73"/>
    <w:rsid w:val="005441A0"/>
    <w:rsid w:val="00544208"/>
    <w:rsid w:val="00551DBE"/>
    <w:rsid w:val="0055455D"/>
    <w:rsid w:val="00557099"/>
    <w:rsid w:val="0056019A"/>
    <w:rsid w:val="005618F7"/>
    <w:rsid w:val="0056216F"/>
    <w:rsid w:val="00563192"/>
    <w:rsid w:val="00565F05"/>
    <w:rsid w:val="005668EF"/>
    <w:rsid w:val="00566EEC"/>
    <w:rsid w:val="00567D80"/>
    <w:rsid w:val="00572BFA"/>
    <w:rsid w:val="00574966"/>
    <w:rsid w:val="00575DD3"/>
    <w:rsid w:val="00575EE3"/>
    <w:rsid w:val="00581119"/>
    <w:rsid w:val="00586A36"/>
    <w:rsid w:val="005903A4"/>
    <w:rsid w:val="00595937"/>
    <w:rsid w:val="00596168"/>
    <w:rsid w:val="00596361"/>
    <w:rsid w:val="005A022B"/>
    <w:rsid w:val="005A027C"/>
    <w:rsid w:val="005A12F1"/>
    <w:rsid w:val="005A1432"/>
    <w:rsid w:val="005A2B6F"/>
    <w:rsid w:val="005A321C"/>
    <w:rsid w:val="005A6BFD"/>
    <w:rsid w:val="005B0286"/>
    <w:rsid w:val="005B0673"/>
    <w:rsid w:val="005B5799"/>
    <w:rsid w:val="005C00E1"/>
    <w:rsid w:val="005C2920"/>
    <w:rsid w:val="005C525E"/>
    <w:rsid w:val="005C62AF"/>
    <w:rsid w:val="005C7085"/>
    <w:rsid w:val="005D1566"/>
    <w:rsid w:val="005D185D"/>
    <w:rsid w:val="005D28A2"/>
    <w:rsid w:val="005D4E84"/>
    <w:rsid w:val="005D5587"/>
    <w:rsid w:val="005D61B5"/>
    <w:rsid w:val="005D6664"/>
    <w:rsid w:val="005E0FE1"/>
    <w:rsid w:val="005E10F9"/>
    <w:rsid w:val="005E1840"/>
    <w:rsid w:val="005E3F52"/>
    <w:rsid w:val="005E467C"/>
    <w:rsid w:val="005E4B40"/>
    <w:rsid w:val="005E5867"/>
    <w:rsid w:val="005E6EFD"/>
    <w:rsid w:val="005F3565"/>
    <w:rsid w:val="005F3CC6"/>
    <w:rsid w:val="005F43CE"/>
    <w:rsid w:val="005F5BF9"/>
    <w:rsid w:val="005F617C"/>
    <w:rsid w:val="005F6A6A"/>
    <w:rsid w:val="00600240"/>
    <w:rsid w:val="006007E3"/>
    <w:rsid w:val="00601C5F"/>
    <w:rsid w:val="00602D50"/>
    <w:rsid w:val="006046A9"/>
    <w:rsid w:val="006062AE"/>
    <w:rsid w:val="0060688C"/>
    <w:rsid w:val="00610918"/>
    <w:rsid w:val="00610E3A"/>
    <w:rsid w:val="00613B13"/>
    <w:rsid w:val="006150E8"/>
    <w:rsid w:val="006165F4"/>
    <w:rsid w:val="00616A29"/>
    <w:rsid w:val="006172D5"/>
    <w:rsid w:val="00620B8C"/>
    <w:rsid w:val="00623702"/>
    <w:rsid w:val="00625500"/>
    <w:rsid w:val="0062567D"/>
    <w:rsid w:val="00626D3F"/>
    <w:rsid w:val="0062734A"/>
    <w:rsid w:val="006274D1"/>
    <w:rsid w:val="00627858"/>
    <w:rsid w:val="006314D2"/>
    <w:rsid w:val="0063176D"/>
    <w:rsid w:val="00631E1D"/>
    <w:rsid w:val="0063224F"/>
    <w:rsid w:val="006431DC"/>
    <w:rsid w:val="00643B6E"/>
    <w:rsid w:val="00644086"/>
    <w:rsid w:val="006452F6"/>
    <w:rsid w:val="00651183"/>
    <w:rsid w:val="006523A5"/>
    <w:rsid w:val="0065513F"/>
    <w:rsid w:val="00661C2E"/>
    <w:rsid w:val="006643DA"/>
    <w:rsid w:val="006652C7"/>
    <w:rsid w:val="00666A22"/>
    <w:rsid w:val="00666C1B"/>
    <w:rsid w:val="006679CD"/>
    <w:rsid w:val="0067031E"/>
    <w:rsid w:val="0067079A"/>
    <w:rsid w:val="006723D9"/>
    <w:rsid w:val="00672451"/>
    <w:rsid w:val="00672944"/>
    <w:rsid w:val="00673105"/>
    <w:rsid w:val="00673ED8"/>
    <w:rsid w:val="006741B5"/>
    <w:rsid w:val="00674E7C"/>
    <w:rsid w:val="006754CE"/>
    <w:rsid w:val="006765A3"/>
    <w:rsid w:val="00676664"/>
    <w:rsid w:val="00676E21"/>
    <w:rsid w:val="006771CB"/>
    <w:rsid w:val="00682085"/>
    <w:rsid w:val="006839CF"/>
    <w:rsid w:val="0068462B"/>
    <w:rsid w:val="00684AF7"/>
    <w:rsid w:val="00687A95"/>
    <w:rsid w:val="006924A4"/>
    <w:rsid w:val="0069392A"/>
    <w:rsid w:val="00693CCD"/>
    <w:rsid w:val="00697EBD"/>
    <w:rsid w:val="006A0043"/>
    <w:rsid w:val="006A42B2"/>
    <w:rsid w:val="006B24CE"/>
    <w:rsid w:val="006B2BB0"/>
    <w:rsid w:val="006B366A"/>
    <w:rsid w:val="006B401E"/>
    <w:rsid w:val="006B520F"/>
    <w:rsid w:val="006B6984"/>
    <w:rsid w:val="006B79CE"/>
    <w:rsid w:val="006C2CAD"/>
    <w:rsid w:val="006C39F2"/>
    <w:rsid w:val="006C4116"/>
    <w:rsid w:val="006C5312"/>
    <w:rsid w:val="006C60DD"/>
    <w:rsid w:val="006C74A9"/>
    <w:rsid w:val="006D159A"/>
    <w:rsid w:val="006D2310"/>
    <w:rsid w:val="006D3104"/>
    <w:rsid w:val="006D4979"/>
    <w:rsid w:val="006D4C4F"/>
    <w:rsid w:val="006D4CC7"/>
    <w:rsid w:val="006D6FD1"/>
    <w:rsid w:val="006D7628"/>
    <w:rsid w:val="006E186C"/>
    <w:rsid w:val="006E1929"/>
    <w:rsid w:val="006E19EF"/>
    <w:rsid w:val="006E219E"/>
    <w:rsid w:val="006E30E0"/>
    <w:rsid w:val="006E3836"/>
    <w:rsid w:val="006E38CB"/>
    <w:rsid w:val="006E3921"/>
    <w:rsid w:val="006E5513"/>
    <w:rsid w:val="006E5670"/>
    <w:rsid w:val="006E6537"/>
    <w:rsid w:val="006E6E27"/>
    <w:rsid w:val="006F128E"/>
    <w:rsid w:val="006F1474"/>
    <w:rsid w:val="006F17AE"/>
    <w:rsid w:val="006F2B80"/>
    <w:rsid w:val="006F4481"/>
    <w:rsid w:val="006F478C"/>
    <w:rsid w:val="006F47AB"/>
    <w:rsid w:val="006F5741"/>
    <w:rsid w:val="006F5C49"/>
    <w:rsid w:val="00700D44"/>
    <w:rsid w:val="00701123"/>
    <w:rsid w:val="0070232B"/>
    <w:rsid w:val="00706EDF"/>
    <w:rsid w:val="00707565"/>
    <w:rsid w:val="007111E5"/>
    <w:rsid w:val="00713868"/>
    <w:rsid w:val="00713E3E"/>
    <w:rsid w:val="00713F2E"/>
    <w:rsid w:val="0071461A"/>
    <w:rsid w:val="007217F5"/>
    <w:rsid w:val="00725282"/>
    <w:rsid w:val="0072571E"/>
    <w:rsid w:val="00725C14"/>
    <w:rsid w:val="00726E07"/>
    <w:rsid w:val="00727894"/>
    <w:rsid w:val="00727FEC"/>
    <w:rsid w:val="00730A5A"/>
    <w:rsid w:val="007322F3"/>
    <w:rsid w:val="00732AD9"/>
    <w:rsid w:val="00732AF7"/>
    <w:rsid w:val="00732B05"/>
    <w:rsid w:val="00733ED1"/>
    <w:rsid w:val="00734018"/>
    <w:rsid w:val="00734D60"/>
    <w:rsid w:val="00735502"/>
    <w:rsid w:val="0073676B"/>
    <w:rsid w:val="00736AA6"/>
    <w:rsid w:val="00736E62"/>
    <w:rsid w:val="00740221"/>
    <w:rsid w:val="00740C68"/>
    <w:rsid w:val="00741F89"/>
    <w:rsid w:val="00744749"/>
    <w:rsid w:val="0074645D"/>
    <w:rsid w:val="0074715D"/>
    <w:rsid w:val="00756E80"/>
    <w:rsid w:val="00757A30"/>
    <w:rsid w:val="00757D6E"/>
    <w:rsid w:val="00761882"/>
    <w:rsid w:val="00762A06"/>
    <w:rsid w:val="00764FBB"/>
    <w:rsid w:val="00767D13"/>
    <w:rsid w:val="007705C3"/>
    <w:rsid w:val="00770D15"/>
    <w:rsid w:val="00770FAF"/>
    <w:rsid w:val="007726C3"/>
    <w:rsid w:val="00772CC9"/>
    <w:rsid w:val="00774E74"/>
    <w:rsid w:val="00775B94"/>
    <w:rsid w:val="00776ADB"/>
    <w:rsid w:val="00776FC2"/>
    <w:rsid w:val="007803E9"/>
    <w:rsid w:val="00780DFA"/>
    <w:rsid w:val="00781F96"/>
    <w:rsid w:val="007820B9"/>
    <w:rsid w:val="00782263"/>
    <w:rsid w:val="00782837"/>
    <w:rsid w:val="00782F7D"/>
    <w:rsid w:val="0078357F"/>
    <w:rsid w:val="007838ED"/>
    <w:rsid w:val="00784F23"/>
    <w:rsid w:val="00787C22"/>
    <w:rsid w:val="007916BA"/>
    <w:rsid w:val="0079532C"/>
    <w:rsid w:val="007966BA"/>
    <w:rsid w:val="00797CAB"/>
    <w:rsid w:val="007A0C7E"/>
    <w:rsid w:val="007A18B1"/>
    <w:rsid w:val="007A1B9D"/>
    <w:rsid w:val="007A1C80"/>
    <w:rsid w:val="007A2955"/>
    <w:rsid w:val="007A3931"/>
    <w:rsid w:val="007A401E"/>
    <w:rsid w:val="007A45DD"/>
    <w:rsid w:val="007A5155"/>
    <w:rsid w:val="007A525D"/>
    <w:rsid w:val="007A5526"/>
    <w:rsid w:val="007A61BC"/>
    <w:rsid w:val="007B33D9"/>
    <w:rsid w:val="007B53AE"/>
    <w:rsid w:val="007B681B"/>
    <w:rsid w:val="007C0AB2"/>
    <w:rsid w:val="007C0B37"/>
    <w:rsid w:val="007C0F47"/>
    <w:rsid w:val="007C18DD"/>
    <w:rsid w:val="007C1B12"/>
    <w:rsid w:val="007C35DB"/>
    <w:rsid w:val="007C419B"/>
    <w:rsid w:val="007C6322"/>
    <w:rsid w:val="007C6DCC"/>
    <w:rsid w:val="007C72A2"/>
    <w:rsid w:val="007C7A1B"/>
    <w:rsid w:val="007D027E"/>
    <w:rsid w:val="007D1FCA"/>
    <w:rsid w:val="007D2302"/>
    <w:rsid w:val="007D2E70"/>
    <w:rsid w:val="007E149C"/>
    <w:rsid w:val="007E3E0E"/>
    <w:rsid w:val="007E411E"/>
    <w:rsid w:val="007E45C5"/>
    <w:rsid w:val="007E4DF1"/>
    <w:rsid w:val="007E5417"/>
    <w:rsid w:val="007E6F5A"/>
    <w:rsid w:val="007E726F"/>
    <w:rsid w:val="007F019E"/>
    <w:rsid w:val="007F0DBC"/>
    <w:rsid w:val="007F14D9"/>
    <w:rsid w:val="007F1FF6"/>
    <w:rsid w:val="007F3646"/>
    <w:rsid w:val="007F5D95"/>
    <w:rsid w:val="007F6681"/>
    <w:rsid w:val="007F7B35"/>
    <w:rsid w:val="00800A69"/>
    <w:rsid w:val="008014CC"/>
    <w:rsid w:val="00801F87"/>
    <w:rsid w:val="008026DF"/>
    <w:rsid w:val="00803EB0"/>
    <w:rsid w:val="008054F2"/>
    <w:rsid w:val="008060F3"/>
    <w:rsid w:val="008074DB"/>
    <w:rsid w:val="008117B7"/>
    <w:rsid w:val="00811D82"/>
    <w:rsid w:val="008124FB"/>
    <w:rsid w:val="00814D0B"/>
    <w:rsid w:val="008151CE"/>
    <w:rsid w:val="0082153C"/>
    <w:rsid w:val="00822415"/>
    <w:rsid w:val="00822900"/>
    <w:rsid w:val="00824B9B"/>
    <w:rsid w:val="0082699D"/>
    <w:rsid w:val="00826BE7"/>
    <w:rsid w:val="00831EBE"/>
    <w:rsid w:val="00832BF6"/>
    <w:rsid w:val="00833ECA"/>
    <w:rsid w:val="00835B08"/>
    <w:rsid w:val="008408E4"/>
    <w:rsid w:val="0084154F"/>
    <w:rsid w:val="00842093"/>
    <w:rsid w:val="008429E4"/>
    <w:rsid w:val="00842AA3"/>
    <w:rsid w:val="00842D9C"/>
    <w:rsid w:val="00843283"/>
    <w:rsid w:val="008434BA"/>
    <w:rsid w:val="00843E3C"/>
    <w:rsid w:val="008454D4"/>
    <w:rsid w:val="00845B15"/>
    <w:rsid w:val="00846665"/>
    <w:rsid w:val="0085323F"/>
    <w:rsid w:val="008535E6"/>
    <w:rsid w:val="00855D96"/>
    <w:rsid w:val="00856F69"/>
    <w:rsid w:val="008574F5"/>
    <w:rsid w:val="00857FE1"/>
    <w:rsid w:val="00861F8D"/>
    <w:rsid w:val="008621F6"/>
    <w:rsid w:val="00863067"/>
    <w:rsid w:val="008630F4"/>
    <w:rsid w:val="00863AD9"/>
    <w:rsid w:val="00864B9F"/>
    <w:rsid w:val="00865C97"/>
    <w:rsid w:val="008735A4"/>
    <w:rsid w:val="00873A1B"/>
    <w:rsid w:val="0087443A"/>
    <w:rsid w:val="00874969"/>
    <w:rsid w:val="00875199"/>
    <w:rsid w:val="00877183"/>
    <w:rsid w:val="008820FA"/>
    <w:rsid w:val="00882B71"/>
    <w:rsid w:val="0088504C"/>
    <w:rsid w:val="00885734"/>
    <w:rsid w:val="00890EA0"/>
    <w:rsid w:val="00891416"/>
    <w:rsid w:val="00891B6B"/>
    <w:rsid w:val="00892DA4"/>
    <w:rsid w:val="008943A9"/>
    <w:rsid w:val="00895A9A"/>
    <w:rsid w:val="00895C92"/>
    <w:rsid w:val="0089619B"/>
    <w:rsid w:val="00897DA4"/>
    <w:rsid w:val="008A05DF"/>
    <w:rsid w:val="008A154A"/>
    <w:rsid w:val="008A3236"/>
    <w:rsid w:val="008A5F9F"/>
    <w:rsid w:val="008A6C3D"/>
    <w:rsid w:val="008B01D3"/>
    <w:rsid w:val="008B0FCD"/>
    <w:rsid w:val="008B2211"/>
    <w:rsid w:val="008B2906"/>
    <w:rsid w:val="008B41D5"/>
    <w:rsid w:val="008C03AC"/>
    <w:rsid w:val="008C0863"/>
    <w:rsid w:val="008C16B8"/>
    <w:rsid w:val="008C2BC0"/>
    <w:rsid w:val="008C616B"/>
    <w:rsid w:val="008C635D"/>
    <w:rsid w:val="008C64D8"/>
    <w:rsid w:val="008C6B41"/>
    <w:rsid w:val="008D039F"/>
    <w:rsid w:val="008D2622"/>
    <w:rsid w:val="008D378B"/>
    <w:rsid w:val="008D454D"/>
    <w:rsid w:val="008D58FC"/>
    <w:rsid w:val="008E0F7B"/>
    <w:rsid w:val="008E50B8"/>
    <w:rsid w:val="008E521F"/>
    <w:rsid w:val="008E583B"/>
    <w:rsid w:val="008E59A3"/>
    <w:rsid w:val="008F5752"/>
    <w:rsid w:val="008F7193"/>
    <w:rsid w:val="008F7D35"/>
    <w:rsid w:val="00900E4A"/>
    <w:rsid w:val="009064B6"/>
    <w:rsid w:val="0090679A"/>
    <w:rsid w:val="0091076B"/>
    <w:rsid w:val="0091091E"/>
    <w:rsid w:val="0091242E"/>
    <w:rsid w:val="009134B7"/>
    <w:rsid w:val="0091373E"/>
    <w:rsid w:val="00920247"/>
    <w:rsid w:val="00920D1F"/>
    <w:rsid w:val="00923135"/>
    <w:rsid w:val="00925AAB"/>
    <w:rsid w:val="00925D00"/>
    <w:rsid w:val="009279B5"/>
    <w:rsid w:val="009302F0"/>
    <w:rsid w:val="00930FEA"/>
    <w:rsid w:val="00931A83"/>
    <w:rsid w:val="00931AE4"/>
    <w:rsid w:val="0093222C"/>
    <w:rsid w:val="009322D9"/>
    <w:rsid w:val="009329A7"/>
    <w:rsid w:val="00932D45"/>
    <w:rsid w:val="00932D99"/>
    <w:rsid w:val="009345F8"/>
    <w:rsid w:val="009349DC"/>
    <w:rsid w:val="0093713E"/>
    <w:rsid w:val="00937167"/>
    <w:rsid w:val="00942C49"/>
    <w:rsid w:val="0094522E"/>
    <w:rsid w:val="0095362D"/>
    <w:rsid w:val="00953F80"/>
    <w:rsid w:val="0095460A"/>
    <w:rsid w:val="00955E27"/>
    <w:rsid w:val="00955F9E"/>
    <w:rsid w:val="00962FC6"/>
    <w:rsid w:val="00963D05"/>
    <w:rsid w:val="00963D9C"/>
    <w:rsid w:val="00965B6A"/>
    <w:rsid w:val="00966387"/>
    <w:rsid w:val="00966441"/>
    <w:rsid w:val="009707E4"/>
    <w:rsid w:val="009713B6"/>
    <w:rsid w:val="00972704"/>
    <w:rsid w:val="009727DE"/>
    <w:rsid w:val="00980563"/>
    <w:rsid w:val="0098162B"/>
    <w:rsid w:val="009826D8"/>
    <w:rsid w:val="0098308E"/>
    <w:rsid w:val="00985214"/>
    <w:rsid w:val="00985818"/>
    <w:rsid w:val="00993CFF"/>
    <w:rsid w:val="009946C5"/>
    <w:rsid w:val="00994ADF"/>
    <w:rsid w:val="00997C0F"/>
    <w:rsid w:val="009A48AE"/>
    <w:rsid w:val="009A5774"/>
    <w:rsid w:val="009A6570"/>
    <w:rsid w:val="009B0385"/>
    <w:rsid w:val="009B0622"/>
    <w:rsid w:val="009B21F7"/>
    <w:rsid w:val="009B280A"/>
    <w:rsid w:val="009B527E"/>
    <w:rsid w:val="009B64FA"/>
    <w:rsid w:val="009B6D17"/>
    <w:rsid w:val="009C19A4"/>
    <w:rsid w:val="009C1D7D"/>
    <w:rsid w:val="009C2767"/>
    <w:rsid w:val="009C298C"/>
    <w:rsid w:val="009C63A9"/>
    <w:rsid w:val="009C65E4"/>
    <w:rsid w:val="009C662B"/>
    <w:rsid w:val="009D040F"/>
    <w:rsid w:val="009D12DA"/>
    <w:rsid w:val="009D2AA3"/>
    <w:rsid w:val="009D390E"/>
    <w:rsid w:val="009D48D8"/>
    <w:rsid w:val="009D75E3"/>
    <w:rsid w:val="009E62D3"/>
    <w:rsid w:val="009E7895"/>
    <w:rsid w:val="009F0E8C"/>
    <w:rsid w:val="009F115B"/>
    <w:rsid w:val="009F1E72"/>
    <w:rsid w:val="009F22AE"/>
    <w:rsid w:val="009F2AF8"/>
    <w:rsid w:val="009F3330"/>
    <w:rsid w:val="009F3C86"/>
    <w:rsid w:val="009F4D09"/>
    <w:rsid w:val="009F6549"/>
    <w:rsid w:val="009F7B8D"/>
    <w:rsid w:val="00A02BB6"/>
    <w:rsid w:val="00A033C1"/>
    <w:rsid w:val="00A07155"/>
    <w:rsid w:val="00A07C06"/>
    <w:rsid w:val="00A1194D"/>
    <w:rsid w:val="00A2184D"/>
    <w:rsid w:val="00A21DD3"/>
    <w:rsid w:val="00A22879"/>
    <w:rsid w:val="00A26494"/>
    <w:rsid w:val="00A26A0C"/>
    <w:rsid w:val="00A2716D"/>
    <w:rsid w:val="00A317C8"/>
    <w:rsid w:val="00A3198A"/>
    <w:rsid w:val="00A33A8F"/>
    <w:rsid w:val="00A33B5A"/>
    <w:rsid w:val="00A351C7"/>
    <w:rsid w:val="00A37435"/>
    <w:rsid w:val="00A3792B"/>
    <w:rsid w:val="00A37FB3"/>
    <w:rsid w:val="00A404E8"/>
    <w:rsid w:val="00A41A8D"/>
    <w:rsid w:val="00A434AE"/>
    <w:rsid w:val="00A43540"/>
    <w:rsid w:val="00A438AA"/>
    <w:rsid w:val="00A43AC3"/>
    <w:rsid w:val="00A463C4"/>
    <w:rsid w:val="00A46DA3"/>
    <w:rsid w:val="00A5009C"/>
    <w:rsid w:val="00A514A8"/>
    <w:rsid w:val="00A51843"/>
    <w:rsid w:val="00A53B90"/>
    <w:rsid w:val="00A55312"/>
    <w:rsid w:val="00A56267"/>
    <w:rsid w:val="00A569E0"/>
    <w:rsid w:val="00A5774F"/>
    <w:rsid w:val="00A57D2F"/>
    <w:rsid w:val="00A604DE"/>
    <w:rsid w:val="00A6133D"/>
    <w:rsid w:val="00A61C7F"/>
    <w:rsid w:val="00A62194"/>
    <w:rsid w:val="00A63A34"/>
    <w:rsid w:val="00A63FCE"/>
    <w:rsid w:val="00A73259"/>
    <w:rsid w:val="00A7410F"/>
    <w:rsid w:val="00A752CD"/>
    <w:rsid w:val="00A76985"/>
    <w:rsid w:val="00A8307E"/>
    <w:rsid w:val="00A8348B"/>
    <w:rsid w:val="00A83C63"/>
    <w:rsid w:val="00A860A2"/>
    <w:rsid w:val="00A92F9D"/>
    <w:rsid w:val="00A96350"/>
    <w:rsid w:val="00A96C02"/>
    <w:rsid w:val="00AA2CD9"/>
    <w:rsid w:val="00AA4140"/>
    <w:rsid w:val="00AA66C3"/>
    <w:rsid w:val="00AA70F2"/>
    <w:rsid w:val="00AA759A"/>
    <w:rsid w:val="00AA7D6C"/>
    <w:rsid w:val="00AA7F98"/>
    <w:rsid w:val="00AB0494"/>
    <w:rsid w:val="00AB0A7B"/>
    <w:rsid w:val="00AB1ADB"/>
    <w:rsid w:val="00AB2E17"/>
    <w:rsid w:val="00AB6BFA"/>
    <w:rsid w:val="00AB72B9"/>
    <w:rsid w:val="00AC1917"/>
    <w:rsid w:val="00AC1F23"/>
    <w:rsid w:val="00AC2849"/>
    <w:rsid w:val="00AC28C1"/>
    <w:rsid w:val="00AC6C8A"/>
    <w:rsid w:val="00AC6D4D"/>
    <w:rsid w:val="00AD0760"/>
    <w:rsid w:val="00AD5423"/>
    <w:rsid w:val="00AD79E8"/>
    <w:rsid w:val="00AD7FE4"/>
    <w:rsid w:val="00AE25F9"/>
    <w:rsid w:val="00AE2F6B"/>
    <w:rsid w:val="00AE4675"/>
    <w:rsid w:val="00AE49CD"/>
    <w:rsid w:val="00AE4F64"/>
    <w:rsid w:val="00AE61E0"/>
    <w:rsid w:val="00AE66B1"/>
    <w:rsid w:val="00AF0046"/>
    <w:rsid w:val="00AF129B"/>
    <w:rsid w:val="00AF1BF8"/>
    <w:rsid w:val="00AF33FF"/>
    <w:rsid w:val="00AF5324"/>
    <w:rsid w:val="00AF69A9"/>
    <w:rsid w:val="00AF6BAB"/>
    <w:rsid w:val="00AF6FB8"/>
    <w:rsid w:val="00B000AC"/>
    <w:rsid w:val="00B006B0"/>
    <w:rsid w:val="00B00ADC"/>
    <w:rsid w:val="00B00D86"/>
    <w:rsid w:val="00B01620"/>
    <w:rsid w:val="00B01F13"/>
    <w:rsid w:val="00B030D7"/>
    <w:rsid w:val="00B06980"/>
    <w:rsid w:val="00B07F42"/>
    <w:rsid w:val="00B10859"/>
    <w:rsid w:val="00B10A7D"/>
    <w:rsid w:val="00B121E1"/>
    <w:rsid w:val="00B12371"/>
    <w:rsid w:val="00B1241C"/>
    <w:rsid w:val="00B1271A"/>
    <w:rsid w:val="00B1493D"/>
    <w:rsid w:val="00B16823"/>
    <w:rsid w:val="00B174F7"/>
    <w:rsid w:val="00B21149"/>
    <w:rsid w:val="00B21477"/>
    <w:rsid w:val="00B21CA5"/>
    <w:rsid w:val="00B236A1"/>
    <w:rsid w:val="00B24261"/>
    <w:rsid w:val="00B24897"/>
    <w:rsid w:val="00B30757"/>
    <w:rsid w:val="00B31092"/>
    <w:rsid w:val="00B34390"/>
    <w:rsid w:val="00B354DE"/>
    <w:rsid w:val="00B371EB"/>
    <w:rsid w:val="00B37C14"/>
    <w:rsid w:val="00B40FCD"/>
    <w:rsid w:val="00B41867"/>
    <w:rsid w:val="00B433D0"/>
    <w:rsid w:val="00B446FD"/>
    <w:rsid w:val="00B46505"/>
    <w:rsid w:val="00B46F14"/>
    <w:rsid w:val="00B50916"/>
    <w:rsid w:val="00B51781"/>
    <w:rsid w:val="00B51943"/>
    <w:rsid w:val="00B527A7"/>
    <w:rsid w:val="00B544B5"/>
    <w:rsid w:val="00B5630D"/>
    <w:rsid w:val="00B57860"/>
    <w:rsid w:val="00B63E44"/>
    <w:rsid w:val="00B64080"/>
    <w:rsid w:val="00B640B0"/>
    <w:rsid w:val="00B6429B"/>
    <w:rsid w:val="00B64CDB"/>
    <w:rsid w:val="00B650A7"/>
    <w:rsid w:val="00B665B2"/>
    <w:rsid w:val="00B71084"/>
    <w:rsid w:val="00B71AF3"/>
    <w:rsid w:val="00B72281"/>
    <w:rsid w:val="00B7307C"/>
    <w:rsid w:val="00B74B91"/>
    <w:rsid w:val="00B76B7F"/>
    <w:rsid w:val="00B81AB2"/>
    <w:rsid w:val="00B83D5E"/>
    <w:rsid w:val="00B83FC3"/>
    <w:rsid w:val="00B84441"/>
    <w:rsid w:val="00B85840"/>
    <w:rsid w:val="00B85A8B"/>
    <w:rsid w:val="00B865C2"/>
    <w:rsid w:val="00B90565"/>
    <w:rsid w:val="00B91E7C"/>
    <w:rsid w:val="00B92AC4"/>
    <w:rsid w:val="00B936A7"/>
    <w:rsid w:val="00B94230"/>
    <w:rsid w:val="00B9689B"/>
    <w:rsid w:val="00B97447"/>
    <w:rsid w:val="00BA13E9"/>
    <w:rsid w:val="00BA1515"/>
    <w:rsid w:val="00BA2526"/>
    <w:rsid w:val="00BA2B1F"/>
    <w:rsid w:val="00BA2CB5"/>
    <w:rsid w:val="00BA3021"/>
    <w:rsid w:val="00BA37EA"/>
    <w:rsid w:val="00BA3B09"/>
    <w:rsid w:val="00BA58FE"/>
    <w:rsid w:val="00BB00B2"/>
    <w:rsid w:val="00BB1D05"/>
    <w:rsid w:val="00BB1DAF"/>
    <w:rsid w:val="00BB207E"/>
    <w:rsid w:val="00BB491C"/>
    <w:rsid w:val="00BB550F"/>
    <w:rsid w:val="00BB6A56"/>
    <w:rsid w:val="00BC0500"/>
    <w:rsid w:val="00BC059B"/>
    <w:rsid w:val="00BC13A4"/>
    <w:rsid w:val="00BC3C30"/>
    <w:rsid w:val="00BC53A3"/>
    <w:rsid w:val="00BC7E36"/>
    <w:rsid w:val="00BD10E9"/>
    <w:rsid w:val="00BD20AE"/>
    <w:rsid w:val="00BD2B20"/>
    <w:rsid w:val="00BD2CE0"/>
    <w:rsid w:val="00BD45EF"/>
    <w:rsid w:val="00BD55B2"/>
    <w:rsid w:val="00BD58D8"/>
    <w:rsid w:val="00BE04CD"/>
    <w:rsid w:val="00BE04EF"/>
    <w:rsid w:val="00BE3848"/>
    <w:rsid w:val="00BE49CC"/>
    <w:rsid w:val="00BE5092"/>
    <w:rsid w:val="00BE5157"/>
    <w:rsid w:val="00BE77FD"/>
    <w:rsid w:val="00BE7F0F"/>
    <w:rsid w:val="00BF1053"/>
    <w:rsid w:val="00BF19DD"/>
    <w:rsid w:val="00BF1A28"/>
    <w:rsid w:val="00BF1DD6"/>
    <w:rsid w:val="00BF2488"/>
    <w:rsid w:val="00BF2DBB"/>
    <w:rsid w:val="00BF3EEB"/>
    <w:rsid w:val="00BF4D6A"/>
    <w:rsid w:val="00BF6260"/>
    <w:rsid w:val="00BF7019"/>
    <w:rsid w:val="00C006BE"/>
    <w:rsid w:val="00C00CF0"/>
    <w:rsid w:val="00C02E7F"/>
    <w:rsid w:val="00C04037"/>
    <w:rsid w:val="00C055C1"/>
    <w:rsid w:val="00C05A59"/>
    <w:rsid w:val="00C05FB0"/>
    <w:rsid w:val="00C06148"/>
    <w:rsid w:val="00C06404"/>
    <w:rsid w:val="00C073C2"/>
    <w:rsid w:val="00C113C3"/>
    <w:rsid w:val="00C12B7A"/>
    <w:rsid w:val="00C136D7"/>
    <w:rsid w:val="00C139FF"/>
    <w:rsid w:val="00C14EAF"/>
    <w:rsid w:val="00C1531B"/>
    <w:rsid w:val="00C159C5"/>
    <w:rsid w:val="00C21F79"/>
    <w:rsid w:val="00C222B4"/>
    <w:rsid w:val="00C2242C"/>
    <w:rsid w:val="00C2566F"/>
    <w:rsid w:val="00C2567A"/>
    <w:rsid w:val="00C26EFB"/>
    <w:rsid w:val="00C31CA7"/>
    <w:rsid w:val="00C3294A"/>
    <w:rsid w:val="00C3387C"/>
    <w:rsid w:val="00C339A0"/>
    <w:rsid w:val="00C341AC"/>
    <w:rsid w:val="00C34911"/>
    <w:rsid w:val="00C361CF"/>
    <w:rsid w:val="00C36EDC"/>
    <w:rsid w:val="00C37552"/>
    <w:rsid w:val="00C37A67"/>
    <w:rsid w:val="00C41FF3"/>
    <w:rsid w:val="00C42AA0"/>
    <w:rsid w:val="00C45EB6"/>
    <w:rsid w:val="00C45EDB"/>
    <w:rsid w:val="00C46243"/>
    <w:rsid w:val="00C50005"/>
    <w:rsid w:val="00C513A3"/>
    <w:rsid w:val="00C53D8F"/>
    <w:rsid w:val="00C5665E"/>
    <w:rsid w:val="00C57405"/>
    <w:rsid w:val="00C65B90"/>
    <w:rsid w:val="00C66569"/>
    <w:rsid w:val="00C676F6"/>
    <w:rsid w:val="00C709F5"/>
    <w:rsid w:val="00C70FA8"/>
    <w:rsid w:val="00C712AF"/>
    <w:rsid w:val="00C71A05"/>
    <w:rsid w:val="00C757CB"/>
    <w:rsid w:val="00C75A87"/>
    <w:rsid w:val="00C762B1"/>
    <w:rsid w:val="00C85096"/>
    <w:rsid w:val="00C8525E"/>
    <w:rsid w:val="00C86347"/>
    <w:rsid w:val="00C8661E"/>
    <w:rsid w:val="00C87124"/>
    <w:rsid w:val="00C90E6D"/>
    <w:rsid w:val="00C91E62"/>
    <w:rsid w:val="00C92287"/>
    <w:rsid w:val="00C92707"/>
    <w:rsid w:val="00C93137"/>
    <w:rsid w:val="00C93387"/>
    <w:rsid w:val="00C9686A"/>
    <w:rsid w:val="00C96CAD"/>
    <w:rsid w:val="00C973F7"/>
    <w:rsid w:val="00CA010C"/>
    <w:rsid w:val="00CA05F4"/>
    <w:rsid w:val="00CA2361"/>
    <w:rsid w:val="00CA70C1"/>
    <w:rsid w:val="00CA7B1E"/>
    <w:rsid w:val="00CB1140"/>
    <w:rsid w:val="00CB2A88"/>
    <w:rsid w:val="00CB7AF4"/>
    <w:rsid w:val="00CC08AE"/>
    <w:rsid w:val="00CC1300"/>
    <w:rsid w:val="00CC39BA"/>
    <w:rsid w:val="00CD24DA"/>
    <w:rsid w:val="00CD3C5B"/>
    <w:rsid w:val="00CD6E11"/>
    <w:rsid w:val="00CE0B1F"/>
    <w:rsid w:val="00CE1B5A"/>
    <w:rsid w:val="00CE2E47"/>
    <w:rsid w:val="00CE5525"/>
    <w:rsid w:val="00CE71EF"/>
    <w:rsid w:val="00CE737F"/>
    <w:rsid w:val="00CF093D"/>
    <w:rsid w:val="00CF0F00"/>
    <w:rsid w:val="00CF2952"/>
    <w:rsid w:val="00CF58B3"/>
    <w:rsid w:val="00CF6869"/>
    <w:rsid w:val="00CF73FF"/>
    <w:rsid w:val="00CF748B"/>
    <w:rsid w:val="00CF7ACD"/>
    <w:rsid w:val="00D00659"/>
    <w:rsid w:val="00D03F88"/>
    <w:rsid w:val="00D04CAE"/>
    <w:rsid w:val="00D05A4B"/>
    <w:rsid w:val="00D06670"/>
    <w:rsid w:val="00D075EA"/>
    <w:rsid w:val="00D1005B"/>
    <w:rsid w:val="00D10C24"/>
    <w:rsid w:val="00D125C9"/>
    <w:rsid w:val="00D1330D"/>
    <w:rsid w:val="00D13E1D"/>
    <w:rsid w:val="00D15E22"/>
    <w:rsid w:val="00D16A3C"/>
    <w:rsid w:val="00D20909"/>
    <w:rsid w:val="00D228C5"/>
    <w:rsid w:val="00D22B27"/>
    <w:rsid w:val="00D24D3F"/>
    <w:rsid w:val="00D31C42"/>
    <w:rsid w:val="00D31FCA"/>
    <w:rsid w:val="00D326CF"/>
    <w:rsid w:val="00D33918"/>
    <w:rsid w:val="00D34559"/>
    <w:rsid w:val="00D34B1D"/>
    <w:rsid w:val="00D34DF8"/>
    <w:rsid w:val="00D356F8"/>
    <w:rsid w:val="00D376B3"/>
    <w:rsid w:val="00D402C4"/>
    <w:rsid w:val="00D427B9"/>
    <w:rsid w:val="00D42C97"/>
    <w:rsid w:val="00D4365C"/>
    <w:rsid w:val="00D441F7"/>
    <w:rsid w:val="00D44A0A"/>
    <w:rsid w:val="00D44D20"/>
    <w:rsid w:val="00D4764D"/>
    <w:rsid w:val="00D51E2F"/>
    <w:rsid w:val="00D5205F"/>
    <w:rsid w:val="00D54B01"/>
    <w:rsid w:val="00D55008"/>
    <w:rsid w:val="00D56900"/>
    <w:rsid w:val="00D57B93"/>
    <w:rsid w:val="00D62766"/>
    <w:rsid w:val="00D6361B"/>
    <w:rsid w:val="00D646A1"/>
    <w:rsid w:val="00D67C57"/>
    <w:rsid w:val="00D721C7"/>
    <w:rsid w:val="00D7464E"/>
    <w:rsid w:val="00D7470C"/>
    <w:rsid w:val="00D765B8"/>
    <w:rsid w:val="00D81A25"/>
    <w:rsid w:val="00D85A0D"/>
    <w:rsid w:val="00D862EB"/>
    <w:rsid w:val="00D904EA"/>
    <w:rsid w:val="00D9072F"/>
    <w:rsid w:val="00D91541"/>
    <w:rsid w:val="00D91FF9"/>
    <w:rsid w:val="00D92212"/>
    <w:rsid w:val="00D92B26"/>
    <w:rsid w:val="00D933CE"/>
    <w:rsid w:val="00D94B67"/>
    <w:rsid w:val="00D94C0D"/>
    <w:rsid w:val="00D9586B"/>
    <w:rsid w:val="00D95EA4"/>
    <w:rsid w:val="00D97847"/>
    <w:rsid w:val="00D9789D"/>
    <w:rsid w:val="00D97B40"/>
    <w:rsid w:val="00DA17CB"/>
    <w:rsid w:val="00DA374B"/>
    <w:rsid w:val="00DA43DD"/>
    <w:rsid w:val="00DA4930"/>
    <w:rsid w:val="00DA5A7C"/>
    <w:rsid w:val="00DA77C5"/>
    <w:rsid w:val="00DB0411"/>
    <w:rsid w:val="00DB109D"/>
    <w:rsid w:val="00DB148D"/>
    <w:rsid w:val="00DB1B12"/>
    <w:rsid w:val="00DB1FB4"/>
    <w:rsid w:val="00DB269F"/>
    <w:rsid w:val="00DB2CDE"/>
    <w:rsid w:val="00DB35EB"/>
    <w:rsid w:val="00DB7321"/>
    <w:rsid w:val="00DC2210"/>
    <w:rsid w:val="00DC2391"/>
    <w:rsid w:val="00DC2A63"/>
    <w:rsid w:val="00DC4AD5"/>
    <w:rsid w:val="00DC54CC"/>
    <w:rsid w:val="00DC60BA"/>
    <w:rsid w:val="00DC70EF"/>
    <w:rsid w:val="00DC7678"/>
    <w:rsid w:val="00DC7766"/>
    <w:rsid w:val="00DD1AB4"/>
    <w:rsid w:val="00DD21AE"/>
    <w:rsid w:val="00DD3985"/>
    <w:rsid w:val="00DD6B18"/>
    <w:rsid w:val="00DD7159"/>
    <w:rsid w:val="00DD767E"/>
    <w:rsid w:val="00DE03CF"/>
    <w:rsid w:val="00DE22E3"/>
    <w:rsid w:val="00DE3FCE"/>
    <w:rsid w:val="00DE503C"/>
    <w:rsid w:val="00DE51B3"/>
    <w:rsid w:val="00DE5521"/>
    <w:rsid w:val="00DE61AB"/>
    <w:rsid w:val="00DE6B9C"/>
    <w:rsid w:val="00DF0709"/>
    <w:rsid w:val="00DF0F0C"/>
    <w:rsid w:val="00DF146A"/>
    <w:rsid w:val="00DF3A7E"/>
    <w:rsid w:val="00DF3B68"/>
    <w:rsid w:val="00DF3B8F"/>
    <w:rsid w:val="00DF3E07"/>
    <w:rsid w:val="00DF6357"/>
    <w:rsid w:val="00E00AB5"/>
    <w:rsid w:val="00E016D6"/>
    <w:rsid w:val="00E03047"/>
    <w:rsid w:val="00E04E30"/>
    <w:rsid w:val="00E05545"/>
    <w:rsid w:val="00E07F91"/>
    <w:rsid w:val="00E1019F"/>
    <w:rsid w:val="00E117E9"/>
    <w:rsid w:val="00E15B71"/>
    <w:rsid w:val="00E169B8"/>
    <w:rsid w:val="00E20F0B"/>
    <w:rsid w:val="00E21A57"/>
    <w:rsid w:val="00E22387"/>
    <w:rsid w:val="00E22E45"/>
    <w:rsid w:val="00E23319"/>
    <w:rsid w:val="00E2350F"/>
    <w:rsid w:val="00E25342"/>
    <w:rsid w:val="00E255FC"/>
    <w:rsid w:val="00E25C95"/>
    <w:rsid w:val="00E272C8"/>
    <w:rsid w:val="00E30906"/>
    <w:rsid w:val="00E33A92"/>
    <w:rsid w:val="00E33ED1"/>
    <w:rsid w:val="00E35B8C"/>
    <w:rsid w:val="00E407F4"/>
    <w:rsid w:val="00E41EF0"/>
    <w:rsid w:val="00E42C00"/>
    <w:rsid w:val="00E43B17"/>
    <w:rsid w:val="00E44209"/>
    <w:rsid w:val="00E44B54"/>
    <w:rsid w:val="00E4609C"/>
    <w:rsid w:val="00E47974"/>
    <w:rsid w:val="00E51594"/>
    <w:rsid w:val="00E519C6"/>
    <w:rsid w:val="00E51C16"/>
    <w:rsid w:val="00E52C6A"/>
    <w:rsid w:val="00E55225"/>
    <w:rsid w:val="00E56C97"/>
    <w:rsid w:val="00E575BF"/>
    <w:rsid w:val="00E60809"/>
    <w:rsid w:val="00E610A3"/>
    <w:rsid w:val="00E612A0"/>
    <w:rsid w:val="00E62745"/>
    <w:rsid w:val="00E62F10"/>
    <w:rsid w:val="00E633FE"/>
    <w:rsid w:val="00E64660"/>
    <w:rsid w:val="00E65337"/>
    <w:rsid w:val="00E661FF"/>
    <w:rsid w:val="00E66900"/>
    <w:rsid w:val="00E66CBE"/>
    <w:rsid w:val="00E66D55"/>
    <w:rsid w:val="00E67AAB"/>
    <w:rsid w:val="00E67D2C"/>
    <w:rsid w:val="00E70B4D"/>
    <w:rsid w:val="00E718B3"/>
    <w:rsid w:val="00E73485"/>
    <w:rsid w:val="00E74D69"/>
    <w:rsid w:val="00E7554D"/>
    <w:rsid w:val="00E75A4D"/>
    <w:rsid w:val="00E7625F"/>
    <w:rsid w:val="00E76937"/>
    <w:rsid w:val="00E76A47"/>
    <w:rsid w:val="00E773E6"/>
    <w:rsid w:val="00E8040C"/>
    <w:rsid w:val="00E81117"/>
    <w:rsid w:val="00E819A7"/>
    <w:rsid w:val="00E830D6"/>
    <w:rsid w:val="00E83F50"/>
    <w:rsid w:val="00E8421E"/>
    <w:rsid w:val="00E86161"/>
    <w:rsid w:val="00E8673A"/>
    <w:rsid w:val="00E86D02"/>
    <w:rsid w:val="00E86F29"/>
    <w:rsid w:val="00E87E79"/>
    <w:rsid w:val="00E9026F"/>
    <w:rsid w:val="00E9029A"/>
    <w:rsid w:val="00E914DE"/>
    <w:rsid w:val="00E91735"/>
    <w:rsid w:val="00E95ADD"/>
    <w:rsid w:val="00EA087D"/>
    <w:rsid w:val="00EA1E1D"/>
    <w:rsid w:val="00EA4285"/>
    <w:rsid w:val="00EA50D4"/>
    <w:rsid w:val="00EA537D"/>
    <w:rsid w:val="00EA59AD"/>
    <w:rsid w:val="00EA6AE7"/>
    <w:rsid w:val="00EA773D"/>
    <w:rsid w:val="00EA7867"/>
    <w:rsid w:val="00EA7C47"/>
    <w:rsid w:val="00EB01E7"/>
    <w:rsid w:val="00EB0375"/>
    <w:rsid w:val="00EB3329"/>
    <w:rsid w:val="00EB3D04"/>
    <w:rsid w:val="00EB4233"/>
    <w:rsid w:val="00EB4401"/>
    <w:rsid w:val="00EB44D6"/>
    <w:rsid w:val="00EB5A47"/>
    <w:rsid w:val="00EB5B4B"/>
    <w:rsid w:val="00EB5D0F"/>
    <w:rsid w:val="00EB6688"/>
    <w:rsid w:val="00EB6AB8"/>
    <w:rsid w:val="00EB7CE7"/>
    <w:rsid w:val="00EC0680"/>
    <w:rsid w:val="00EC09EB"/>
    <w:rsid w:val="00EC205E"/>
    <w:rsid w:val="00EC21B0"/>
    <w:rsid w:val="00EC3834"/>
    <w:rsid w:val="00EC5102"/>
    <w:rsid w:val="00EC5665"/>
    <w:rsid w:val="00EC73E6"/>
    <w:rsid w:val="00EC74FF"/>
    <w:rsid w:val="00EC7EE8"/>
    <w:rsid w:val="00ED18A5"/>
    <w:rsid w:val="00ED4617"/>
    <w:rsid w:val="00ED48D8"/>
    <w:rsid w:val="00ED504F"/>
    <w:rsid w:val="00ED5193"/>
    <w:rsid w:val="00ED590E"/>
    <w:rsid w:val="00ED67D3"/>
    <w:rsid w:val="00EE3B2A"/>
    <w:rsid w:val="00EE3C9F"/>
    <w:rsid w:val="00EE5377"/>
    <w:rsid w:val="00EE5A0C"/>
    <w:rsid w:val="00EE61ED"/>
    <w:rsid w:val="00EE71D1"/>
    <w:rsid w:val="00EE7647"/>
    <w:rsid w:val="00EE7F69"/>
    <w:rsid w:val="00EF1279"/>
    <w:rsid w:val="00EF2D2A"/>
    <w:rsid w:val="00EF2F87"/>
    <w:rsid w:val="00EF342C"/>
    <w:rsid w:val="00EF3BD0"/>
    <w:rsid w:val="00EF5C94"/>
    <w:rsid w:val="00EF64F8"/>
    <w:rsid w:val="00EF6A93"/>
    <w:rsid w:val="00EF6C76"/>
    <w:rsid w:val="00EF7021"/>
    <w:rsid w:val="00EF7EE8"/>
    <w:rsid w:val="00F00257"/>
    <w:rsid w:val="00F00421"/>
    <w:rsid w:val="00F004EB"/>
    <w:rsid w:val="00F00B68"/>
    <w:rsid w:val="00F00CE1"/>
    <w:rsid w:val="00F021B4"/>
    <w:rsid w:val="00F023AD"/>
    <w:rsid w:val="00F02D60"/>
    <w:rsid w:val="00F117EF"/>
    <w:rsid w:val="00F12D10"/>
    <w:rsid w:val="00F12EAF"/>
    <w:rsid w:val="00F1315B"/>
    <w:rsid w:val="00F13AEF"/>
    <w:rsid w:val="00F14F56"/>
    <w:rsid w:val="00F15946"/>
    <w:rsid w:val="00F17A54"/>
    <w:rsid w:val="00F21D6A"/>
    <w:rsid w:val="00F263DC"/>
    <w:rsid w:val="00F26ED8"/>
    <w:rsid w:val="00F30B19"/>
    <w:rsid w:val="00F30EE4"/>
    <w:rsid w:val="00F3112E"/>
    <w:rsid w:val="00F318AB"/>
    <w:rsid w:val="00F3196F"/>
    <w:rsid w:val="00F31A90"/>
    <w:rsid w:val="00F32FC2"/>
    <w:rsid w:val="00F35F32"/>
    <w:rsid w:val="00F36284"/>
    <w:rsid w:val="00F365C3"/>
    <w:rsid w:val="00F411AB"/>
    <w:rsid w:val="00F422E0"/>
    <w:rsid w:val="00F4348F"/>
    <w:rsid w:val="00F43BC2"/>
    <w:rsid w:val="00F4469F"/>
    <w:rsid w:val="00F45AD7"/>
    <w:rsid w:val="00F462B4"/>
    <w:rsid w:val="00F4719F"/>
    <w:rsid w:val="00F47C6D"/>
    <w:rsid w:val="00F522EE"/>
    <w:rsid w:val="00F52A42"/>
    <w:rsid w:val="00F537F9"/>
    <w:rsid w:val="00F5588E"/>
    <w:rsid w:val="00F56488"/>
    <w:rsid w:val="00F57874"/>
    <w:rsid w:val="00F604B8"/>
    <w:rsid w:val="00F609B9"/>
    <w:rsid w:val="00F60AA6"/>
    <w:rsid w:val="00F60F7B"/>
    <w:rsid w:val="00F610DE"/>
    <w:rsid w:val="00F621DF"/>
    <w:rsid w:val="00F63BB2"/>
    <w:rsid w:val="00F64C27"/>
    <w:rsid w:val="00F66087"/>
    <w:rsid w:val="00F67B33"/>
    <w:rsid w:val="00F67E1E"/>
    <w:rsid w:val="00F7020E"/>
    <w:rsid w:val="00F70363"/>
    <w:rsid w:val="00F71952"/>
    <w:rsid w:val="00F72249"/>
    <w:rsid w:val="00F73D47"/>
    <w:rsid w:val="00F75547"/>
    <w:rsid w:val="00F755ED"/>
    <w:rsid w:val="00F76149"/>
    <w:rsid w:val="00F76EF2"/>
    <w:rsid w:val="00F83C16"/>
    <w:rsid w:val="00F83F7B"/>
    <w:rsid w:val="00F84763"/>
    <w:rsid w:val="00F8482B"/>
    <w:rsid w:val="00F85A3C"/>
    <w:rsid w:val="00F8601F"/>
    <w:rsid w:val="00F907D0"/>
    <w:rsid w:val="00F90EE8"/>
    <w:rsid w:val="00F90FC0"/>
    <w:rsid w:val="00F91960"/>
    <w:rsid w:val="00F9279A"/>
    <w:rsid w:val="00F93A5A"/>
    <w:rsid w:val="00F9575E"/>
    <w:rsid w:val="00F97A20"/>
    <w:rsid w:val="00F97DE3"/>
    <w:rsid w:val="00FA22DD"/>
    <w:rsid w:val="00FA2DAD"/>
    <w:rsid w:val="00FA53F4"/>
    <w:rsid w:val="00FA5EFC"/>
    <w:rsid w:val="00FA665F"/>
    <w:rsid w:val="00FA6D45"/>
    <w:rsid w:val="00FA73E0"/>
    <w:rsid w:val="00FA7C32"/>
    <w:rsid w:val="00FB0B25"/>
    <w:rsid w:val="00FB1CBA"/>
    <w:rsid w:val="00FB2917"/>
    <w:rsid w:val="00FB2A0E"/>
    <w:rsid w:val="00FB2EC3"/>
    <w:rsid w:val="00FB4CC5"/>
    <w:rsid w:val="00FB4F44"/>
    <w:rsid w:val="00FB5231"/>
    <w:rsid w:val="00FB5B94"/>
    <w:rsid w:val="00FB6911"/>
    <w:rsid w:val="00FB6DFE"/>
    <w:rsid w:val="00FC0D20"/>
    <w:rsid w:val="00FC12EA"/>
    <w:rsid w:val="00FC15CC"/>
    <w:rsid w:val="00FC3764"/>
    <w:rsid w:val="00FC73C4"/>
    <w:rsid w:val="00FD0278"/>
    <w:rsid w:val="00FD2E46"/>
    <w:rsid w:val="00FD3A39"/>
    <w:rsid w:val="00FD503E"/>
    <w:rsid w:val="00FD50F1"/>
    <w:rsid w:val="00FD578A"/>
    <w:rsid w:val="00FD73F4"/>
    <w:rsid w:val="00FD764B"/>
    <w:rsid w:val="00FD7C87"/>
    <w:rsid w:val="00FE2222"/>
    <w:rsid w:val="00FE5251"/>
    <w:rsid w:val="00FE6453"/>
    <w:rsid w:val="00FF107B"/>
    <w:rsid w:val="00FF1818"/>
    <w:rsid w:val="00FF1882"/>
    <w:rsid w:val="00FF30A2"/>
    <w:rsid w:val="00FF3BC3"/>
    <w:rsid w:val="00FF4468"/>
    <w:rsid w:val="00FF5EC2"/>
    <w:rsid w:val="00FF69A1"/>
    <w:rsid w:val="00FF6FF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8FC9F"/>
  <w15:docId w15:val="{649F6AE7-A1E2-4727-9909-8EEDBD1A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fr-FR"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F1ABF"/>
    <w:rPr>
      <w:sz w:val="20"/>
    </w:rPr>
  </w:style>
  <w:style w:type="character" w:customStyle="1" w:styleId="FootnoteTextChar">
    <w:name w:val="Footnote Text Char"/>
    <w:basedOn w:val="DefaultParagraphFont"/>
    <w:link w:val="FootnoteText"/>
    <w:semiHidden/>
    <w:rsid w:val="001F1ABF"/>
    <w:rPr>
      <w:sz w:val="20"/>
    </w:rPr>
  </w:style>
  <w:style w:type="character" w:styleId="FootnoteReference">
    <w:name w:val="footnote reference"/>
    <w:basedOn w:val="DefaultParagraphFont"/>
    <w:semiHidden/>
    <w:unhideWhenUsed/>
    <w:rsid w:val="001F1ABF"/>
    <w:rPr>
      <w:vertAlign w:val="superscript"/>
    </w:rPr>
  </w:style>
  <w:style w:type="paragraph" w:styleId="ListParagraph">
    <w:name w:val="List Paragraph"/>
    <w:aliases w:val="lp1,Bullet 1,Use Case List Paragraph,Numbering,ERP-List Paragraph,List Paragraph11,List Paragraph Red,Bullet EY,List Paragraph2,List Paragraph21,Lentele,List Paragraph22,List Paragraph221,List Paragraph1"/>
    <w:basedOn w:val="Normal"/>
    <w:link w:val="ListParagraphChar"/>
    <w:uiPriority w:val="34"/>
    <w:qFormat/>
    <w:rsid w:val="00072E7C"/>
    <w:pPr>
      <w:ind w:left="720"/>
      <w:contextualSpacing/>
    </w:pPr>
  </w:style>
  <w:style w:type="paragraph" w:styleId="Header">
    <w:name w:val="header"/>
    <w:basedOn w:val="Normal"/>
    <w:link w:val="HeaderChar"/>
    <w:uiPriority w:val="99"/>
    <w:unhideWhenUsed/>
    <w:rsid w:val="00E05545"/>
    <w:pPr>
      <w:tabs>
        <w:tab w:val="center" w:pos="4513"/>
        <w:tab w:val="right" w:pos="9026"/>
      </w:tabs>
    </w:pPr>
  </w:style>
  <w:style w:type="character" w:customStyle="1" w:styleId="HeaderChar">
    <w:name w:val="Header Char"/>
    <w:basedOn w:val="DefaultParagraphFont"/>
    <w:link w:val="Header"/>
    <w:uiPriority w:val="99"/>
    <w:rsid w:val="00E05545"/>
  </w:style>
  <w:style w:type="paragraph" w:styleId="Footer">
    <w:name w:val="footer"/>
    <w:basedOn w:val="Normal"/>
    <w:link w:val="FooterChar"/>
    <w:unhideWhenUsed/>
    <w:rsid w:val="00E05545"/>
    <w:pPr>
      <w:tabs>
        <w:tab w:val="center" w:pos="4513"/>
        <w:tab w:val="right" w:pos="9026"/>
      </w:tabs>
    </w:pPr>
  </w:style>
  <w:style w:type="character" w:customStyle="1" w:styleId="FooterChar">
    <w:name w:val="Footer Char"/>
    <w:basedOn w:val="DefaultParagraphFont"/>
    <w:link w:val="Footer"/>
    <w:rsid w:val="00E05545"/>
  </w:style>
  <w:style w:type="paragraph" w:styleId="BalloonText">
    <w:name w:val="Balloon Text"/>
    <w:basedOn w:val="Normal"/>
    <w:link w:val="BalloonTextChar"/>
    <w:rsid w:val="000124B8"/>
    <w:rPr>
      <w:rFonts w:ascii="Tahoma" w:hAnsi="Tahoma" w:cs="Tahoma"/>
      <w:sz w:val="16"/>
      <w:szCs w:val="16"/>
    </w:rPr>
  </w:style>
  <w:style w:type="character" w:customStyle="1" w:styleId="BalloonTextChar">
    <w:name w:val="Balloon Text Char"/>
    <w:basedOn w:val="DefaultParagraphFont"/>
    <w:link w:val="BalloonText"/>
    <w:rsid w:val="000124B8"/>
    <w:rPr>
      <w:rFonts w:ascii="Tahoma" w:hAnsi="Tahoma" w:cs="Tahoma"/>
      <w:sz w:val="16"/>
      <w:szCs w:val="16"/>
    </w:rPr>
  </w:style>
  <w:style w:type="character" w:styleId="CommentReference">
    <w:name w:val="annotation reference"/>
    <w:basedOn w:val="DefaultParagraphFont"/>
    <w:semiHidden/>
    <w:unhideWhenUsed/>
    <w:rsid w:val="00136AA7"/>
    <w:rPr>
      <w:sz w:val="16"/>
      <w:szCs w:val="16"/>
    </w:rPr>
  </w:style>
  <w:style w:type="paragraph" w:styleId="CommentText">
    <w:name w:val="annotation text"/>
    <w:basedOn w:val="Normal"/>
    <w:link w:val="CommentTextChar"/>
    <w:unhideWhenUsed/>
    <w:rsid w:val="00136AA7"/>
    <w:rPr>
      <w:sz w:val="20"/>
    </w:rPr>
  </w:style>
  <w:style w:type="character" w:customStyle="1" w:styleId="CommentTextChar">
    <w:name w:val="Comment Text Char"/>
    <w:basedOn w:val="DefaultParagraphFont"/>
    <w:link w:val="CommentText"/>
    <w:rsid w:val="00136AA7"/>
    <w:rPr>
      <w:sz w:val="20"/>
    </w:rPr>
  </w:style>
  <w:style w:type="paragraph" w:styleId="CommentSubject">
    <w:name w:val="annotation subject"/>
    <w:basedOn w:val="CommentText"/>
    <w:next w:val="CommentText"/>
    <w:link w:val="CommentSubjectChar"/>
    <w:semiHidden/>
    <w:unhideWhenUsed/>
    <w:rsid w:val="00136AA7"/>
    <w:rPr>
      <w:b/>
      <w:bCs/>
    </w:rPr>
  </w:style>
  <w:style w:type="character" w:customStyle="1" w:styleId="CommentSubjectChar">
    <w:name w:val="Comment Subject Char"/>
    <w:basedOn w:val="CommentTextChar"/>
    <w:link w:val="CommentSubject"/>
    <w:semiHidden/>
    <w:rsid w:val="00136AA7"/>
    <w:rPr>
      <w:b/>
      <w:bCs/>
      <w:sz w:val="20"/>
    </w:rPr>
  </w:style>
  <w:style w:type="paragraph" w:styleId="Revision">
    <w:name w:val="Revision"/>
    <w:hidden/>
    <w:semiHidden/>
    <w:rsid w:val="00EF342C"/>
  </w:style>
  <w:style w:type="paragraph" w:styleId="BodyTextIndent">
    <w:name w:val="Body Text Indent"/>
    <w:basedOn w:val="Normal"/>
    <w:link w:val="BodyTextIndentChar"/>
    <w:rsid w:val="00E67D2C"/>
    <w:pPr>
      <w:ind w:firstLine="720"/>
      <w:jc w:val="both"/>
    </w:pPr>
    <w:rPr>
      <w:rFonts w:ascii="TimesLT" w:hAnsi="TimesLT"/>
      <w:b/>
      <w:lang w:eastAsia="lt-LT"/>
    </w:rPr>
  </w:style>
  <w:style w:type="character" w:customStyle="1" w:styleId="BodyTextIndentChar">
    <w:name w:val="Body Text Indent Char"/>
    <w:basedOn w:val="DefaultParagraphFont"/>
    <w:link w:val="BodyTextIndent"/>
    <w:rsid w:val="00E67D2C"/>
    <w:rPr>
      <w:rFonts w:ascii="TimesLT" w:hAnsi="TimesLT"/>
      <w:b/>
      <w:lang w:eastAsia="lt-LT"/>
    </w:rPr>
  </w:style>
  <w:style w:type="character" w:styleId="Strong">
    <w:name w:val="Strong"/>
    <w:basedOn w:val="DefaultParagraphFont"/>
    <w:uiPriority w:val="22"/>
    <w:qFormat/>
    <w:rsid w:val="00C57405"/>
    <w:rPr>
      <w:b/>
      <w:bCs/>
    </w:rPr>
  </w:style>
  <w:style w:type="paragraph" w:customStyle="1" w:styleId="tactin">
    <w:name w:val="tactin"/>
    <w:basedOn w:val="Normal"/>
    <w:rsid w:val="00DE6B9C"/>
    <w:pPr>
      <w:spacing w:after="150"/>
    </w:pPr>
    <w:rPr>
      <w:szCs w:val="24"/>
      <w:lang w:eastAsia="lt-LT"/>
    </w:rPr>
  </w:style>
  <w:style w:type="character" w:styleId="Hyperlink">
    <w:name w:val="Hyperlink"/>
    <w:basedOn w:val="DefaultParagraphFont"/>
    <w:uiPriority w:val="99"/>
    <w:semiHidden/>
    <w:unhideWhenUsed/>
    <w:rsid w:val="00B46505"/>
    <w:rPr>
      <w:strike w:val="0"/>
      <w:dstrike w:val="0"/>
      <w:color w:val="6E717F"/>
      <w:u w:val="none"/>
      <w:effect w:val="none"/>
      <w:shd w:val="clear" w:color="auto" w:fill="auto"/>
    </w:rPr>
  </w:style>
  <w:style w:type="character" w:customStyle="1" w:styleId="bkg-highlight-red1">
    <w:name w:val="bkg-highlight-red1"/>
    <w:basedOn w:val="DefaultParagraphFont"/>
    <w:rsid w:val="00B46505"/>
    <w:rPr>
      <w:shd w:val="clear" w:color="auto" w:fill="FBCCA2"/>
    </w:rPr>
  </w:style>
  <w:style w:type="character" w:customStyle="1" w:styleId="ListParagraphChar">
    <w:name w:val="List Paragraph Char"/>
    <w:aliases w:val="lp1 Char,Bullet 1 Char,Use Case List Paragraph Char,Numbering Char,ERP-List Paragraph Char,List Paragraph11 Char,List Paragraph Red Char,Bullet EY Char,List Paragraph2 Char,List Paragraph21 Char,Lentele Char,List Paragraph22 Char"/>
    <w:link w:val="ListParagraph"/>
    <w:uiPriority w:val="34"/>
    <w:locked/>
    <w:rsid w:val="003812FE"/>
  </w:style>
  <w:style w:type="paragraph" w:styleId="NormalWeb">
    <w:name w:val="Normal (Web)"/>
    <w:basedOn w:val="Normal"/>
    <w:uiPriority w:val="99"/>
    <w:semiHidden/>
    <w:unhideWhenUsed/>
    <w:rsid w:val="006F2B80"/>
    <w:pPr>
      <w:spacing w:before="100" w:beforeAutospacing="1" w:after="100" w:afterAutospacing="1"/>
    </w:pPr>
    <w:rPr>
      <w:szCs w:val="24"/>
      <w:lang w:eastAsia="lt-LT"/>
    </w:rPr>
  </w:style>
  <w:style w:type="character" w:customStyle="1" w:styleId="y2iqfc">
    <w:name w:val="y2iqfc"/>
    <w:basedOn w:val="DefaultParagraphFont"/>
    <w:rsid w:val="00304B55"/>
  </w:style>
  <w:style w:type="character" w:customStyle="1" w:styleId="xcontentpasted0">
    <w:name w:val="x_contentpasted0"/>
    <w:basedOn w:val="DefaultParagraphFont"/>
    <w:rsid w:val="009064B6"/>
  </w:style>
  <w:style w:type="paragraph" w:customStyle="1" w:styleId="xmsonormal">
    <w:name w:val="x_msonormal"/>
    <w:basedOn w:val="Normal"/>
    <w:rsid w:val="009064B6"/>
    <w:rPr>
      <w:szCs w:val="24"/>
      <w:lang w:eastAsia="lt-LT"/>
    </w:rPr>
  </w:style>
  <w:style w:type="character" w:customStyle="1" w:styleId="contentpasted0">
    <w:name w:val="contentpasted0"/>
    <w:basedOn w:val="DefaultParagraphFont"/>
    <w:rsid w:val="0090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1316">
      <w:bodyDiv w:val="1"/>
      <w:marLeft w:val="0"/>
      <w:marRight w:val="0"/>
      <w:marTop w:val="0"/>
      <w:marBottom w:val="0"/>
      <w:divBdr>
        <w:top w:val="none" w:sz="0" w:space="0" w:color="auto"/>
        <w:left w:val="none" w:sz="0" w:space="0" w:color="auto"/>
        <w:bottom w:val="none" w:sz="0" w:space="0" w:color="auto"/>
        <w:right w:val="none" w:sz="0" w:space="0" w:color="auto"/>
      </w:divBdr>
      <w:divsChild>
        <w:div w:id="562377715">
          <w:marLeft w:val="0"/>
          <w:marRight w:val="0"/>
          <w:marTop w:val="0"/>
          <w:marBottom w:val="0"/>
          <w:divBdr>
            <w:top w:val="none" w:sz="0" w:space="0" w:color="auto"/>
            <w:left w:val="none" w:sz="0" w:space="0" w:color="auto"/>
            <w:bottom w:val="none" w:sz="0" w:space="0" w:color="auto"/>
            <w:right w:val="none" w:sz="0" w:space="0" w:color="auto"/>
          </w:divBdr>
        </w:div>
        <w:div w:id="1737318841">
          <w:marLeft w:val="0"/>
          <w:marRight w:val="0"/>
          <w:marTop w:val="0"/>
          <w:marBottom w:val="0"/>
          <w:divBdr>
            <w:top w:val="none" w:sz="0" w:space="0" w:color="auto"/>
            <w:left w:val="none" w:sz="0" w:space="0" w:color="auto"/>
            <w:bottom w:val="none" w:sz="0" w:space="0" w:color="auto"/>
            <w:right w:val="none" w:sz="0" w:space="0" w:color="auto"/>
          </w:divBdr>
        </w:div>
      </w:divsChild>
    </w:div>
    <w:div w:id="91053814">
      <w:bodyDiv w:val="1"/>
      <w:marLeft w:val="0"/>
      <w:marRight w:val="0"/>
      <w:marTop w:val="0"/>
      <w:marBottom w:val="0"/>
      <w:divBdr>
        <w:top w:val="none" w:sz="0" w:space="0" w:color="auto"/>
        <w:left w:val="none" w:sz="0" w:space="0" w:color="auto"/>
        <w:bottom w:val="none" w:sz="0" w:space="0" w:color="auto"/>
        <w:right w:val="none" w:sz="0" w:space="0" w:color="auto"/>
      </w:divBdr>
      <w:divsChild>
        <w:div w:id="990796404">
          <w:marLeft w:val="0"/>
          <w:marRight w:val="0"/>
          <w:marTop w:val="0"/>
          <w:marBottom w:val="0"/>
          <w:divBdr>
            <w:top w:val="none" w:sz="0" w:space="0" w:color="auto"/>
            <w:left w:val="none" w:sz="0" w:space="0" w:color="auto"/>
            <w:bottom w:val="none" w:sz="0" w:space="0" w:color="auto"/>
            <w:right w:val="none" w:sz="0" w:space="0" w:color="auto"/>
          </w:divBdr>
        </w:div>
        <w:div w:id="1147554680">
          <w:marLeft w:val="0"/>
          <w:marRight w:val="0"/>
          <w:marTop w:val="0"/>
          <w:marBottom w:val="0"/>
          <w:divBdr>
            <w:top w:val="none" w:sz="0" w:space="0" w:color="auto"/>
            <w:left w:val="none" w:sz="0" w:space="0" w:color="auto"/>
            <w:bottom w:val="none" w:sz="0" w:space="0" w:color="auto"/>
            <w:right w:val="none" w:sz="0" w:space="0" w:color="auto"/>
          </w:divBdr>
        </w:div>
        <w:div w:id="1435856146">
          <w:marLeft w:val="0"/>
          <w:marRight w:val="0"/>
          <w:marTop w:val="0"/>
          <w:marBottom w:val="0"/>
          <w:divBdr>
            <w:top w:val="none" w:sz="0" w:space="0" w:color="auto"/>
            <w:left w:val="none" w:sz="0" w:space="0" w:color="auto"/>
            <w:bottom w:val="none" w:sz="0" w:space="0" w:color="auto"/>
            <w:right w:val="none" w:sz="0" w:space="0" w:color="auto"/>
          </w:divBdr>
        </w:div>
      </w:divsChild>
    </w:div>
    <w:div w:id="370228494">
      <w:bodyDiv w:val="1"/>
      <w:marLeft w:val="0"/>
      <w:marRight w:val="0"/>
      <w:marTop w:val="0"/>
      <w:marBottom w:val="0"/>
      <w:divBdr>
        <w:top w:val="none" w:sz="0" w:space="0" w:color="auto"/>
        <w:left w:val="none" w:sz="0" w:space="0" w:color="auto"/>
        <w:bottom w:val="none" w:sz="0" w:space="0" w:color="auto"/>
        <w:right w:val="none" w:sz="0" w:space="0" w:color="auto"/>
      </w:divBdr>
    </w:div>
    <w:div w:id="409892394">
      <w:bodyDiv w:val="1"/>
      <w:marLeft w:val="0"/>
      <w:marRight w:val="0"/>
      <w:marTop w:val="0"/>
      <w:marBottom w:val="0"/>
      <w:divBdr>
        <w:top w:val="none" w:sz="0" w:space="0" w:color="auto"/>
        <w:left w:val="none" w:sz="0" w:space="0" w:color="auto"/>
        <w:bottom w:val="none" w:sz="0" w:space="0" w:color="auto"/>
        <w:right w:val="none" w:sz="0" w:space="0" w:color="auto"/>
      </w:divBdr>
      <w:divsChild>
        <w:div w:id="260383591">
          <w:marLeft w:val="0"/>
          <w:marRight w:val="0"/>
          <w:marTop w:val="0"/>
          <w:marBottom w:val="0"/>
          <w:divBdr>
            <w:top w:val="none" w:sz="0" w:space="0" w:color="auto"/>
            <w:left w:val="none" w:sz="0" w:space="0" w:color="auto"/>
            <w:bottom w:val="none" w:sz="0" w:space="0" w:color="auto"/>
            <w:right w:val="none" w:sz="0" w:space="0" w:color="auto"/>
          </w:divBdr>
        </w:div>
        <w:div w:id="706760868">
          <w:marLeft w:val="0"/>
          <w:marRight w:val="0"/>
          <w:marTop w:val="0"/>
          <w:marBottom w:val="0"/>
          <w:divBdr>
            <w:top w:val="none" w:sz="0" w:space="0" w:color="auto"/>
            <w:left w:val="none" w:sz="0" w:space="0" w:color="auto"/>
            <w:bottom w:val="none" w:sz="0" w:space="0" w:color="auto"/>
            <w:right w:val="none" w:sz="0" w:space="0" w:color="auto"/>
          </w:divBdr>
        </w:div>
        <w:div w:id="1203716271">
          <w:marLeft w:val="0"/>
          <w:marRight w:val="0"/>
          <w:marTop w:val="0"/>
          <w:marBottom w:val="0"/>
          <w:divBdr>
            <w:top w:val="none" w:sz="0" w:space="0" w:color="auto"/>
            <w:left w:val="none" w:sz="0" w:space="0" w:color="auto"/>
            <w:bottom w:val="none" w:sz="0" w:space="0" w:color="auto"/>
            <w:right w:val="none" w:sz="0" w:space="0" w:color="auto"/>
          </w:divBdr>
        </w:div>
      </w:divsChild>
    </w:div>
    <w:div w:id="515077833">
      <w:bodyDiv w:val="1"/>
      <w:marLeft w:val="0"/>
      <w:marRight w:val="0"/>
      <w:marTop w:val="0"/>
      <w:marBottom w:val="0"/>
      <w:divBdr>
        <w:top w:val="none" w:sz="0" w:space="0" w:color="auto"/>
        <w:left w:val="none" w:sz="0" w:space="0" w:color="auto"/>
        <w:bottom w:val="none" w:sz="0" w:space="0" w:color="auto"/>
        <w:right w:val="none" w:sz="0" w:space="0" w:color="auto"/>
      </w:divBdr>
      <w:divsChild>
        <w:div w:id="1205293883">
          <w:marLeft w:val="0"/>
          <w:marRight w:val="0"/>
          <w:marTop w:val="0"/>
          <w:marBottom w:val="0"/>
          <w:divBdr>
            <w:top w:val="none" w:sz="0" w:space="0" w:color="auto"/>
            <w:left w:val="none" w:sz="0" w:space="0" w:color="auto"/>
            <w:bottom w:val="none" w:sz="0" w:space="0" w:color="auto"/>
            <w:right w:val="none" w:sz="0" w:space="0" w:color="auto"/>
          </w:divBdr>
          <w:divsChild>
            <w:div w:id="7687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6383">
      <w:bodyDiv w:val="1"/>
      <w:marLeft w:val="0"/>
      <w:marRight w:val="0"/>
      <w:marTop w:val="0"/>
      <w:marBottom w:val="0"/>
      <w:divBdr>
        <w:top w:val="none" w:sz="0" w:space="0" w:color="auto"/>
        <w:left w:val="none" w:sz="0" w:space="0" w:color="auto"/>
        <w:bottom w:val="none" w:sz="0" w:space="0" w:color="auto"/>
        <w:right w:val="none" w:sz="0" w:space="0" w:color="auto"/>
      </w:divBdr>
      <w:divsChild>
        <w:div w:id="693311390">
          <w:marLeft w:val="0"/>
          <w:marRight w:val="0"/>
          <w:marTop w:val="0"/>
          <w:marBottom w:val="0"/>
          <w:divBdr>
            <w:top w:val="none" w:sz="0" w:space="0" w:color="auto"/>
            <w:left w:val="none" w:sz="0" w:space="0" w:color="auto"/>
            <w:bottom w:val="none" w:sz="0" w:space="0" w:color="auto"/>
            <w:right w:val="none" w:sz="0" w:space="0" w:color="auto"/>
          </w:divBdr>
        </w:div>
        <w:div w:id="693504355">
          <w:marLeft w:val="0"/>
          <w:marRight w:val="0"/>
          <w:marTop w:val="0"/>
          <w:marBottom w:val="0"/>
          <w:divBdr>
            <w:top w:val="none" w:sz="0" w:space="0" w:color="auto"/>
            <w:left w:val="none" w:sz="0" w:space="0" w:color="auto"/>
            <w:bottom w:val="none" w:sz="0" w:space="0" w:color="auto"/>
            <w:right w:val="none" w:sz="0" w:space="0" w:color="auto"/>
          </w:divBdr>
        </w:div>
        <w:div w:id="807360841">
          <w:marLeft w:val="0"/>
          <w:marRight w:val="0"/>
          <w:marTop w:val="0"/>
          <w:marBottom w:val="0"/>
          <w:divBdr>
            <w:top w:val="none" w:sz="0" w:space="0" w:color="auto"/>
            <w:left w:val="none" w:sz="0" w:space="0" w:color="auto"/>
            <w:bottom w:val="none" w:sz="0" w:space="0" w:color="auto"/>
            <w:right w:val="none" w:sz="0" w:space="0" w:color="auto"/>
          </w:divBdr>
        </w:div>
        <w:div w:id="1605919537">
          <w:marLeft w:val="0"/>
          <w:marRight w:val="0"/>
          <w:marTop w:val="0"/>
          <w:marBottom w:val="0"/>
          <w:divBdr>
            <w:top w:val="none" w:sz="0" w:space="0" w:color="auto"/>
            <w:left w:val="none" w:sz="0" w:space="0" w:color="auto"/>
            <w:bottom w:val="none" w:sz="0" w:space="0" w:color="auto"/>
            <w:right w:val="none" w:sz="0" w:space="0" w:color="auto"/>
          </w:divBdr>
        </w:div>
        <w:div w:id="2003004461">
          <w:marLeft w:val="0"/>
          <w:marRight w:val="0"/>
          <w:marTop w:val="0"/>
          <w:marBottom w:val="0"/>
          <w:divBdr>
            <w:top w:val="none" w:sz="0" w:space="0" w:color="auto"/>
            <w:left w:val="none" w:sz="0" w:space="0" w:color="auto"/>
            <w:bottom w:val="none" w:sz="0" w:space="0" w:color="auto"/>
            <w:right w:val="none" w:sz="0" w:space="0" w:color="auto"/>
          </w:divBdr>
        </w:div>
        <w:div w:id="2011982588">
          <w:marLeft w:val="0"/>
          <w:marRight w:val="0"/>
          <w:marTop w:val="0"/>
          <w:marBottom w:val="0"/>
          <w:divBdr>
            <w:top w:val="none" w:sz="0" w:space="0" w:color="auto"/>
            <w:left w:val="none" w:sz="0" w:space="0" w:color="auto"/>
            <w:bottom w:val="none" w:sz="0" w:space="0" w:color="auto"/>
            <w:right w:val="none" w:sz="0" w:space="0" w:color="auto"/>
          </w:divBdr>
        </w:div>
      </w:divsChild>
    </w:div>
    <w:div w:id="686640531">
      <w:bodyDiv w:val="1"/>
      <w:marLeft w:val="0"/>
      <w:marRight w:val="0"/>
      <w:marTop w:val="0"/>
      <w:marBottom w:val="0"/>
      <w:divBdr>
        <w:top w:val="none" w:sz="0" w:space="0" w:color="auto"/>
        <w:left w:val="none" w:sz="0" w:space="0" w:color="auto"/>
        <w:bottom w:val="none" w:sz="0" w:space="0" w:color="auto"/>
        <w:right w:val="none" w:sz="0" w:space="0" w:color="auto"/>
      </w:divBdr>
      <w:divsChild>
        <w:div w:id="673385060">
          <w:marLeft w:val="0"/>
          <w:marRight w:val="0"/>
          <w:marTop w:val="0"/>
          <w:marBottom w:val="0"/>
          <w:divBdr>
            <w:top w:val="none" w:sz="0" w:space="0" w:color="auto"/>
            <w:left w:val="none" w:sz="0" w:space="0" w:color="auto"/>
            <w:bottom w:val="none" w:sz="0" w:space="0" w:color="auto"/>
            <w:right w:val="none" w:sz="0" w:space="0" w:color="auto"/>
          </w:divBdr>
          <w:divsChild>
            <w:div w:id="1227303933">
              <w:marLeft w:val="0"/>
              <w:marRight w:val="0"/>
              <w:marTop w:val="0"/>
              <w:marBottom w:val="0"/>
              <w:divBdr>
                <w:top w:val="none" w:sz="0" w:space="0" w:color="auto"/>
                <w:left w:val="none" w:sz="0" w:space="0" w:color="auto"/>
                <w:bottom w:val="none" w:sz="0" w:space="0" w:color="auto"/>
                <w:right w:val="none" w:sz="0" w:space="0" w:color="auto"/>
              </w:divBdr>
              <w:divsChild>
                <w:div w:id="1662545129">
                  <w:marLeft w:val="0"/>
                  <w:marRight w:val="0"/>
                  <w:marTop w:val="0"/>
                  <w:marBottom w:val="0"/>
                  <w:divBdr>
                    <w:top w:val="none" w:sz="0" w:space="0" w:color="auto"/>
                    <w:left w:val="none" w:sz="0" w:space="0" w:color="auto"/>
                    <w:bottom w:val="none" w:sz="0" w:space="0" w:color="auto"/>
                    <w:right w:val="none" w:sz="0" w:space="0" w:color="auto"/>
                  </w:divBdr>
                  <w:divsChild>
                    <w:div w:id="1830633936">
                      <w:marLeft w:val="0"/>
                      <w:marRight w:val="0"/>
                      <w:marTop w:val="0"/>
                      <w:marBottom w:val="0"/>
                      <w:divBdr>
                        <w:top w:val="none" w:sz="0" w:space="0" w:color="auto"/>
                        <w:left w:val="none" w:sz="0" w:space="0" w:color="auto"/>
                        <w:bottom w:val="none" w:sz="0" w:space="0" w:color="auto"/>
                        <w:right w:val="none" w:sz="0" w:space="0" w:color="auto"/>
                      </w:divBdr>
                      <w:divsChild>
                        <w:div w:id="2401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08070">
      <w:bodyDiv w:val="1"/>
      <w:marLeft w:val="0"/>
      <w:marRight w:val="0"/>
      <w:marTop w:val="0"/>
      <w:marBottom w:val="0"/>
      <w:divBdr>
        <w:top w:val="none" w:sz="0" w:space="0" w:color="auto"/>
        <w:left w:val="none" w:sz="0" w:space="0" w:color="auto"/>
        <w:bottom w:val="none" w:sz="0" w:space="0" w:color="auto"/>
        <w:right w:val="none" w:sz="0" w:space="0" w:color="auto"/>
      </w:divBdr>
      <w:divsChild>
        <w:div w:id="832598315">
          <w:marLeft w:val="0"/>
          <w:marRight w:val="0"/>
          <w:marTop w:val="0"/>
          <w:marBottom w:val="0"/>
          <w:divBdr>
            <w:top w:val="none" w:sz="0" w:space="0" w:color="auto"/>
            <w:left w:val="none" w:sz="0" w:space="0" w:color="auto"/>
            <w:bottom w:val="none" w:sz="0" w:space="0" w:color="auto"/>
            <w:right w:val="none" w:sz="0" w:space="0" w:color="auto"/>
          </w:divBdr>
          <w:divsChild>
            <w:div w:id="497615426">
              <w:marLeft w:val="0"/>
              <w:marRight w:val="0"/>
              <w:marTop w:val="0"/>
              <w:marBottom w:val="0"/>
              <w:divBdr>
                <w:top w:val="none" w:sz="0" w:space="0" w:color="auto"/>
                <w:left w:val="none" w:sz="0" w:space="0" w:color="auto"/>
                <w:bottom w:val="none" w:sz="0" w:space="0" w:color="auto"/>
                <w:right w:val="none" w:sz="0" w:space="0" w:color="auto"/>
              </w:divBdr>
            </w:div>
          </w:divsChild>
        </w:div>
        <w:div w:id="639532032">
          <w:marLeft w:val="0"/>
          <w:marRight w:val="0"/>
          <w:marTop w:val="0"/>
          <w:marBottom w:val="0"/>
          <w:divBdr>
            <w:top w:val="none" w:sz="0" w:space="0" w:color="auto"/>
            <w:left w:val="none" w:sz="0" w:space="0" w:color="auto"/>
            <w:bottom w:val="none" w:sz="0" w:space="0" w:color="auto"/>
            <w:right w:val="none" w:sz="0" w:space="0" w:color="auto"/>
          </w:divBdr>
        </w:div>
      </w:divsChild>
    </w:div>
    <w:div w:id="1467577447">
      <w:bodyDiv w:val="1"/>
      <w:marLeft w:val="0"/>
      <w:marRight w:val="0"/>
      <w:marTop w:val="0"/>
      <w:marBottom w:val="0"/>
      <w:divBdr>
        <w:top w:val="none" w:sz="0" w:space="0" w:color="auto"/>
        <w:left w:val="none" w:sz="0" w:space="0" w:color="auto"/>
        <w:bottom w:val="none" w:sz="0" w:space="0" w:color="auto"/>
        <w:right w:val="none" w:sz="0" w:space="0" w:color="auto"/>
      </w:divBdr>
    </w:div>
    <w:div w:id="1803159668">
      <w:bodyDiv w:val="1"/>
      <w:marLeft w:val="0"/>
      <w:marRight w:val="0"/>
      <w:marTop w:val="0"/>
      <w:marBottom w:val="0"/>
      <w:divBdr>
        <w:top w:val="none" w:sz="0" w:space="0" w:color="auto"/>
        <w:left w:val="none" w:sz="0" w:space="0" w:color="auto"/>
        <w:bottom w:val="none" w:sz="0" w:space="0" w:color="auto"/>
        <w:right w:val="none" w:sz="0" w:space="0" w:color="auto"/>
      </w:divBdr>
      <w:divsChild>
        <w:div w:id="608658999">
          <w:marLeft w:val="0"/>
          <w:marRight w:val="0"/>
          <w:marTop w:val="0"/>
          <w:marBottom w:val="0"/>
          <w:divBdr>
            <w:top w:val="none" w:sz="0" w:space="0" w:color="auto"/>
            <w:left w:val="none" w:sz="0" w:space="0" w:color="auto"/>
            <w:bottom w:val="none" w:sz="0" w:space="0" w:color="auto"/>
            <w:right w:val="none" w:sz="0" w:space="0" w:color="auto"/>
          </w:divBdr>
          <w:divsChild>
            <w:div w:id="2061778375">
              <w:marLeft w:val="0"/>
              <w:marRight w:val="0"/>
              <w:marTop w:val="0"/>
              <w:marBottom w:val="0"/>
              <w:divBdr>
                <w:top w:val="none" w:sz="0" w:space="0" w:color="auto"/>
                <w:left w:val="none" w:sz="0" w:space="0" w:color="auto"/>
                <w:bottom w:val="none" w:sz="0" w:space="0" w:color="auto"/>
                <w:right w:val="none" w:sz="0" w:space="0" w:color="auto"/>
              </w:divBdr>
              <w:divsChild>
                <w:div w:id="9593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23645">
      <w:bodyDiv w:val="1"/>
      <w:marLeft w:val="0"/>
      <w:marRight w:val="0"/>
      <w:marTop w:val="0"/>
      <w:marBottom w:val="0"/>
      <w:divBdr>
        <w:top w:val="none" w:sz="0" w:space="0" w:color="auto"/>
        <w:left w:val="none" w:sz="0" w:space="0" w:color="auto"/>
        <w:bottom w:val="none" w:sz="0" w:space="0" w:color="auto"/>
        <w:right w:val="none" w:sz="0" w:space="0" w:color="auto"/>
      </w:divBdr>
      <w:divsChild>
        <w:div w:id="2013947467">
          <w:marLeft w:val="0"/>
          <w:marRight w:val="0"/>
          <w:marTop w:val="0"/>
          <w:marBottom w:val="0"/>
          <w:divBdr>
            <w:top w:val="none" w:sz="0" w:space="0" w:color="auto"/>
            <w:left w:val="none" w:sz="0" w:space="0" w:color="auto"/>
            <w:bottom w:val="none" w:sz="0" w:space="0" w:color="auto"/>
            <w:right w:val="none" w:sz="0" w:space="0" w:color="auto"/>
          </w:divBdr>
        </w:div>
      </w:divsChild>
    </w:div>
    <w:div w:id="18864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3C6E82C841BC0B47B1706D3FC3E8B964" ma:contentTypeVersion="2" ma:contentTypeDescription="Kurkite naują dokumentą." ma:contentTypeScope="" ma:versionID="1fe7bf4bbddbf55ec3e715c83438cd12">
  <xsd:schema xmlns:xsd="http://www.w3.org/2001/XMLSchema" xmlns:xs="http://www.w3.org/2001/XMLSchema" xmlns:p="http://schemas.microsoft.com/office/2006/metadata/properties" xmlns:ns3="b28b4a38-313d-410a-9a7e-47ff019a177f" targetNamespace="http://schemas.microsoft.com/office/2006/metadata/properties" ma:root="true" ma:fieldsID="38c06e73548eb75292b7b4644fc963e9" ns3:_="">
    <xsd:import namespace="b28b4a38-313d-410a-9a7e-47ff019a17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b4a38-313d-410a-9a7e-47ff019a1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39C134-3BC6-415E-8881-8BF8EA6237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9187C8-7DAE-40FA-A600-3FEC5541C123}">
  <ds:schemaRefs>
    <ds:schemaRef ds:uri="http://schemas.microsoft.com/sharepoint/v3/contenttype/forms"/>
  </ds:schemaRefs>
</ds:datastoreItem>
</file>

<file path=customXml/itemProps3.xml><?xml version="1.0" encoding="utf-8"?>
<ds:datastoreItem xmlns:ds="http://schemas.openxmlformats.org/officeDocument/2006/customXml" ds:itemID="{DDFD7E58-F09F-49B1-8F9E-38080C40FE37}">
  <ds:schemaRefs>
    <ds:schemaRef ds:uri="http://schemas.openxmlformats.org/officeDocument/2006/bibliography"/>
  </ds:schemaRefs>
</ds:datastoreItem>
</file>

<file path=customXml/itemProps4.xml><?xml version="1.0" encoding="utf-8"?>
<ds:datastoreItem xmlns:ds="http://schemas.openxmlformats.org/officeDocument/2006/customXml" ds:itemID="{D52CB158-B3FE-4935-B545-DC71023DF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b4a38-313d-410a-9a7e-47ff019a1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896</Words>
  <Characters>5110</Characters>
  <Application>Microsoft Office Word</Application>
  <DocSecurity>0</DocSecurity>
  <Lines>42</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 B.</cp:lastModifiedBy>
  <cp:revision>3</cp:revision>
  <dcterms:created xsi:type="dcterms:W3CDTF">2024-08-16T06:26:00Z</dcterms:created>
  <dcterms:modified xsi:type="dcterms:W3CDTF">2024-08-26T13:31:00Z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0x0101003C6E82C841BC0B47B1706D3FC3E8B964</vt:lpwstr>
  </property>
</Properties>
</file>