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FD33" w14:textId="058B7117" w:rsidR="005A7E2B" w:rsidRDefault="005A7E2B" w:rsidP="005A7E2B">
      <w:pPr>
        <w:pStyle w:val="P68B1DB1-Title1"/>
        <w:spacing w:before="0"/>
        <w:ind w:left="0"/>
      </w:pPr>
      <w:r w:rsidRPr="00655279">
        <w:t xml:space="preserve">Jurisprudence relative à la </w:t>
      </w:r>
      <w:r w:rsidR="006D20AB">
        <w:t>d</w:t>
      </w:r>
      <w:r w:rsidRPr="00655279">
        <w:t xml:space="preserve">irective </w:t>
      </w:r>
      <w:r w:rsidR="006D20AB">
        <w:t xml:space="preserve">(UE) </w:t>
      </w:r>
      <w:r w:rsidRPr="00655279">
        <w:t>2015/1535</w:t>
      </w:r>
    </w:p>
    <w:p w14:paraId="5AFCD03C" w14:textId="77777777" w:rsidR="005A7E2B" w:rsidRDefault="005A7E2B" w:rsidP="00AA4F20">
      <w:pPr>
        <w:pStyle w:val="BodyText"/>
      </w:pPr>
    </w:p>
    <w:p w14:paraId="6AAEF881" w14:textId="5B8D68DD" w:rsidR="007F205B" w:rsidRDefault="007F205B" w:rsidP="00AA4F20">
      <w:pPr>
        <w:pStyle w:val="BodyText"/>
      </w:pPr>
      <w:r w:rsidRPr="002F655D">
        <w:t xml:space="preserve">Ce document </w:t>
      </w:r>
      <w:r>
        <w:t>recense</w:t>
      </w:r>
      <w:r w:rsidRPr="002F655D">
        <w:t xml:space="preserve"> les principaux arrêts</w:t>
      </w:r>
      <w:r>
        <w:t xml:space="preserve"> et ordonnances</w:t>
      </w:r>
      <w:r w:rsidRPr="002F655D">
        <w:t xml:space="preserve"> de la Cour de justice de l’Union européenne relatifs </w:t>
      </w:r>
      <w:r w:rsidR="006E6449">
        <w:t>à la portée et à l’application</w:t>
      </w:r>
      <w:r w:rsidRPr="002F655D">
        <w:t xml:space="preserve"> de la directive (UE) 2015/1535 prévoyant une procédure d’information dans le domaine des réglementations techniques et des règles relatives aux services de la société de l’information. Il a </w:t>
      </w:r>
      <w:r>
        <w:t>pour objectif de</w:t>
      </w:r>
      <w:r w:rsidRPr="002F655D">
        <w:t xml:space="preserve"> </w:t>
      </w:r>
      <w:r>
        <w:t>constituer</w:t>
      </w:r>
      <w:r w:rsidRPr="002F655D">
        <w:t xml:space="preserve"> </w:t>
      </w:r>
      <w:r>
        <w:t>un</w:t>
      </w:r>
      <w:r w:rsidRPr="002F655D">
        <w:t xml:space="preserve"> guide </w:t>
      </w:r>
      <w:r>
        <w:t xml:space="preserve">à destination de l’administration </w:t>
      </w:r>
      <w:r w:rsidRPr="002F655D">
        <w:t xml:space="preserve">des États membres, </w:t>
      </w:r>
      <w:r>
        <w:t>de</w:t>
      </w:r>
      <w:r w:rsidRPr="002F655D">
        <w:t xml:space="preserve"> l’industrie et </w:t>
      </w:r>
      <w:r>
        <w:t>des</w:t>
      </w:r>
      <w:r w:rsidRPr="002F655D">
        <w:t xml:space="preserve"> citoyens. </w:t>
      </w:r>
    </w:p>
    <w:p w14:paraId="55805DA1" w14:textId="77777777" w:rsidR="007F205B" w:rsidRPr="00B63F8E" w:rsidRDefault="007F205B" w:rsidP="00AA4F20">
      <w:pPr>
        <w:pStyle w:val="BodyText"/>
        <w:rPr>
          <w:sz w:val="22"/>
          <w:szCs w:val="18"/>
        </w:rPr>
      </w:pPr>
    </w:p>
    <w:p w14:paraId="3894D17D" w14:textId="77777777" w:rsidR="007F205B" w:rsidRDefault="007F205B" w:rsidP="00AA4F20">
      <w:pPr>
        <w:pStyle w:val="BodyText"/>
      </w:pPr>
      <w:r>
        <w:t xml:space="preserve">Ce document n’étant pas une compilation </w:t>
      </w:r>
      <w:r w:rsidRPr="002F655D">
        <w:t>exhausti</w:t>
      </w:r>
      <w:r>
        <w:t>ve</w:t>
      </w:r>
      <w:r w:rsidRPr="002F655D">
        <w:t xml:space="preserve">, </w:t>
      </w:r>
      <w:r w:rsidRPr="003076AF">
        <w:t xml:space="preserve">il est possible que </w:t>
      </w:r>
      <w:r>
        <w:t>certaines</w:t>
      </w:r>
      <w:r w:rsidRPr="003076AF">
        <w:t xml:space="preserve"> décisions pertinentes n</w:t>
      </w:r>
      <w:r>
        <w:t>’y</w:t>
      </w:r>
      <w:r w:rsidRPr="003076AF">
        <w:t xml:space="preserve"> soient pas mentionnées.</w:t>
      </w:r>
    </w:p>
    <w:p w14:paraId="403586BF" w14:textId="77777777" w:rsidR="007F205B" w:rsidRPr="00655279" w:rsidRDefault="007F205B" w:rsidP="00AA4F20">
      <w:pPr>
        <w:pStyle w:val="BodyText"/>
        <w:rPr>
          <w:sz w:val="22"/>
          <w:szCs w:val="18"/>
        </w:rPr>
      </w:pPr>
    </w:p>
    <w:p w14:paraId="494AE928" w14:textId="3910768B" w:rsidR="002C17AE" w:rsidRDefault="007F205B" w:rsidP="00AA4F20">
      <w:pPr>
        <w:pStyle w:val="BodyText"/>
      </w:pPr>
      <w:r w:rsidRPr="002F655D">
        <w:t xml:space="preserve">Ce document </w:t>
      </w:r>
      <w:r>
        <w:t xml:space="preserve">présente les arrêts dans l’ordre chronologique et est structuré en </w:t>
      </w:r>
      <w:r w:rsidR="00186890">
        <w:t>quatre</w:t>
      </w:r>
      <w:r>
        <w:t xml:space="preserve"> parties</w:t>
      </w:r>
      <w:r w:rsidR="00186890">
        <w:t> :</w:t>
      </w:r>
    </w:p>
    <w:p w14:paraId="45186CE0" w14:textId="77777777" w:rsidR="00AF1412" w:rsidRDefault="00AF1412" w:rsidP="00186890">
      <w:pPr>
        <w:pStyle w:val="BodyText"/>
        <w:rPr>
          <w:sz w:val="18"/>
          <w:szCs w:val="18"/>
        </w:rPr>
      </w:pPr>
    </w:p>
    <w:p w14:paraId="04BDF2B1" w14:textId="4B2CFD8F" w:rsidR="000F437A" w:rsidRDefault="002C17AE">
      <w:pPr>
        <w:pStyle w:val="TOC1"/>
        <w:tabs>
          <w:tab w:val="left" w:pos="440"/>
          <w:tab w:val="right" w:leader="dot" w:pos="9016"/>
        </w:tabs>
        <w:rPr>
          <w:rFonts w:eastAsiaTheme="minorEastAsia"/>
          <w:b w:val="0"/>
          <w:bCs w:val="0"/>
          <w:caps w:val="0"/>
          <w:noProof/>
          <w:kern w:val="2"/>
          <w:sz w:val="24"/>
          <w:szCs w:val="24"/>
          <w:lang w:val="en-IE" w:eastAsia="en-IE"/>
          <w14:ligatures w14:val="standardContextual"/>
        </w:rPr>
      </w:pPr>
      <w:r>
        <w:rPr>
          <w:rFonts w:asciiTheme="majorHAnsi" w:hAnsiTheme="majorHAnsi"/>
          <w:sz w:val="18"/>
          <w:szCs w:val="18"/>
        </w:rPr>
        <w:fldChar w:fldCharType="begin"/>
      </w:r>
      <w:r>
        <w:rPr>
          <w:rFonts w:asciiTheme="majorHAnsi" w:hAnsiTheme="majorHAnsi"/>
          <w:sz w:val="18"/>
          <w:szCs w:val="18"/>
        </w:rPr>
        <w:instrText xml:space="preserve"> TOC \o "2-2" \h \z \t "Heading 1,1" </w:instrText>
      </w:r>
      <w:r>
        <w:rPr>
          <w:rFonts w:asciiTheme="majorHAnsi" w:hAnsiTheme="majorHAnsi"/>
          <w:sz w:val="18"/>
          <w:szCs w:val="18"/>
        </w:rPr>
        <w:fldChar w:fldCharType="separate"/>
      </w:r>
      <w:hyperlink w:anchor="_Toc203035377" w:history="1">
        <w:r w:rsidR="000F437A" w:rsidRPr="00874BE8">
          <w:rPr>
            <w:rStyle w:val="Hyperlink"/>
            <w:noProof/>
            <w:lang w:val="fr-BE"/>
          </w:rPr>
          <w:t>I.</w:t>
        </w:r>
        <w:r w:rsidR="000F437A">
          <w:rPr>
            <w:rStyle w:val="Hyperlink"/>
            <w:noProof/>
            <w:lang w:val="fr-BE"/>
          </w:rPr>
          <w:t xml:space="preserve"> </w:t>
        </w:r>
        <w:r w:rsidR="000F437A" w:rsidRPr="00874BE8">
          <w:rPr>
            <w:rStyle w:val="Hyperlink"/>
            <w:noProof/>
            <w:lang w:val="fr-BE"/>
          </w:rPr>
          <w:t>Qualification de règle technique</w:t>
        </w:r>
        <w:r w:rsidR="000F437A">
          <w:rPr>
            <w:noProof/>
            <w:webHidden/>
          </w:rPr>
          <w:tab/>
        </w:r>
        <w:r w:rsidR="000F437A">
          <w:rPr>
            <w:noProof/>
            <w:webHidden/>
          </w:rPr>
          <w:fldChar w:fldCharType="begin"/>
        </w:r>
        <w:r w:rsidR="000F437A">
          <w:rPr>
            <w:noProof/>
            <w:webHidden/>
          </w:rPr>
          <w:instrText xml:space="preserve"> PAGEREF _Toc203035377 \h </w:instrText>
        </w:r>
        <w:r w:rsidR="000F437A">
          <w:rPr>
            <w:noProof/>
            <w:webHidden/>
          </w:rPr>
        </w:r>
        <w:r w:rsidR="000F437A">
          <w:rPr>
            <w:noProof/>
            <w:webHidden/>
          </w:rPr>
          <w:fldChar w:fldCharType="separate"/>
        </w:r>
        <w:r w:rsidR="000F437A">
          <w:rPr>
            <w:noProof/>
            <w:webHidden/>
          </w:rPr>
          <w:t>4</w:t>
        </w:r>
        <w:r w:rsidR="000F437A">
          <w:rPr>
            <w:noProof/>
            <w:webHidden/>
          </w:rPr>
          <w:fldChar w:fldCharType="end"/>
        </w:r>
      </w:hyperlink>
    </w:p>
    <w:p w14:paraId="061426C7" w14:textId="2ED57CA2"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78" w:history="1">
        <w:r w:rsidR="000F437A" w:rsidRPr="00874BE8">
          <w:rPr>
            <w:rStyle w:val="Hyperlink"/>
            <w:noProof/>
            <w:lang w:val="fr-BE"/>
          </w:rPr>
          <w:t>a. Critères communs aux règles techniques</w:t>
        </w:r>
        <w:r w:rsidR="000F437A">
          <w:rPr>
            <w:noProof/>
            <w:webHidden/>
          </w:rPr>
          <w:tab/>
        </w:r>
        <w:r w:rsidR="000F437A">
          <w:rPr>
            <w:noProof/>
            <w:webHidden/>
          </w:rPr>
          <w:fldChar w:fldCharType="begin"/>
        </w:r>
        <w:r w:rsidR="000F437A">
          <w:rPr>
            <w:noProof/>
            <w:webHidden/>
          </w:rPr>
          <w:instrText xml:space="preserve"> PAGEREF _Toc203035378 \h </w:instrText>
        </w:r>
        <w:r w:rsidR="000F437A">
          <w:rPr>
            <w:noProof/>
            <w:webHidden/>
          </w:rPr>
        </w:r>
        <w:r w:rsidR="000F437A">
          <w:rPr>
            <w:noProof/>
            <w:webHidden/>
          </w:rPr>
          <w:fldChar w:fldCharType="separate"/>
        </w:r>
        <w:r w:rsidR="000F437A">
          <w:rPr>
            <w:noProof/>
            <w:webHidden/>
          </w:rPr>
          <w:t>4</w:t>
        </w:r>
        <w:r w:rsidR="000F437A">
          <w:rPr>
            <w:noProof/>
            <w:webHidden/>
          </w:rPr>
          <w:fldChar w:fldCharType="end"/>
        </w:r>
      </w:hyperlink>
    </w:p>
    <w:p w14:paraId="4E2055CB" w14:textId="1069FD18"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79" w:history="1">
        <w:r w:rsidR="000F437A" w:rsidRPr="00874BE8">
          <w:rPr>
            <w:rStyle w:val="Hyperlink"/>
            <w:noProof/>
            <w:lang w:val="fr-BE"/>
          </w:rPr>
          <w:t>b. Spécifications techniques</w:t>
        </w:r>
        <w:r w:rsidR="000F437A">
          <w:rPr>
            <w:noProof/>
            <w:webHidden/>
          </w:rPr>
          <w:tab/>
        </w:r>
        <w:r w:rsidR="000F437A">
          <w:rPr>
            <w:noProof/>
            <w:webHidden/>
          </w:rPr>
          <w:fldChar w:fldCharType="begin"/>
        </w:r>
        <w:r w:rsidR="000F437A">
          <w:rPr>
            <w:noProof/>
            <w:webHidden/>
          </w:rPr>
          <w:instrText xml:space="preserve"> PAGEREF _Toc203035379 \h </w:instrText>
        </w:r>
        <w:r w:rsidR="000F437A">
          <w:rPr>
            <w:noProof/>
            <w:webHidden/>
          </w:rPr>
        </w:r>
        <w:r w:rsidR="000F437A">
          <w:rPr>
            <w:noProof/>
            <w:webHidden/>
          </w:rPr>
          <w:fldChar w:fldCharType="separate"/>
        </w:r>
        <w:r w:rsidR="000F437A">
          <w:rPr>
            <w:noProof/>
            <w:webHidden/>
          </w:rPr>
          <w:t>7</w:t>
        </w:r>
        <w:r w:rsidR="000F437A">
          <w:rPr>
            <w:noProof/>
            <w:webHidden/>
          </w:rPr>
          <w:fldChar w:fldCharType="end"/>
        </w:r>
      </w:hyperlink>
    </w:p>
    <w:p w14:paraId="49881ABF" w14:textId="32E70B59"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0" w:history="1">
        <w:r w:rsidR="000F437A" w:rsidRPr="00874BE8">
          <w:rPr>
            <w:rStyle w:val="Hyperlink"/>
            <w:noProof/>
            <w:lang w:val="fr-BE"/>
          </w:rPr>
          <w:t>c. Autres exigences</w:t>
        </w:r>
        <w:r w:rsidR="000F437A">
          <w:rPr>
            <w:noProof/>
            <w:webHidden/>
          </w:rPr>
          <w:tab/>
        </w:r>
        <w:r w:rsidR="000F437A">
          <w:rPr>
            <w:noProof/>
            <w:webHidden/>
          </w:rPr>
          <w:fldChar w:fldCharType="begin"/>
        </w:r>
        <w:r w:rsidR="000F437A">
          <w:rPr>
            <w:noProof/>
            <w:webHidden/>
          </w:rPr>
          <w:instrText xml:space="preserve"> PAGEREF _Toc203035380 \h </w:instrText>
        </w:r>
        <w:r w:rsidR="000F437A">
          <w:rPr>
            <w:noProof/>
            <w:webHidden/>
          </w:rPr>
        </w:r>
        <w:r w:rsidR="000F437A">
          <w:rPr>
            <w:noProof/>
            <w:webHidden/>
          </w:rPr>
          <w:fldChar w:fldCharType="separate"/>
        </w:r>
        <w:r w:rsidR="000F437A">
          <w:rPr>
            <w:noProof/>
            <w:webHidden/>
          </w:rPr>
          <w:t>15</w:t>
        </w:r>
        <w:r w:rsidR="000F437A">
          <w:rPr>
            <w:noProof/>
            <w:webHidden/>
          </w:rPr>
          <w:fldChar w:fldCharType="end"/>
        </w:r>
      </w:hyperlink>
    </w:p>
    <w:p w14:paraId="0576EE9A" w14:textId="6BBBAE62"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1" w:history="1">
        <w:r w:rsidR="000F437A" w:rsidRPr="00874BE8">
          <w:rPr>
            <w:rStyle w:val="Hyperlink"/>
            <w:noProof/>
            <w:lang w:val="fr-BE"/>
          </w:rPr>
          <w:t>d. Règles relatives aux services</w:t>
        </w:r>
        <w:r w:rsidR="000F437A">
          <w:rPr>
            <w:noProof/>
            <w:webHidden/>
          </w:rPr>
          <w:tab/>
        </w:r>
        <w:r w:rsidR="000F437A">
          <w:rPr>
            <w:noProof/>
            <w:webHidden/>
          </w:rPr>
          <w:fldChar w:fldCharType="begin"/>
        </w:r>
        <w:r w:rsidR="000F437A">
          <w:rPr>
            <w:noProof/>
            <w:webHidden/>
          </w:rPr>
          <w:instrText xml:space="preserve"> PAGEREF _Toc203035381 \h </w:instrText>
        </w:r>
        <w:r w:rsidR="000F437A">
          <w:rPr>
            <w:noProof/>
            <w:webHidden/>
          </w:rPr>
        </w:r>
        <w:r w:rsidR="000F437A">
          <w:rPr>
            <w:noProof/>
            <w:webHidden/>
          </w:rPr>
          <w:fldChar w:fldCharType="separate"/>
        </w:r>
        <w:r w:rsidR="000F437A">
          <w:rPr>
            <w:noProof/>
            <w:webHidden/>
          </w:rPr>
          <w:t>22</w:t>
        </w:r>
        <w:r w:rsidR="000F437A">
          <w:rPr>
            <w:noProof/>
            <w:webHidden/>
          </w:rPr>
          <w:fldChar w:fldCharType="end"/>
        </w:r>
      </w:hyperlink>
    </w:p>
    <w:p w14:paraId="3EAC3BEC" w14:textId="38168824"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2" w:history="1">
        <w:r w:rsidR="000F437A" w:rsidRPr="00874BE8">
          <w:rPr>
            <w:rStyle w:val="Hyperlink"/>
            <w:noProof/>
            <w:lang w:val="fr-BE"/>
          </w:rPr>
          <w:t>e. Dispositions d’interdiction</w:t>
        </w:r>
        <w:r w:rsidR="000F437A">
          <w:rPr>
            <w:noProof/>
            <w:webHidden/>
          </w:rPr>
          <w:tab/>
        </w:r>
        <w:r w:rsidR="000F437A">
          <w:rPr>
            <w:noProof/>
            <w:webHidden/>
          </w:rPr>
          <w:fldChar w:fldCharType="begin"/>
        </w:r>
        <w:r w:rsidR="000F437A">
          <w:rPr>
            <w:noProof/>
            <w:webHidden/>
          </w:rPr>
          <w:instrText xml:space="preserve"> PAGEREF _Toc203035382 \h </w:instrText>
        </w:r>
        <w:r w:rsidR="000F437A">
          <w:rPr>
            <w:noProof/>
            <w:webHidden/>
          </w:rPr>
        </w:r>
        <w:r w:rsidR="000F437A">
          <w:rPr>
            <w:noProof/>
            <w:webHidden/>
          </w:rPr>
          <w:fldChar w:fldCharType="separate"/>
        </w:r>
        <w:r w:rsidR="000F437A">
          <w:rPr>
            <w:noProof/>
            <w:webHidden/>
          </w:rPr>
          <w:t>31</w:t>
        </w:r>
        <w:r w:rsidR="000F437A">
          <w:rPr>
            <w:noProof/>
            <w:webHidden/>
          </w:rPr>
          <w:fldChar w:fldCharType="end"/>
        </w:r>
      </w:hyperlink>
    </w:p>
    <w:p w14:paraId="7083AC7D" w14:textId="10132F5B"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3" w:history="1">
        <w:r w:rsidR="000F437A" w:rsidRPr="00874BE8">
          <w:rPr>
            <w:rStyle w:val="Hyperlink"/>
            <w:noProof/>
            <w:lang w:val="fr-BE"/>
          </w:rPr>
          <w:t>f. Règles techniques de facto</w:t>
        </w:r>
        <w:r w:rsidR="000F437A">
          <w:rPr>
            <w:noProof/>
            <w:webHidden/>
          </w:rPr>
          <w:tab/>
        </w:r>
        <w:r w:rsidR="000F437A">
          <w:rPr>
            <w:noProof/>
            <w:webHidden/>
          </w:rPr>
          <w:fldChar w:fldCharType="begin"/>
        </w:r>
        <w:r w:rsidR="000F437A">
          <w:rPr>
            <w:noProof/>
            <w:webHidden/>
          </w:rPr>
          <w:instrText xml:space="preserve"> PAGEREF _Toc203035383 \h </w:instrText>
        </w:r>
        <w:r w:rsidR="000F437A">
          <w:rPr>
            <w:noProof/>
            <w:webHidden/>
          </w:rPr>
        </w:r>
        <w:r w:rsidR="000F437A">
          <w:rPr>
            <w:noProof/>
            <w:webHidden/>
          </w:rPr>
          <w:fldChar w:fldCharType="separate"/>
        </w:r>
        <w:r w:rsidR="000F437A">
          <w:rPr>
            <w:noProof/>
            <w:webHidden/>
          </w:rPr>
          <w:t>34</w:t>
        </w:r>
        <w:r w:rsidR="000F437A">
          <w:rPr>
            <w:noProof/>
            <w:webHidden/>
          </w:rPr>
          <w:fldChar w:fldCharType="end"/>
        </w:r>
      </w:hyperlink>
    </w:p>
    <w:p w14:paraId="067D3CDC" w14:textId="0220A23D"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4" w:history="1">
        <w:r w:rsidR="000F437A" w:rsidRPr="00874BE8">
          <w:rPr>
            <w:rStyle w:val="Hyperlink"/>
            <w:noProof/>
            <w:lang w:val="fr-BE"/>
          </w:rPr>
          <w:t>g. Matières exclues</w:t>
        </w:r>
        <w:r w:rsidR="000F437A">
          <w:rPr>
            <w:noProof/>
            <w:webHidden/>
          </w:rPr>
          <w:tab/>
        </w:r>
        <w:r w:rsidR="000F437A">
          <w:rPr>
            <w:noProof/>
            <w:webHidden/>
          </w:rPr>
          <w:fldChar w:fldCharType="begin"/>
        </w:r>
        <w:r w:rsidR="000F437A">
          <w:rPr>
            <w:noProof/>
            <w:webHidden/>
          </w:rPr>
          <w:instrText xml:space="preserve"> PAGEREF _Toc203035384 \h </w:instrText>
        </w:r>
        <w:r w:rsidR="000F437A">
          <w:rPr>
            <w:noProof/>
            <w:webHidden/>
          </w:rPr>
        </w:r>
        <w:r w:rsidR="000F437A">
          <w:rPr>
            <w:noProof/>
            <w:webHidden/>
          </w:rPr>
          <w:fldChar w:fldCharType="separate"/>
        </w:r>
        <w:r w:rsidR="000F437A">
          <w:rPr>
            <w:noProof/>
            <w:webHidden/>
          </w:rPr>
          <w:t>37</w:t>
        </w:r>
        <w:r w:rsidR="000F437A">
          <w:rPr>
            <w:noProof/>
            <w:webHidden/>
          </w:rPr>
          <w:fldChar w:fldCharType="end"/>
        </w:r>
      </w:hyperlink>
    </w:p>
    <w:p w14:paraId="0D948ABC" w14:textId="7C4C81CC" w:rsidR="000F437A" w:rsidRDefault="00B3389F">
      <w:pPr>
        <w:pStyle w:val="TOC1"/>
        <w:tabs>
          <w:tab w:val="right" w:leader="dot" w:pos="9016"/>
        </w:tabs>
        <w:rPr>
          <w:rFonts w:eastAsiaTheme="minorEastAsia"/>
          <w:b w:val="0"/>
          <w:bCs w:val="0"/>
          <w:caps w:val="0"/>
          <w:noProof/>
          <w:kern w:val="2"/>
          <w:sz w:val="24"/>
          <w:szCs w:val="24"/>
          <w:lang w:val="en-IE" w:eastAsia="en-IE"/>
          <w14:ligatures w14:val="standardContextual"/>
        </w:rPr>
      </w:pPr>
      <w:hyperlink w:anchor="_Toc203035385" w:history="1">
        <w:r w:rsidR="000F437A" w:rsidRPr="00874BE8">
          <w:rPr>
            <w:rStyle w:val="Hyperlink"/>
            <w:noProof/>
            <w:lang w:val="fr-BE"/>
          </w:rPr>
          <w:t>II. Obligation de notification</w:t>
        </w:r>
        <w:r w:rsidR="000F437A">
          <w:rPr>
            <w:noProof/>
            <w:webHidden/>
          </w:rPr>
          <w:tab/>
        </w:r>
        <w:r w:rsidR="000F437A">
          <w:rPr>
            <w:noProof/>
            <w:webHidden/>
          </w:rPr>
          <w:fldChar w:fldCharType="begin"/>
        </w:r>
        <w:r w:rsidR="000F437A">
          <w:rPr>
            <w:noProof/>
            <w:webHidden/>
          </w:rPr>
          <w:instrText xml:space="preserve"> PAGEREF _Toc203035385 \h </w:instrText>
        </w:r>
        <w:r w:rsidR="000F437A">
          <w:rPr>
            <w:noProof/>
            <w:webHidden/>
          </w:rPr>
        </w:r>
        <w:r w:rsidR="000F437A">
          <w:rPr>
            <w:noProof/>
            <w:webHidden/>
          </w:rPr>
          <w:fldChar w:fldCharType="separate"/>
        </w:r>
        <w:r w:rsidR="000F437A">
          <w:rPr>
            <w:noProof/>
            <w:webHidden/>
          </w:rPr>
          <w:t>39</w:t>
        </w:r>
        <w:r w:rsidR="000F437A">
          <w:rPr>
            <w:noProof/>
            <w:webHidden/>
          </w:rPr>
          <w:fldChar w:fldCharType="end"/>
        </w:r>
      </w:hyperlink>
    </w:p>
    <w:p w14:paraId="169AF45D" w14:textId="4AD1366B"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6" w:history="1">
        <w:r w:rsidR="000F437A" w:rsidRPr="00874BE8">
          <w:rPr>
            <w:rStyle w:val="Hyperlink"/>
            <w:noProof/>
            <w:lang w:val="fr-BE"/>
          </w:rPr>
          <w:t>a. Notification à l’état de projet</w:t>
        </w:r>
        <w:r w:rsidR="000F437A">
          <w:rPr>
            <w:noProof/>
            <w:webHidden/>
          </w:rPr>
          <w:tab/>
        </w:r>
        <w:r w:rsidR="000F437A">
          <w:rPr>
            <w:noProof/>
            <w:webHidden/>
          </w:rPr>
          <w:fldChar w:fldCharType="begin"/>
        </w:r>
        <w:r w:rsidR="000F437A">
          <w:rPr>
            <w:noProof/>
            <w:webHidden/>
          </w:rPr>
          <w:instrText xml:space="preserve"> PAGEREF _Toc203035386 \h </w:instrText>
        </w:r>
        <w:r w:rsidR="000F437A">
          <w:rPr>
            <w:noProof/>
            <w:webHidden/>
          </w:rPr>
        </w:r>
        <w:r w:rsidR="000F437A">
          <w:rPr>
            <w:noProof/>
            <w:webHidden/>
          </w:rPr>
          <w:fldChar w:fldCharType="separate"/>
        </w:r>
        <w:r w:rsidR="000F437A">
          <w:rPr>
            <w:noProof/>
            <w:webHidden/>
          </w:rPr>
          <w:t>39</w:t>
        </w:r>
        <w:r w:rsidR="000F437A">
          <w:rPr>
            <w:noProof/>
            <w:webHidden/>
          </w:rPr>
          <w:fldChar w:fldCharType="end"/>
        </w:r>
      </w:hyperlink>
    </w:p>
    <w:p w14:paraId="519D51C0" w14:textId="5B68E01F"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7" w:history="1">
        <w:r w:rsidR="000F437A" w:rsidRPr="00874BE8">
          <w:rPr>
            <w:rStyle w:val="Hyperlink"/>
            <w:noProof/>
            <w:lang w:val="fr-BE"/>
          </w:rPr>
          <w:t>b. Notifications des règles techniques nouvelles</w:t>
        </w:r>
        <w:r w:rsidR="000F437A">
          <w:rPr>
            <w:noProof/>
            <w:webHidden/>
          </w:rPr>
          <w:tab/>
        </w:r>
        <w:r w:rsidR="000F437A">
          <w:rPr>
            <w:noProof/>
            <w:webHidden/>
          </w:rPr>
          <w:fldChar w:fldCharType="begin"/>
        </w:r>
        <w:r w:rsidR="000F437A">
          <w:rPr>
            <w:noProof/>
            <w:webHidden/>
          </w:rPr>
          <w:instrText xml:space="preserve"> PAGEREF _Toc203035387 \h </w:instrText>
        </w:r>
        <w:r w:rsidR="000F437A">
          <w:rPr>
            <w:noProof/>
            <w:webHidden/>
          </w:rPr>
        </w:r>
        <w:r w:rsidR="000F437A">
          <w:rPr>
            <w:noProof/>
            <w:webHidden/>
          </w:rPr>
          <w:fldChar w:fldCharType="separate"/>
        </w:r>
        <w:r w:rsidR="000F437A">
          <w:rPr>
            <w:noProof/>
            <w:webHidden/>
          </w:rPr>
          <w:t>41</w:t>
        </w:r>
        <w:r w:rsidR="000F437A">
          <w:rPr>
            <w:noProof/>
            <w:webHidden/>
          </w:rPr>
          <w:fldChar w:fldCharType="end"/>
        </w:r>
      </w:hyperlink>
    </w:p>
    <w:p w14:paraId="1B5614E9" w14:textId="52B184F9"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8" w:history="1">
        <w:r w:rsidR="000F437A" w:rsidRPr="00874BE8">
          <w:rPr>
            <w:rStyle w:val="Hyperlink"/>
            <w:noProof/>
            <w:lang w:val="fr-BE"/>
          </w:rPr>
          <w:t>c. Notification de l’intégralité du texte</w:t>
        </w:r>
        <w:r w:rsidR="000F437A">
          <w:rPr>
            <w:noProof/>
            <w:webHidden/>
          </w:rPr>
          <w:tab/>
        </w:r>
        <w:r w:rsidR="000F437A">
          <w:rPr>
            <w:noProof/>
            <w:webHidden/>
          </w:rPr>
          <w:fldChar w:fldCharType="begin"/>
        </w:r>
        <w:r w:rsidR="000F437A">
          <w:rPr>
            <w:noProof/>
            <w:webHidden/>
          </w:rPr>
          <w:instrText xml:space="preserve"> PAGEREF _Toc203035388 \h </w:instrText>
        </w:r>
        <w:r w:rsidR="000F437A">
          <w:rPr>
            <w:noProof/>
            <w:webHidden/>
          </w:rPr>
        </w:r>
        <w:r w:rsidR="000F437A">
          <w:rPr>
            <w:noProof/>
            <w:webHidden/>
          </w:rPr>
          <w:fldChar w:fldCharType="separate"/>
        </w:r>
        <w:r w:rsidR="000F437A">
          <w:rPr>
            <w:noProof/>
            <w:webHidden/>
          </w:rPr>
          <w:t>43</w:t>
        </w:r>
        <w:r w:rsidR="000F437A">
          <w:rPr>
            <w:noProof/>
            <w:webHidden/>
          </w:rPr>
          <w:fldChar w:fldCharType="end"/>
        </w:r>
      </w:hyperlink>
    </w:p>
    <w:p w14:paraId="506CE02C" w14:textId="1FD60302"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89" w:history="1">
        <w:r w:rsidR="000F437A" w:rsidRPr="00874BE8">
          <w:rPr>
            <w:rStyle w:val="Hyperlink"/>
            <w:noProof/>
            <w:lang w:val="fr-BE"/>
          </w:rPr>
          <w:t>d. Notification des dispositions de base principalement et directement concernées</w:t>
        </w:r>
        <w:r w:rsidR="000F437A">
          <w:rPr>
            <w:noProof/>
            <w:webHidden/>
          </w:rPr>
          <w:tab/>
        </w:r>
        <w:r w:rsidR="000F437A">
          <w:rPr>
            <w:noProof/>
            <w:webHidden/>
          </w:rPr>
          <w:fldChar w:fldCharType="begin"/>
        </w:r>
        <w:r w:rsidR="000F437A">
          <w:rPr>
            <w:noProof/>
            <w:webHidden/>
          </w:rPr>
          <w:instrText xml:space="preserve"> PAGEREF _Toc203035389 \h </w:instrText>
        </w:r>
        <w:r w:rsidR="000F437A">
          <w:rPr>
            <w:noProof/>
            <w:webHidden/>
          </w:rPr>
        </w:r>
        <w:r w:rsidR="000F437A">
          <w:rPr>
            <w:noProof/>
            <w:webHidden/>
          </w:rPr>
          <w:fldChar w:fldCharType="separate"/>
        </w:r>
        <w:r w:rsidR="000F437A">
          <w:rPr>
            <w:noProof/>
            <w:webHidden/>
          </w:rPr>
          <w:t>44</w:t>
        </w:r>
        <w:r w:rsidR="000F437A">
          <w:rPr>
            <w:noProof/>
            <w:webHidden/>
          </w:rPr>
          <w:fldChar w:fldCharType="end"/>
        </w:r>
      </w:hyperlink>
    </w:p>
    <w:p w14:paraId="7BE0D44B" w14:textId="585794F4"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0" w:history="1">
        <w:r w:rsidR="000F437A" w:rsidRPr="00874BE8">
          <w:rPr>
            <w:rStyle w:val="Hyperlink"/>
            <w:noProof/>
            <w:lang w:val="fr-BE"/>
          </w:rPr>
          <w:t>e. Re-notification pendant la période de statu quo</w:t>
        </w:r>
        <w:r w:rsidR="000F437A">
          <w:rPr>
            <w:noProof/>
            <w:webHidden/>
          </w:rPr>
          <w:tab/>
        </w:r>
        <w:r w:rsidR="000F437A">
          <w:rPr>
            <w:noProof/>
            <w:webHidden/>
          </w:rPr>
          <w:fldChar w:fldCharType="begin"/>
        </w:r>
        <w:r w:rsidR="000F437A">
          <w:rPr>
            <w:noProof/>
            <w:webHidden/>
          </w:rPr>
          <w:instrText xml:space="preserve"> PAGEREF _Toc203035390 \h </w:instrText>
        </w:r>
        <w:r w:rsidR="000F437A">
          <w:rPr>
            <w:noProof/>
            <w:webHidden/>
          </w:rPr>
        </w:r>
        <w:r w:rsidR="000F437A">
          <w:rPr>
            <w:noProof/>
            <w:webHidden/>
          </w:rPr>
          <w:fldChar w:fldCharType="separate"/>
        </w:r>
        <w:r w:rsidR="000F437A">
          <w:rPr>
            <w:noProof/>
            <w:webHidden/>
          </w:rPr>
          <w:t>45</w:t>
        </w:r>
        <w:r w:rsidR="000F437A">
          <w:rPr>
            <w:noProof/>
            <w:webHidden/>
          </w:rPr>
          <w:fldChar w:fldCharType="end"/>
        </w:r>
      </w:hyperlink>
    </w:p>
    <w:p w14:paraId="7B3D390E" w14:textId="75A28A18" w:rsidR="000F437A" w:rsidRDefault="00B3389F">
      <w:pPr>
        <w:pStyle w:val="TOC1"/>
        <w:tabs>
          <w:tab w:val="right" w:leader="dot" w:pos="9016"/>
        </w:tabs>
        <w:rPr>
          <w:rFonts w:eastAsiaTheme="minorEastAsia"/>
          <w:b w:val="0"/>
          <w:bCs w:val="0"/>
          <w:caps w:val="0"/>
          <w:noProof/>
          <w:kern w:val="2"/>
          <w:sz w:val="24"/>
          <w:szCs w:val="24"/>
          <w:lang w:val="en-IE" w:eastAsia="en-IE"/>
          <w14:ligatures w14:val="standardContextual"/>
        </w:rPr>
      </w:pPr>
      <w:hyperlink w:anchor="_Toc203035391" w:history="1">
        <w:r w:rsidR="000F437A" w:rsidRPr="00874BE8">
          <w:rPr>
            <w:rStyle w:val="Hyperlink"/>
            <w:noProof/>
            <w:lang w:val="fr-FR"/>
          </w:rPr>
          <w:t>III. Exceptions à l’obligation de notification</w:t>
        </w:r>
        <w:r w:rsidR="000F437A">
          <w:rPr>
            <w:noProof/>
            <w:webHidden/>
          </w:rPr>
          <w:tab/>
        </w:r>
        <w:r w:rsidR="000F437A">
          <w:rPr>
            <w:noProof/>
            <w:webHidden/>
          </w:rPr>
          <w:fldChar w:fldCharType="begin"/>
        </w:r>
        <w:r w:rsidR="000F437A">
          <w:rPr>
            <w:noProof/>
            <w:webHidden/>
          </w:rPr>
          <w:instrText xml:space="preserve"> PAGEREF _Toc203035391 \h </w:instrText>
        </w:r>
        <w:r w:rsidR="000F437A">
          <w:rPr>
            <w:noProof/>
            <w:webHidden/>
          </w:rPr>
        </w:r>
        <w:r w:rsidR="000F437A">
          <w:rPr>
            <w:noProof/>
            <w:webHidden/>
          </w:rPr>
          <w:fldChar w:fldCharType="separate"/>
        </w:r>
        <w:r w:rsidR="000F437A">
          <w:rPr>
            <w:noProof/>
            <w:webHidden/>
          </w:rPr>
          <w:t>47</w:t>
        </w:r>
        <w:r w:rsidR="000F437A">
          <w:rPr>
            <w:noProof/>
            <w:webHidden/>
          </w:rPr>
          <w:fldChar w:fldCharType="end"/>
        </w:r>
      </w:hyperlink>
    </w:p>
    <w:p w14:paraId="76C2B901" w14:textId="43FD2D46"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2" w:history="1">
        <w:r w:rsidR="000F437A" w:rsidRPr="00874BE8">
          <w:rPr>
            <w:rStyle w:val="Hyperlink"/>
            <w:noProof/>
            <w:lang w:val="fr-BE"/>
          </w:rPr>
          <w:t>a. Transposition d’acte européen</w:t>
        </w:r>
        <w:r w:rsidR="000F437A">
          <w:rPr>
            <w:noProof/>
            <w:webHidden/>
          </w:rPr>
          <w:tab/>
        </w:r>
        <w:r w:rsidR="000F437A">
          <w:rPr>
            <w:noProof/>
            <w:webHidden/>
          </w:rPr>
          <w:fldChar w:fldCharType="begin"/>
        </w:r>
        <w:r w:rsidR="000F437A">
          <w:rPr>
            <w:noProof/>
            <w:webHidden/>
          </w:rPr>
          <w:instrText xml:space="preserve"> PAGEREF _Toc203035392 \h </w:instrText>
        </w:r>
        <w:r w:rsidR="000F437A">
          <w:rPr>
            <w:noProof/>
            <w:webHidden/>
          </w:rPr>
        </w:r>
        <w:r w:rsidR="000F437A">
          <w:rPr>
            <w:noProof/>
            <w:webHidden/>
          </w:rPr>
          <w:fldChar w:fldCharType="separate"/>
        </w:r>
        <w:r w:rsidR="000F437A">
          <w:rPr>
            <w:noProof/>
            <w:webHidden/>
          </w:rPr>
          <w:t>47</w:t>
        </w:r>
        <w:r w:rsidR="000F437A">
          <w:rPr>
            <w:noProof/>
            <w:webHidden/>
          </w:rPr>
          <w:fldChar w:fldCharType="end"/>
        </w:r>
      </w:hyperlink>
    </w:p>
    <w:p w14:paraId="2740635C" w14:textId="1BBE44A1"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3" w:history="1">
        <w:r w:rsidR="000F437A" w:rsidRPr="00874BE8">
          <w:rPr>
            <w:rStyle w:val="Hyperlink"/>
            <w:noProof/>
            <w:lang w:val="fr-BE"/>
          </w:rPr>
          <w:t>b. Utilisation d’une clause de sauvegarde</w:t>
        </w:r>
        <w:r w:rsidR="000F437A">
          <w:rPr>
            <w:noProof/>
            <w:webHidden/>
          </w:rPr>
          <w:tab/>
        </w:r>
        <w:r w:rsidR="000F437A">
          <w:rPr>
            <w:noProof/>
            <w:webHidden/>
          </w:rPr>
          <w:fldChar w:fldCharType="begin"/>
        </w:r>
        <w:r w:rsidR="000F437A">
          <w:rPr>
            <w:noProof/>
            <w:webHidden/>
          </w:rPr>
          <w:instrText xml:space="preserve"> PAGEREF _Toc203035393 \h </w:instrText>
        </w:r>
        <w:r w:rsidR="000F437A">
          <w:rPr>
            <w:noProof/>
            <w:webHidden/>
          </w:rPr>
        </w:r>
        <w:r w:rsidR="000F437A">
          <w:rPr>
            <w:noProof/>
            <w:webHidden/>
          </w:rPr>
          <w:fldChar w:fldCharType="separate"/>
        </w:r>
        <w:r w:rsidR="000F437A">
          <w:rPr>
            <w:noProof/>
            <w:webHidden/>
          </w:rPr>
          <w:t>50</w:t>
        </w:r>
        <w:r w:rsidR="000F437A">
          <w:rPr>
            <w:noProof/>
            <w:webHidden/>
          </w:rPr>
          <w:fldChar w:fldCharType="end"/>
        </w:r>
      </w:hyperlink>
    </w:p>
    <w:p w14:paraId="6C308DF8" w14:textId="526F36AB"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4" w:history="1">
        <w:r w:rsidR="000F437A" w:rsidRPr="00874BE8">
          <w:rPr>
            <w:rStyle w:val="Hyperlink"/>
            <w:noProof/>
            <w:lang w:val="fr-BE"/>
          </w:rPr>
          <w:t>c. Modification conformément à une demande de la Commission</w:t>
        </w:r>
        <w:r w:rsidR="000F437A">
          <w:rPr>
            <w:noProof/>
            <w:webHidden/>
          </w:rPr>
          <w:tab/>
        </w:r>
        <w:r w:rsidR="000F437A">
          <w:rPr>
            <w:noProof/>
            <w:webHidden/>
          </w:rPr>
          <w:fldChar w:fldCharType="begin"/>
        </w:r>
        <w:r w:rsidR="000F437A">
          <w:rPr>
            <w:noProof/>
            <w:webHidden/>
          </w:rPr>
          <w:instrText xml:space="preserve"> PAGEREF _Toc203035394 \h </w:instrText>
        </w:r>
        <w:r w:rsidR="000F437A">
          <w:rPr>
            <w:noProof/>
            <w:webHidden/>
          </w:rPr>
        </w:r>
        <w:r w:rsidR="000F437A">
          <w:rPr>
            <w:noProof/>
            <w:webHidden/>
          </w:rPr>
          <w:fldChar w:fldCharType="separate"/>
        </w:r>
        <w:r w:rsidR="000F437A">
          <w:rPr>
            <w:noProof/>
            <w:webHidden/>
          </w:rPr>
          <w:t>52</w:t>
        </w:r>
        <w:r w:rsidR="000F437A">
          <w:rPr>
            <w:noProof/>
            <w:webHidden/>
          </w:rPr>
          <w:fldChar w:fldCharType="end"/>
        </w:r>
      </w:hyperlink>
    </w:p>
    <w:p w14:paraId="1DC36339" w14:textId="3AACED15"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5" w:history="1">
        <w:r w:rsidR="000F437A" w:rsidRPr="00874BE8">
          <w:rPr>
            <w:rStyle w:val="Hyperlink"/>
            <w:noProof/>
            <w:lang w:val="fr-BE"/>
          </w:rPr>
          <w:t>d. Circonstances ne formant pas une exception</w:t>
        </w:r>
        <w:r w:rsidR="000F437A">
          <w:rPr>
            <w:noProof/>
            <w:webHidden/>
          </w:rPr>
          <w:tab/>
        </w:r>
        <w:r w:rsidR="000F437A">
          <w:rPr>
            <w:noProof/>
            <w:webHidden/>
          </w:rPr>
          <w:fldChar w:fldCharType="begin"/>
        </w:r>
        <w:r w:rsidR="000F437A">
          <w:rPr>
            <w:noProof/>
            <w:webHidden/>
          </w:rPr>
          <w:instrText xml:space="preserve"> PAGEREF _Toc203035395 \h </w:instrText>
        </w:r>
        <w:r w:rsidR="000F437A">
          <w:rPr>
            <w:noProof/>
            <w:webHidden/>
          </w:rPr>
        </w:r>
        <w:r w:rsidR="000F437A">
          <w:rPr>
            <w:noProof/>
            <w:webHidden/>
          </w:rPr>
          <w:fldChar w:fldCharType="separate"/>
        </w:r>
        <w:r w:rsidR="000F437A">
          <w:rPr>
            <w:noProof/>
            <w:webHidden/>
          </w:rPr>
          <w:t>53</w:t>
        </w:r>
        <w:r w:rsidR="000F437A">
          <w:rPr>
            <w:noProof/>
            <w:webHidden/>
          </w:rPr>
          <w:fldChar w:fldCharType="end"/>
        </w:r>
      </w:hyperlink>
    </w:p>
    <w:p w14:paraId="6BC24C8F" w14:textId="0EBBC05C" w:rsidR="000F437A" w:rsidRDefault="00B3389F">
      <w:pPr>
        <w:pStyle w:val="TOC1"/>
        <w:tabs>
          <w:tab w:val="right" w:leader="dot" w:pos="9016"/>
        </w:tabs>
        <w:rPr>
          <w:rFonts w:eastAsiaTheme="minorEastAsia"/>
          <w:b w:val="0"/>
          <w:bCs w:val="0"/>
          <w:caps w:val="0"/>
          <w:noProof/>
          <w:kern w:val="2"/>
          <w:sz w:val="24"/>
          <w:szCs w:val="24"/>
          <w:lang w:val="en-IE" w:eastAsia="en-IE"/>
          <w14:ligatures w14:val="standardContextual"/>
        </w:rPr>
      </w:pPr>
      <w:hyperlink w:anchor="_Toc203035396" w:history="1">
        <w:r w:rsidR="000F437A" w:rsidRPr="00874BE8">
          <w:rPr>
            <w:rStyle w:val="Hyperlink"/>
            <w:noProof/>
            <w:lang w:val="fr-BE"/>
          </w:rPr>
          <w:t>IV. Inapplicabilité</w:t>
        </w:r>
        <w:r w:rsidR="000F437A">
          <w:rPr>
            <w:noProof/>
            <w:webHidden/>
          </w:rPr>
          <w:tab/>
        </w:r>
        <w:r w:rsidR="000F437A">
          <w:rPr>
            <w:noProof/>
            <w:webHidden/>
          </w:rPr>
          <w:fldChar w:fldCharType="begin"/>
        </w:r>
        <w:r w:rsidR="000F437A">
          <w:rPr>
            <w:noProof/>
            <w:webHidden/>
          </w:rPr>
          <w:instrText xml:space="preserve"> PAGEREF _Toc203035396 \h </w:instrText>
        </w:r>
        <w:r w:rsidR="000F437A">
          <w:rPr>
            <w:noProof/>
            <w:webHidden/>
          </w:rPr>
        </w:r>
        <w:r w:rsidR="000F437A">
          <w:rPr>
            <w:noProof/>
            <w:webHidden/>
          </w:rPr>
          <w:fldChar w:fldCharType="separate"/>
        </w:r>
        <w:r w:rsidR="000F437A">
          <w:rPr>
            <w:noProof/>
            <w:webHidden/>
          </w:rPr>
          <w:t>55</w:t>
        </w:r>
        <w:r w:rsidR="000F437A">
          <w:rPr>
            <w:noProof/>
            <w:webHidden/>
          </w:rPr>
          <w:fldChar w:fldCharType="end"/>
        </w:r>
      </w:hyperlink>
    </w:p>
    <w:p w14:paraId="17FFF566" w14:textId="01A5D0BD"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7" w:history="1">
        <w:r w:rsidR="000F437A" w:rsidRPr="00874BE8">
          <w:rPr>
            <w:rStyle w:val="Hyperlink"/>
            <w:noProof/>
            <w:lang w:val="fr-BE"/>
          </w:rPr>
          <w:t>a. Inapplicabilité en cas de non-notification</w:t>
        </w:r>
        <w:r w:rsidR="000F437A">
          <w:rPr>
            <w:noProof/>
            <w:webHidden/>
          </w:rPr>
          <w:tab/>
        </w:r>
        <w:r w:rsidR="000F437A">
          <w:rPr>
            <w:noProof/>
            <w:webHidden/>
          </w:rPr>
          <w:fldChar w:fldCharType="begin"/>
        </w:r>
        <w:r w:rsidR="000F437A">
          <w:rPr>
            <w:noProof/>
            <w:webHidden/>
          </w:rPr>
          <w:instrText xml:space="preserve"> PAGEREF _Toc203035397 \h </w:instrText>
        </w:r>
        <w:r w:rsidR="000F437A">
          <w:rPr>
            <w:noProof/>
            <w:webHidden/>
          </w:rPr>
        </w:r>
        <w:r w:rsidR="000F437A">
          <w:rPr>
            <w:noProof/>
            <w:webHidden/>
          </w:rPr>
          <w:fldChar w:fldCharType="separate"/>
        </w:r>
        <w:r w:rsidR="000F437A">
          <w:rPr>
            <w:noProof/>
            <w:webHidden/>
          </w:rPr>
          <w:t>55</w:t>
        </w:r>
        <w:r w:rsidR="000F437A">
          <w:rPr>
            <w:noProof/>
            <w:webHidden/>
          </w:rPr>
          <w:fldChar w:fldCharType="end"/>
        </w:r>
      </w:hyperlink>
    </w:p>
    <w:p w14:paraId="51760FD0" w14:textId="4026FE2E"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8" w:history="1">
        <w:r w:rsidR="000F437A" w:rsidRPr="00874BE8">
          <w:rPr>
            <w:rStyle w:val="Hyperlink"/>
            <w:noProof/>
            <w:lang w:val="fr-BE"/>
          </w:rPr>
          <w:t>b. Inapplicabilité en cas d’adoption pendant la période de statu quo</w:t>
        </w:r>
        <w:r w:rsidR="000F437A">
          <w:rPr>
            <w:noProof/>
            <w:webHidden/>
          </w:rPr>
          <w:tab/>
        </w:r>
        <w:r w:rsidR="000F437A">
          <w:rPr>
            <w:noProof/>
            <w:webHidden/>
          </w:rPr>
          <w:fldChar w:fldCharType="begin"/>
        </w:r>
        <w:r w:rsidR="000F437A">
          <w:rPr>
            <w:noProof/>
            <w:webHidden/>
          </w:rPr>
          <w:instrText xml:space="preserve"> PAGEREF _Toc203035398 \h </w:instrText>
        </w:r>
        <w:r w:rsidR="000F437A">
          <w:rPr>
            <w:noProof/>
            <w:webHidden/>
          </w:rPr>
        </w:r>
        <w:r w:rsidR="000F437A">
          <w:rPr>
            <w:noProof/>
            <w:webHidden/>
          </w:rPr>
          <w:fldChar w:fldCharType="separate"/>
        </w:r>
        <w:r w:rsidR="000F437A">
          <w:rPr>
            <w:noProof/>
            <w:webHidden/>
          </w:rPr>
          <w:t>59</w:t>
        </w:r>
        <w:r w:rsidR="000F437A">
          <w:rPr>
            <w:noProof/>
            <w:webHidden/>
          </w:rPr>
          <w:fldChar w:fldCharType="end"/>
        </w:r>
      </w:hyperlink>
    </w:p>
    <w:p w14:paraId="39497C86" w14:textId="6244A5EE"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399" w:history="1">
        <w:r w:rsidR="000F437A" w:rsidRPr="00874BE8">
          <w:rPr>
            <w:rStyle w:val="Hyperlink"/>
            <w:noProof/>
            <w:lang w:val="fr-BE"/>
          </w:rPr>
          <w:t>c. Précisions quant à l’effet de l’inapplicabilité</w:t>
        </w:r>
        <w:r w:rsidR="000F437A">
          <w:rPr>
            <w:noProof/>
            <w:webHidden/>
          </w:rPr>
          <w:tab/>
        </w:r>
        <w:r w:rsidR="000F437A">
          <w:rPr>
            <w:noProof/>
            <w:webHidden/>
          </w:rPr>
          <w:fldChar w:fldCharType="begin"/>
        </w:r>
        <w:r w:rsidR="000F437A">
          <w:rPr>
            <w:noProof/>
            <w:webHidden/>
          </w:rPr>
          <w:instrText xml:space="preserve"> PAGEREF _Toc203035399 \h </w:instrText>
        </w:r>
        <w:r w:rsidR="000F437A">
          <w:rPr>
            <w:noProof/>
            <w:webHidden/>
          </w:rPr>
        </w:r>
        <w:r w:rsidR="000F437A">
          <w:rPr>
            <w:noProof/>
            <w:webHidden/>
          </w:rPr>
          <w:fldChar w:fldCharType="separate"/>
        </w:r>
        <w:r w:rsidR="000F437A">
          <w:rPr>
            <w:noProof/>
            <w:webHidden/>
          </w:rPr>
          <w:t>61</w:t>
        </w:r>
        <w:r w:rsidR="000F437A">
          <w:rPr>
            <w:noProof/>
            <w:webHidden/>
          </w:rPr>
          <w:fldChar w:fldCharType="end"/>
        </w:r>
      </w:hyperlink>
    </w:p>
    <w:p w14:paraId="533AF1FA" w14:textId="0D1EBD15" w:rsidR="000F437A" w:rsidRDefault="00B3389F">
      <w:pPr>
        <w:pStyle w:val="TOC2"/>
        <w:tabs>
          <w:tab w:val="right" w:leader="dot" w:pos="9016"/>
        </w:tabs>
        <w:rPr>
          <w:rFonts w:eastAsiaTheme="minorEastAsia"/>
          <w:smallCaps w:val="0"/>
          <w:noProof/>
          <w:kern w:val="2"/>
          <w:sz w:val="24"/>
          <w:szCs w:val="24"/>
          <w:lang w:val="en-IE" w:eastAsia="en-IE"/>
          <w14:ligatures w14:val="standardContextual"/>
        </w:rPr>
      </w:pPr>
      <w:hyperlink w:anchor="_Toc203035400" w:history="1">
        <w:r w:rsidR="000F437A" w:rsidRPr="00874BE8">
          <w:rPr>
            <w:rStyle w:val="Hyperlink"/>
            <w:noProof/>
            <w:lang w:val="fr-BE"/>
          </w:rPr>
          <w:t>d. Procédure en manquement</w:t>
        </w:r>
        <w:r w:rsidR="000F437A">
          <w:rPr>
            <w:noProof/>
            <w:webHidden/>
          </w:rPr>
          <w:tab/>
        </w:r>
        <w:r w:rsidR="000F437A">
          <w:rPr>
            <w:noProof/>
            <w:webHidden/>
          </w:rPr>
          <w:fldChar w:fldCharType="begin"/>
        </w:r>
        <w:r w:rsidR="000F437A">
          <w:rPr>
            <w:noProof/>
            <w:webHidden/>
          </w:rPr>
          <w:instrText xml:space="preserve"> PAGEREF _Toc203035400 \h </w:instrText>
        </w:r>
        <w:r w:rsidR="000F437A">
          <w:rPr>
            <w:noProof/>
            <w:webHidden/>
          </w:rPr>
        </w:r>
        <w:r w:rsidR="000F437A">
          <w:rPr>
            <w:noProof/>
            <w:webHidden/>
          </w:rPr>
          <w:fldChar w:fldCharType="separate"/>
        </w:r>
        <w:r w:rsidR="000F437A">
          <w:rPr>
            <w:noProof/>
            <w:webHidden/>
          </w:rPr>
          <w:t>62</w:t>
        </w:r>
        <w:r w:rsidR="000F437A">
          <w:rPr>
            <w:noProof/>
            <w:webHidden/>
          </w:rPr>
          <w:fldChar w:fldCharType="end"/>
        </w:r>
      </w:hyperlink>
    </w:p>
    <w:p w14:paraId="20BBC5E1" w14:textId="1761E0BC" w:rsidR="00E00CFA" w:rsidRPr="002C17AE" w:rsidRDefault="002C17AE" w:rsidP="002C17AE">
      <w:pPr>
        <w:pStyle w:val="BodyText"/>
        <w:rPr>
          <w:sz w:val="18"/>
          <w:szCs w:val="18"/>
        </w:rPr>
      </w:pPr>
      <w:r>
        <w:rPr>
          <w:rFonts w:asciiTheme="majorHAnsi" w:eastAsiaTheme="minorHAnsi" w:hAnsiTheme="majorHAnsi" w:cstheme="minorBidi"/>
          <w:sz w:val="18"/>
          <w:szCs w:val="18"/>
          <w:lang w:val="en-GB" w:eastAsia="en-US"/>
        </w:rPr>
        <w:fldChar w:fldCharType="end"/>
      </w:r>
      <w:bookmarkStart w:id="0" w:name="_Hlk194503326"/>
    </w:p>
    <w:p w14:paraId="2EA98999" w14:textId="77777777" w:rsidR="002C17AE" w:rsidRDefault="002C17AE">
      <w:pPr>
        <w:spacing w:line="278" w:lineRule="auto"/>
        <w:rPr>
          <w:rFonts w:ascii="Times New Roman" w:hAnsi="Times New Roman" w:cs="Times New Roman"/>
          <w:sz w:val="24"/>
          <w:szCs w:val="24"/>
          <w:lang w:val="fr-BE"/>
        </w:rPr>
      </w:pPr>
      <w:r>
        <w:rPr>
          <w:rFonts w:ascii="Times New Roman" w:hAnsi="Times New Roman" w:cs="Times New Roman"/>
          <w:sz w:val="24"/>
          <w:szCs w:val="24"/>
          <w:lang w:val="fr-BE"/>
        </w:rPr>
        <w:br w:type="page"/>
      </w:r>
    </w:p>
    <w:p w14:paraId="6635D92A" w14:textId="7EE191F6" w:rsidR="00334A0D" w:rsidRPr="00724EFA" w:rsidRDefault="00334A0D" w:rsidP="000A18C4">
      <w:pPr>
        <w:spacing w:after="0" w:line="240" w:lineRule="auto"/>
        <w:jc w:val="both"/>
        <w:rPr>
          <w:rFonts w:ascii="Times New Roman" w:hAnsi="Times New Roman" w:cs="Times New Roman"/>
          <w:sz w:val="24"/>
          <w:szCs w:val="24"/>
          <w:lang w:val="fr-BE"/>
        </w:rPr>
      </w:pPr>
      <w:r w:rsidRPr="00724EFA">
        <w:rPr>
          <w:rFonts w:ascii="Times New Roman" w:hAnsi="Times New Roman" w:cs="Times New Roman"/>
          <w:sz w:val="24"/>
          <w:szCs w:val="24"/>
          <w:lang w:val="fr-BE"/>
        </w:rPr>
        <w:lastRenderedPageBreak/>
        <w:t>Les décisions dont les passages ont été compilés dans le présent document font référence</w:t>
      </w:r>
      <w:r w:rsidR="00F849FE">
        <w:rPr>
          <w:rFonts w:ascii="Times New Roman" w:hAnsi="Times New Roman" w:cs="Times New Roman"/>
          <w:sz w:val="24"/>
          <w:szCs w:val="24"/>
          <w:lang w:val="fr-BE"/>
        </w:rPr>
        <w:t xml:space="preserve"> aux </w:t>
      </w:r>
      <w:r w:rsidRPr="00724EFA">
        <w:rPr>
          <w:rFonts w:ascii="Times New Roman" w:hAnsi="Times New Roman" w:cs="Times New Roman"/>
          <w:sz w:val="24"/>
          <w:szCs w:val="24"/>
          <w:lang w:val="fr-BE"/>
        </w:rPr>
        <w:t>directives successives prévoyant une procédure d'information dans le domaine des réglementations techniques. Le tableau d’équivalence suivant permet de comprendre la continuité de leurs principales dispositions</w:t>
      </w:r>
      <w:r w:rsidRPr="00724EFA">
        <w:rPr>
          <w:rStyle w:val="FootnoteReference"/>
          <w:rFonts w:ascii="Times New Roman" w:hAnsi="Times New Roman" w:cs="Times New Roman"/>
          <w:sz w:val="24"/>
          <w:szCs w:val="24"/>
        </w:rPr>
        <w:footnoteReference w:id="1"/>
      </w:r>
      <w:r w:rsidR="00AF1412" w:rsidRPr="00724EFA">
        <w:rPr>
          <w:rFonts w:ascii="Times New Roman" w:hAnsi="Times New Roman" w:cs="Times New Roman"/>
          <w:sz w:val="24"/>
          <w:szCs w:val="24"/>
          <w:lang w:val="fr-BE"/>
        </w:rPr>
        <w:t>.</w:t>
      </w:r>
    </w:p>
    <w:p w14:paraId="7EF257CD" w14:textId="77777777" w:rsidR="00AF1412" w:rsidRPr="00724EFA" w:rsidRDefault="00AF1412" w:rsidP="000A18C4">
      <w:pPr>
        <w:spacing w:after="0" w:line="240" w:lineRule="auto"/>
        <w:jc w:val="both"/>
        <w:rPr>
          <w:rFonts w:ascii="Times New Roman" w:hAnsi="Times New Roman" w:cs="Times New Roman"/>
          <w:sz w:val="24"/>
          <w:szCs w:val="24"/>
          <w:lang w:val="fr-BE"/>
        </w:rPr>
      </w:pPr>
    </w:p>
    <w:p w14:paraId="31BFF92A" w14:textId="3BC8AB17" w:rsidR="00B63F8E" w:rsidRPr="00724EFA" w:rsidRDefault="00AF1412" w:rsidP="00B63F8E">
      <w:pPr>
        <w:spacing w:after="0" w:line="240" w:lineRule="auto"/>
        <w:jc w:val="center"/>
        <w:rPr>
          <w:rFonts w:ascii="Times New Roman" w:hAnsi="Times New Roman" w:cs="Times New Roman"/>
          <w:b/>
          <w:bCs/>
          <w:sz w:val="24"/>
          <w:szCs w:val="24"/>
          <w:u w:val="single"/>
          <w:lang w:val="fr-BE"/>
        </w:rPr>
      </w:pPr>
      <w:r w:rsidRPr="00724EFA">
        <w:rPr>
          <w:rFonts w:ascii="Times New Roman" w:hAnsi="Times New Roman" w:cs="Times New Roman"/>
          <w:b/>
          <w:bCs/>
          <w:sz w:val="24"/>
          <w:szCs w:val="24"/>
          <w:u w:val="single"/>
          <w:lang w:val="fr-BE"/>
        </w:rPr>
        <w:t xml:space="preserve">Tableau d’équivalence des principales dispositions </w:t>
      </w:r>
    </w:p>
    <w:p w14:paraId="74F41B86" w14:textId="0BB1741B" w:rsidR="00AF1412" w:rsidRPr="00724EFA" w:rsidRDefault="00AF1412" w:rsidP="00B63F8E">
      <w:pPr>
        <w:spacing w:after="0" w:line="240" w:lineRule="auto"/>
        <w:jc w:val="center"/>
        <w:rPr>
          <w:rFonts w:ascii="Times New Roman" w:hAnsi="Times New Roman" w:cs="Times New Roman"/>
          <w:b/>
          <w:bCs/>
          <w:sz w:val="24"/>
          <w:szCs w:val="24"/>
          <w:u w:val="single"/>
          <w:lang w:val="fr-BE"/>
        </w:rPr>
      </w:pPr>
      <w:r w:rsidRPr="00724EFA">
        <w:rPr>
          <w:rFonts w:ascii="Times New Roman" w:hAnsi="Times New Roman" w:cs="Times New Roman"/>
          <w:b/>
          <w:bCs/>
          <w:sz w:val="24"/>
          <w:szCs w:val="24"/>
          <w:u w:val="single"/>
          <w:lang w:val="fr-BE"/>
        </w:rPr>
        <w:t>des directives 2015/1535, 98/34/EC et 83/189/EEC</w:t>
      </w:r>
    </w:p>
    <w:p w14:paraId="3AD91D64" w14:textId="77777777" w:rsidR="00334A0D" w:rsidRPr="001B081C" w:rsidRDefault="00334A0D" w:rsidP="00334A0D">
      <w:pPr>
        <w:spacing w:after="0" w:line="240" w:lineRule="auto"/>
        <w:rPr>
          <w:highlight w:val="yellow"/>
          <w:lang w:val="fr-BE"/>
        </w:rPr>
      </w:pPr>
    </w:p>
    <w:tbl>
      <w:tblPr>
        <w:tblStyle w:val="TableGrid"/>
        <w:tblW w:w="10206" w:type="dxa"/>
        <w:tblInd w:w="-572" w:type="dxa"/>
        <w:tblLook w:val="04A0" w:firstRow="1" w:lastRow="0" w:firstColumn="1" w:lastColumn="0" w:noHBand="0" w:noVBand="1"/>
      </w:tblPr>
      <w:tblGrid>
        <w:gridCol w:w="3119"/>
        <w:gridCol w:w="2457"/>
        <w:gridCol w:w="2315"/>
        <w:gridCol w:w="2315"/>
      </w:tblGrid>
      <w:tr w:rsidR="00334A0D" w:rsidRPr="001B081C" w14:paraId="3A08F315" w14:textId="77777777" w:rsidTr="00DA7543">
        <w:trPr>
          <w:trHeight w:val="599"/>
        </w:trPr>
        <w:tc>
          <w:tcPr>
            <w:tcW w:w="3119" w:type="dxa"/>
            <w:shd w:val="clear" w:color="auto" w:fill="auto"/>
          </w:tcPr>
          <w:p w14:paraId="364945D8" w14:textId="2E5772D6" w:rsidR="00334A0D" w:rsidRPr="00A06563" w:rsidRDefault="00334A0D" w:rsidP="00626BC5">
            <w:pPr>
              <w:spacing w:line="240" w:lineRule="auto"/>
              <w:rPr>
                <w:rFonts w:ascii="Times New Roman" w:hAnsi="Times New Roman" w:cs="Times New Roman"/>
                <w:b/>
                <w:bCs/>
                <w:sz w:val="24"/>
                <w:szCs w:val="24"/>
                <w:lang w:val="fr-BE"/>
              </w:rPr>
            </w:pPr>
            <w:r w:rsidRPr="00A06563">
              <w:rPr>
                <w:rFonts w:ascii="Times New Roman" w:hAnsi="Times New Roman" w:cs="Times New Roman"/>
                <w:b/>
                <w:bCs/>
                <w:sz w:val="24"/>
                <w:szCs w:val="24"/>
                <w:lang w:val="fr-BE"/>
              </w:rPr>
              <w:t>Contenu</w:t>
            </w:r>
            <w:r w:rsidR="000A18C4">
              <w:rPr>
                <w:rFonts w:ascii="Times New Roman" w:hAnsi="Times New Roman" w:cs="Times New Roman"/>
                <w:b/>
                <w:bCs/>
                <w:sz w:val="24"/>
                <w:szCs w:val="24"/>
                <w:lang w:val="fr-BE"/>
              </w:rPr>
              <w:t xml:space="preserve"> des dispositions</w:t>
            </w:r>
          </w:p>
        </w:tc>
        <w:tc>
          <w:tcPr>
            <w:tcW w:w="2457" w:type="dxa"/>
            <w:shd w:val="clear" w:color="auto" w:fill="auto"/>
          </w:tcPr>
          <w:p w14:paraId="34093202" w14:textId="62F880BF" w:rsidR="00334A0D" w:rsidRPr="00A06563" w:rsidRDefault="00B3389F" w:rsidP="00626BC5">
            <w:pPr>
              <w:spacing w:line="240" w:lineRule="auto"/>
              <w:rPr>
                <w:rFonts w:ascii="Times New Roman" w:hAnsi="Times New Roman" w:cs="Times New Roman"/>
                <w:b/>
                <w:bCs/>
                <w:sz w:val="24"/>
                <w:szCs w:val="24"/>
                <w:lang w:val="fr-BE"/>
              </w:rPr>
            </w:pPr>
            <w:hyperlink r:id="rId8" w:history="1">
              <w:r w:rsidR="00334A0D" w:rsidRPr="00DA7543">
                <w:rPr>
                  <w:rStyle w:val="Hyperlink"/>
                  <w:rFonts w:ascii="Times New Roman" w:hAnsi="Times New Roman" w:cs="Times New Roman"/>
                  <w:b/>
                  <w:bCs/>
                  <w:color w:val="0000FF"/>
                  <w:sz w:val="24"/>
                  <w:szCs w:val="24"/>
                  <w:lang w:val="fr-BE"/>
                </w:rPr>
                <w:t>Directive (EU) 2015/1535</w:t>
              </w:r>
            </w:hyperlink>
            <w:r w:rsidR="00334A0D" w:rsidRPr="00A06563">
              <w:rPr>
                <w:rStyle w:val="FootnoteReference"/>
                <w:rFonts w:ascii="Times New Roman" w:hAnsi="Times New Roman" w:cs="Times New Roman"/>
                <w:b/>
                <w:bCs/>
                <w:sz w:val="24"/>
                <w:szCs w:val="24"/>
                <w:lang w:val="fr-BE"/>
              </w:rPr>
              <w:footnoteReference w:id="2"/>
            </w:r>
          </w:p>
        </w:tc>
        <w:tc>
          <w:tcPr>
            <w:tcW w:w="2315" w:type="dxa"/>
            <w:shd w:val="clear" w:color="auto" w:fill="auto"/>
          </w:tcPr>
          <w:p w14:paraId="5FD03597" w14:textId="726868CF" w:rsidR="00334A0D" w:rsidRPr="00A06563" w:rsidRDefault="00B3389F" w:rsidP="00626BC5">
            <w:pPr>
              <w:spacing w:line="240" w:lineRule="auto"/>
              <w:rPr>
                <w:rFonts w:ascii="Times New Roman" w:hAnsi="Times New Roman" w:cs="Times New Roman"/>
                <w:b/>
                <w:bCs/>
                <w:sz w:val="24"/>
                <w:szCs w:val="24"/>
                <w:lang w:val="fr-BE"/>
              </w:rPr>
            </w:pPr>
            <w:hyperlink r:id="rId9" w:history="1">
              <w:r w:rsidR="00334A0D" w:rsidRPr="00DA7543">
                <w:rPr>
                  <w:rStyle w:val="Hyperlink"/>
                  <w:rFonts w:ascii="Times New Roman" w:hAnsi="Times New Roman" w:cs="Times New Roman"/>
                  <w:b/>
                  <w:bCs/>
                  <w:color w:val="0000FF"/>
                  <w:sz w:val="24"/>
                  <w:szCs w:val="24"/>
                  <w:lang w:val="fr-BE"/>
                </w:rPr>
                <w:t>Directive 98/34/EC</w:t>
              </w:r>
            </w:hyperlink>
            <w:r w:rsidR="00334A0D" w:rsidRPr="00A06563">
              <w:rPr>
                <w:rStyle w:val="FootnoteReference"/>
                <w:rFonts w:ascii="Times New Roman" w:hAnsi="Times New Roman" w:cs="Times New Roman"/>
                <w:b/>
                <w:bCs/>
                <w:sz w:val="24"/>
                <w:szCs w:val="24"/>
                <w:lang w:val="fr-BE"/>
              </w:rPr>
              <w:footnoteReference w:id="3"/>
            </w:r>
          </w:p>
        </w:tc>
        <w:tc>
          <w:tcPr>
            <w:tcW w:w="2315" w:type="dxa"/>
            <w:shd w:val="clear" w:color="auto" w:fill="auto"/>
          </w:tcPr>
          <w:p w14:paraId="51A4CAE7" w14:textId="323C7BFA" w:rsidR="00334A0D" w:rsidRPr="00A06563" w:rsidRDefault="00B3389F" w:rsidP="00626BC5">
            <w:pPr>
              <w:spacing w:line="240" w:lineRule="auto"/>
              <w:rPr>
                <w:rFonts w:ascii="Times New Roman" w:hAnsi="Times New Roman" w:cs="Times New Roman"/>
                <w:b/>
                <w:bCs/>
                <w:sz w:val="24"/>
                <w:szCs w:val="24"/>
                <w:lang w:val="fr-BE"/>
              </w:rPr>
            </w:pPr>
            <w:hyperlink r:id="rId10" w:history="1">
              <w:r w:rsidR="00334A0D" w:rsidRPr="00DA7543">
                <w:rPr>
                  <w:rStyle w:val="Hyperlink"/>
                  <w:rFonts w:ascii="Times New Roman" w:hAnsi="Times New Roman" w:cs="Times New Roman"/>
                  <w:b/>
                  <w:bCs/>
                  <w:color w:val="0000FF"/>
                  <w:sz w:val="24"/>
                  <w:szCs w:val="24"/>
                  <w:lang w:val="fr-BE"/>
                </w:rPr>
                <w:t>Directive 83/189/EEC</w:t>
              </w:r>
            </w:hyperlink>
            <w:r w:rsidR="00334A0D" w:rsidRPr="00A06563">
              <w:rPr>
                <w:rStyle w:val="FootnoteReference"/>
                <w:rFonts w:ascii="Times New Roman" w:hAnsi="Times New Roman" w:cs="Times New Roman"/>
                <w:b/>
                <w:bCs/>
                <w:sz w:val="24"/>
                <w:szCs w:val="24"/>
                <w:lang w:val="fr-BE"/>
              </w:rPr>
              <w:footnoteReference w:id="4"/>
            </w:r>
          </w:p>
        </w:tc>
      </w:tr>
      <w:tr w:rsidR="000A18C4" w:rsidRPr="001B081C" w14:paraId="72585BFB" w14:textId="77777777" w:rsidTr="00DA7543">
        <w:trPr>
          <w:trHeight w:val="599"/>
        </w:trPr>
        <w:tc>
          <w:tcPr>
            <w:tcW w:w="3119" w:type="dxa"/>
          </w:tcPr>
          <w:p w14:paraId="04624D71"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produits »</w:t>
            </w:r>
          </w:p>
        </w:tc>
        <w:tc>
          <w:tcPr>
            <w:tcW w:w="2457" w:type="dxa"/>
          </w:tcPr>
          <w:p w14:paraId="4A418F3D" w14:textId="0E2541C8"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w:t>
            </w:r>
            <w:r w:rsidR="00632AD7">
              <w:rPr>
                <w:rFonts w:ascii="Times New Roman" w:hAnsi="Times New Roman" w:cs="Times New Roman"/>
                <w:sz w:val="24"/>
                <w:szCs w:val="24"/>
                <w:lang w:val="fr-BE"/>
              </w:rPr>
              <w:t>paragraphe</w:t>
            </w:r>
            <w:r w:rsidRPr="00A06563">
              <w:rPr>
                <w:rFonts w:ascii="Times New Roman" w:hAnsi="Times New Roman" w:cs="Times New Roman"/>
                <w:sz w:val="24"/>
                <w:szCs w:val="24"/>
                <w:lang w:val="fr-BE"/>
              </w:rPr>
              <w:t xml:space="preserv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a)</w:t>
            </w:r>
          </w:p>
        </w:tc>
        <w:tc>
          <w:tcPr>
            <w:tcW w:w="2315" w:type="dxa"/>
          </w:tcPr>
          <w:p w14:paraId="5020F0EC"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point 1</w:t>
            </w:r>
          </w:p>
        </w:tc>
        <w:tc>
          <w:tcPr>
            <w:tcW w:w="2315" w:type="dxa"/>
          </w:tcPr>
          <w:p w14:paraId="1AC77ECE"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point 7</w:t>
            </w:r>
          </w:p>
        </w:tc>
      </w:tr>
      <w:tr w:rsidR="000A18C4" w:rsidRPr="00655279" w14:paraId="4F3F95AF" w14:textId="77777777" w:rsidTr="00DA7543">
        <w:trPr>
          <w:trHeight w:val="599"/>
        </w:trPr>
        <w:tc>
          <w:tcPr>
            <w:tcW w:w="3119" w:type="dxa"/>
          </w:tcPr>
          <w:p w14:paraId="42CDA066"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services »</w:t>
            </w:r>
          </w:p>
        </w:tc>
        <w:tc>
          <w:tcPr>
            <w:tcW w:w="2457" w:type="dxa"/>
          </w:tcPr>
          <w:p w14:paraId="658F3867" w14:textId="34B90450"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w:t>
            </w:r>
            <w:r w:rsidR="00632AD7">
              <w:rPr>
                <w:rFonts w:ascii="Times New Roman" w:hAnsi="Times New Roman" w:cs="Times New Roman"/>
                <w:sz w:val="24"/>
                <w:szCs w:val="24"/>
                <w:lang w:val="fr-BE"/>
              </w:rPr>
              <w:t>paragraphe</w:t>
            </w:r>
            <w:r w:rsidRPr="00A06563">
              <w:rPr>
                <w:rFonts w:ascii="Times New Roman" w:hAnsi="Times New Roman" w:cs="Times New Roman"/>
                <w:sz w:val="24"/>
                <w:szCs w:val="24"/>
                <w:lang w:val="fr-BE"/>
              </w:rPr>
              <w:t xml:space="preserv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b)</w:t>
            </w:r>
          </w:p>
        </w:tc>
        <w:tc>
          <w:tcPr>
            <w:tcW w:w="2315" w:type="dxa"/>
          </w:tcPr>
          <w:p w14:paraId="4273AEF8" w14:textId="42AC34AF" w:rsidR="00334A0D" w:rsidRPr="00A06563" w:rsidRDefault="00667654" w:rsidP="00626BC5">
            <w:pPr>
              <w:spacing w:line="240" w:lineRule="auto"/>
              <w:rPr>
                <w:rFonts w:ascii="Times New Roman" w:hAnsi="Times New Roman" w:cs="Times New Roman"/>
                <w:sz w:val="24"/>
                <w:szCs w:val="24"/>
                <w:lang w:val="fr-BE"/>
              </w:rPr>
            </w:pPr>
            <w:r>
              <w:rPr>
                <w:rFonts w:ascii="Times New Roman" w:hAnsi="Times New Roman" w:cs="Times New Roman"/>
                <w:sz w:val="24"/>
                <w:szCs w:val="24"/>
                <w:lang w:val="fr-BE"/>
              </w:rPr>
              <w:t>Article 1</w:t>
            </w:r>
            <w:r w:rsidRPr="00667654">
              <w:rPr>
                <w:rFonts w:ascii="Times New Roman" w:hAnsi="Times New Roman" w:cs="Times New Roman"/>
                <w:sz w:val="24"/>
                <w:szCs w:val="24"/>
                <w:vertAlign w:val="superscript"/>
                <w:lang w:val="fr-BE"/>
              </w:rPr>
              <w:t>er</w:t>
            </w:r>
            <w:r>
              <w:rPr>
                <w:rFonts w:ascii="Times New Roman" w:hAnsi="Times New Roman" w:cs="Times New Roman"/>
                <w:sz w:val="24"/>
                <w:szCs w:val="24"/>
                <w:vertAlign w:val="superscript"/>
                <w:lang w:val="fr-BE"/>
              </w:rPr>
              <w:t xml:space="preserve">, </w:t>
            </w:r>
            <w:r>
              <w:rPr>
                <w:rFonts w:ascii="Times New Roman" w:hAnsi="Times New Roman" w:cs="Times New Roman"/>
                <w:sz w:val="24"/>
                <w:szCs w:val="24"/>
                <w:lang w:val="fr-BE"/>
              </w:rPr>
              <w:t>point 2</w:t>
            </w:r>
          </w:p>
        </w:tc>
        <w:tc>
          <w:tcPr>
            <w:tcW w:w="2315" w:type="dxa"/>
          </w:tcPr>
          <w:p w14:paraId="6B0C3AFB" w14:textId="2BD4E0BD" w:rsidR="00334A0D" w:rsidRPr="00A06563" w:rsidRDefault="00265197" w:rsidP="00265197">
            <w:pPr>
              <w:spacing w:line="240" w:lineRule="auto"/>
              <w:jc w:val="center"/>
              <w:rPr>
                <w:rFonts w:ascii="Times New Roman" w:hAnsi="Times New Roman" w:cs="Times New Roman"/>
                <w:sz w:val="24"/>
                <w:szCs w:val="24"/>
                <w:lang w:val="fr-BE"/>
              </w:rPr>
            </w:pPr>
            <w:r>
              <w:rPr>
                <w:rFonts w:ascii="Times New Roman" w:hAnsi="Times New Roman" w:cs="Times New Roman"/>
                <w:sz w:val="24"/>
                <w:szCs w:val="24"/>
                <w:lang w:val="fr-BE"/>
              </w:rPr>
              <w:t>_____</w:t>
            </w:r>
          </w:p>
        </w:tc>
      </w:tr>
      <w:tr w:rsidR="00334A0D" w:rsidRPr="001B081C" w14:paraId="576462BF" w14:textId="77777777" w:rsidTr="00DA7543">
        <w:trPr>
          <w:trHeight w:val="599"/>
        </w:trPr>
        <w:tc>
          <w:tcPr>
            <w:tcW w:w="3119" w:type="dxa"/>
          </w:tcPr>
          <w:p w14:paraId="555E46FF"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spécification technique »</w:t>
            </w:r>
          </w:p>
        </w:tc>
        <w:tc>
          <w:tcPr>
            <w:tcW w:w="2457" w:type="dxa"/>
          </w:tcPr>
          <w:p w14:paraId="1CD6781C" w14:textId="1B4D5660"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paragraphe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c)</w:t>
            </w:r>
          </w:p>
        </w:tc>
        <w:tc>
          <w:tcPr>
            <w:tcW w:w="2315" w:type="dxa"/>
          </w:tcPr>
          <w:p w14:paraId="6ACA8AFC" w14:textId="0DCD62C5"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point </w:t>
            </w:r>
            <w:r w:rsidR="00667654">
              <w:rPr>
                <w:rFonts w:ascii="Times New Roman" w:hAnsi="Times New Roman" w:cs="Times New Roman"/>
                <w:sz w:val="24"/>
                <w:szCs w:val="24"/>
                <w:lang w:val="fr-BE"/>
              </w:rPr>
              <w:t>3</w:t>
            </w:r>
          </w:p>
        </w:tc>
        <w:tc>
          <w:tcPr>
            <w:tcW w:w="2315" w:type="dxa"/>
          </w:tcPr>
          <w:p w14:paraId="7742C3F4"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point 1</w:t>
            </w:r>
          </w:p>
        </w:tc>
      </w:tr>
      <w:tr w:rsidR="00B63F8E" w:rsidRPr="001B081C" w14:paraId="39DCA993" w14:textId="77777777" w:rsidTr="00DA7543">
        <w:trPr>
          <w:trHeight w:val="599"/>
        </w:trPr>
        <w:tc>
          <w:tcPr>
            <w:tcW w:w="3119" w:type="dxa"/>
          </w:tcPr>
          <w:p w14:paraId="412D2403"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autre exigences »</w:t>
            </w:r>
          </w:p>
        </w:tc>
        <w:tc>
          <w:tcPr>
            <w:tcW w:w="2457" w:type="dxa"/>
          </w:tcPr>
          <w:p w14:paraId="7BCB4CC5" w14:textId="2BF8AC08"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 xml:space="preserve">er, </w:t>
            </w:r>
            <w:r w:rsidRPr="00A06563">
              <w:rPr>
                <w:rFonts w:ascii="Times New Roman" w:hAnsi="Times New Roman" w:cs="Times New Roman"/>
                <w:sz w:val="24"/>
                <w:szCs w:val="24"/>
                <w:lang w:val="fr-BE"/>
              </w:rPr>
              <w:t xml:space="preserve">paragraphe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d)</w:t>
            </w:r>
          </w:p>
        </w:tc>
        <w:tc>
          <w:tcPr>
            <w:tcW w:w="2315" w:type="dxa"/>
          </w:tcPr>
          <w:p w14:paraId="414D1EEC" w14:textId="5199F423"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point </w:t>
            </w:r>
            <w:r w:rsidR="00667654">
              <w:rPr>
                <w:rFonts w:ascii="Times New Roman" w:hAnsi="Times New Roman" w:cs="Times New Roman"/>
                <w:sz w:val="24"/>
                <w:szCs w:val="24"/>
                <w:lang w:val="fr-BE"/>
              </w:rPr>
              <w:t>4</w:t>
            </w:r>
          </w:p>
        </w:tc>
        <w:tc>
          <w:tcPr>
            <w:tcW w:w="2315" w:type="dxa"/>
          </w:tcPr>
          <w:p w14:paraId="46A8193A" w14:textId="477D2F0E" w:rsidR="00334A0D" w:rsidRPr="00A06563" w:rsidRDefault="00265197" w:rsidP="00265197">
            <w:pPr>
              <w:spacing w:line="240" w:lineRule="auto"/>
              <w:jc w:val="center"/>
              <w:rPr>
                <w:rFonts w:ascii="Times New Roman" w:hAnsi="Times New Roman" w:cs="Times New Roman"/>
                <w:sz w:val="24"/>
                <w:szCs w:val="24"/>
                <w:lang w:val="fr-BE"/>
              </w:rPr>
            </w:pPr>
            <w:r>
              <w:rPr>
                <w:rFonts w:ascii="Times New Roman" w:hAnsi="Times New Roman" w:cs="Times New Roman"/>
                <w:sz w:val="24"/>
                <w:szCs w:val="24"/>
                <w:lang w:val="fr-BE"/>
              </w:rPr>
              <w:t>_____</w:t>
            </w:r>
          </w:p>
        </w:tc>
      </w:tr>
      <w:tr w:rsidR="000A18C4" w:rsidRPr="008F17FD" w14:paraId="48F0D2A4" w14:textId="77777777" w:rsidTr="00DA7543">
        <w:trPr>
          <w:trHeight w:val="599"/>
        </w:trPr>
        <w:tc>
          <w:tcPr>
            <w:tcW w:w="3119" w:type="dxa"/>
          </w:tcPr>
          <w:p w14:paraId="61624EA2"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règle relative aux services »</w:t>
            </w:r>
          </w:p>
        </w:tc>
        <w:tc>
          <w:tcPr>
            <w:tcW w:w="2457" w:type="dxa"/>
          </w:tcPr>
          <w:p w14:paraId="136F7BB7" w14:textId="74B196CB"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paragraphe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e)</w:t>
            </w:r>
          </w:p>
        </w:tc>
        <w:tc>
          <w:tcPr>
            <w:tcW w:w="2315" w:type="dxa"/>
          </w:tcPr>
          <w:p w14:paraId="36E9CD4F" w14:textId="6283B3F6" w:rsidR="00334A0D" w:rsidRPr="00A06563" w:rsidRDefault="00E15D6C" w:rsidP="00E15D6C">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point </w:t>
            </w:r>
            <w:r>
              <w:rPr>
                <w:rFonts w:ascii="Times New Roman" w:hAnsi="Times New Roman" w:cs="Times New Roman"/>
                <w:sz w:val="24"/>
                <w:szCs w:val="24"/>
                <w:lang w:val="fr-BE"/>
              </w:rPr>
              <w:t>5</w:t>
            </w:r>
          </w:p>
        </w:tc>
        <w:tc>
          <w:tcPr>
            <w:tcW w:w="2315" w:type="dxa"/>
          </w:tcPr>
          <w:p w14:paraId="42762185" w14:textId="37A509CA" w:rsidR="00334A0D" w:rsidRPr="00A06563" w:rsidRDefault="00265197" w:rsidP="00265197">
            <w:pPr>
              <w:spacing w:line="240" w:lineRule="auto"/>
              <w:jc w:val="center"/>
              <w:rPr>
                <w:rFonts w:ascii="Times New Roman" w:hAnsi="Times New Roman" w:cs="Times New Roman"/>
                <w:sz w:val="24"/>
                <w:szCs w:val="24"/>
                <w:lang w:val="fr-BE"/>
              </w:rPr>
            </w:pPr>
            <w:r>
              <w:rPr>
                <w:rFonts w:ascii="Times New Roman" w:hAnsi="Times New Roman" w:cs="Times New Roman"/>
                <w:sz w:val="24"/>
                <w:szCs w:val="24"/>
                <w:lang w:val="fr-BE"/>
              </w:rPr>
              <w:t>_____</w:t>
            </w:r>
          </w:p>
        </w:tc>
      </w:tr>
      <w:tr w:rsidR="00334A0D" w:rsidRPr="001B081C" w14:paraId="4622E632" w14:textId="77777777" w:rsidTr="00DA7543">
        <w:trPr>
          <w:trHeight w:val="599"/>
        </w:trPr>
        <w:tc>
          <w:tcPr>
            <w:tcW w:w="3119" w:type="dxa"/>
          </w:tcPr>
          <w:p w14:paraId="59CDC9EC"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Définition de « règle technique »</w:t>
            </w:r>
          </w:p>
        </w:tc>
        <w:tc>
          <w:tcPr>
            <w:tcW w:w="2457" w:type="dxa"/>
          </w:tcPr>
          <w:p w14:paraId="46C85599" w14:textId="0E42C0D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paragraphe 1, </w:t>
            </w:r>
            <w:r w:rsidR="001305B4">
              <w:rPr>
                <w:rFonts w:ascii="Times New Roman" w:hAnsi="Times New Roman" w:cs="Times New Roman"/>
                <w:sz w:val="24"/>
                <w:szCs w:val="24"/>
                <w:lang w:val="fr-BE"/>
              </w:rPr>
              <w:t>point</w:t>
            </w:r>
            <w:r w:rsidRPr="00A06563">
              <w:rPr>
                <w:rFonts w:ascii="Times New Roman" w:hAnsi="Times New Roman" w:cs="Times New Roman"/>
                <w:sz w:val="24"/>
                <w:szCs w:val="24"/>
                <w:lang w:val="fr-BE"/>
              </w:rPr>
              <w:t xml:space="preserve"> f)</w:t>
            </w:r>
          </w:p>
        </w:tc>
        <w:tc>
          <w:tcPr>
            <w:tcW w:w="2315" w:type="dxa"/>
          </w:tcPr>
          <w:p w14:paraId="0E88B9E2" w14:textId="7C0CE54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xml:space="preserve">, point </w:t>
            </w:r>
            <w:r w:rsidR="00667654">
              <w:rPr>
                <w:rFonts w:ascii="Times New Roman" w:hAnsi="Times New Roman" w:cs="Times New Roman"/>
                <w:sz w:val="24"/>
                <w:szCs w:val="24"/>
                <w:lang w:val="fr-BE"/>
              </w:rPr>
              <w:t>11</w:t>
            </w:r>
          </w:p>
        </w:tc>
        <w:tc>
          <w:tcPr>
            <w:tcW w:w="2315" w:type="dxa"/>
          </w:tcPr>
          <w:p w14:paraId="2E4FCAC6"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w:t>
            </w:r>
            <w:r w:rsidRPr="00A06563">
              <w:rPr>
                <w:rFonts w:ascii="Times New Roman" w:hAnsi="Times New Roman" w:cs="Times New Roman"/>
                <w:sz w:val="24"/>
                <w:szCs w:val="24"/>
                <w:vertAlign w:val="superscript"/>
                <w:lang w:val="fr-BE"/>
              </w:rPr>
              <w:t>er</w:t>
            </w:r>
            <w:r w:rsidRPr="00A06563">
              <w:rPr>
                <w:rFonts w:ascii="Times New Roman" w:hAnsi="Times New Roman" w:cs="Times New Roman"/>
                <w:sz w:val="24"/>
                <w:szCs w:val="24"/>
                <w:lang w:val="fr-BE"/>
              </w:rPr>
              <w:t>, point 5</w:t>
            </w:r>
          </w:p>
        </w:tc>
      </w:tr>
      <w:tr w:rsidR="000A18C4" w:rsidRPr="001B081C" w14:paraId="0C829266" w14:textId="77777777" w:rsidTr="00DA7543">
        <w:trPr>
          <w:trHeight w:val="599"/>
        </w:trPr>
        <w:tc>
          <w:tcPr>
            <w:tcW w:w="3119" w:type="dxa"/>
          </w:tcPr>
          <w:p w14:paraId="2E36B6FC"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Obligation de notification</w:t>
            </w:r>
          </w:p>
        </w:tc>
        <w:tc>
          <w:tcPr>
            <w:tcW w:w="2457" w:type="dxa"/>
          </w:tcPr>
          <w:p w14:paraId="04169FF7"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5, paragraphe 1, première phrase</w:t>
            </w:r>
          </w:p>
        </w:tc>
        <w:tc>
          <w:tcPr>
            <w:tcW w:w="2315" w:type="dxa"/>
          </w:tcPr>
          <w:p w14:paraId="730385F8"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8, paragraphe 1, première phrase</w:t>
            </w:r>
          </w:p>
        </w:tc>
        <w:tc>
          <w:tcPr>
            <w:tcW w:w="2315" w:type="dxa"/>
          </w:tcPr>
          <w:p w14:paraId="6937609F" w14:textId="5A2377E0"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eastAsia="Times New Roman" w:hAnsi="Times New Roman" w:cs="Times New Roman"/>
                <w:sz w:val="24"/>
                <w:szCs w:val="24"/>
                <w:lang w:val="fr-BE" w:eastAsia="en-IE"/>
              </w:rPr>
              <w:t>Article 8, paragraphe 1</w:t>
            </w:r>
          </w:p>
        </w:tc>
      </w:tr>
      <w:tr w:rsidR="00B63F8E" w:rsidRPr="001B081C" w14:paraId="4472DE96" w14:textId="77777777" w:rsidTr="00DA7543">
        <w:trPr>
          <w:trHeight w:val="599"/>
        </w:trPr>
        <w:tc>
          <w:tcPr>
            <w:tcW w:w="3119" w:type="dxa"/>
          </w:tcPr>
          <w:p w14:paraId="08371658"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Notification des dispositions concernées ou de base</w:t>
            </w:r>
          </w:p>
        </w:tc>
        <w:tc>
          <w:tcPr>
            <w:tcW w:w="2457" w:type="dxa"/>
          </w:tcPr>
          <w:p w14:paraId="4460E5CA"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5, paragraphe 1, deuxième phrase</w:t>
            </w:r>
          </w:p>
        </w:tc>
        <w:tc>
          <w:tcPr>
            <w:tcW w:w="2315" w:type="dxa"/>
          </w:tcPr>
          <w:p w14:paraId="545C5C96"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8, paragraphe 1, deuxième phrase</w:t>
            </w:r>
          </w:p>
        </w:tc>
        <w:tc>
          <w:tcPr>
            <w:tcW w:w="2315" w:type="dxa"/>
          </w:tcPr>
          <w:p w14:paraId="7658B70A" w14:textId="43A43C7F" w:rsidR="00334A0D" w:rsidRPr="00A06563" w:rsidRDefault="00265197" w:rsidP="00265197">
            <w:pPr>
              <w:spacing w:line="240" w:lineRule="auto"/>
              <w:jc w:val="center"/>
              <w:rPr>
                <w:rFonts w:ascii="Times New Roman" w:eastAsia="Times New Roman" w:hAnsi="Times New Roman" w:cs="Times New Roman"/>
                <w:sz w:val="24"/>
                <w:szCs w:val="24"/>
                <w:lang w:val="fr-BE" w:eastAsia="en-IE"/>
              </w:rPr>
            </w:pPr>
            <w:r>
              <w:rPr>
                <w:rFonts w:ascii="Times New Roman" w:hAnsi="Times New Roman" w:cs="Times New Roman"/>
                <w:sz w:val="24"/>
                <w:szCs w:val="24"/>
                <w:lang w:val="fr-BE"/>
              </w:rPr>
              <w:t>_____</w:t>
            </w:r>
          </w:p>
        </w:tc>
      </w:tr>
      <w:tr w:rsidR="00B63F8E" w:rsidRPr="001B081C" w14:paraId="6E207C21" w14:textId="77777777" w:rsidTr="00DA7543">
        <w:trPr>
          <w:trHeight w:val="599"/>
        </w:trPr>
        <w:tc>
          <w:tcPr>
            <w:tcW w:w="3119" w:type="dxa"/>
          </w:tcPr>
          <w:p w14:paraId="05D20653" w14:textId="1C493645" w:rsidR="00334A0D" w:rsidRPr="00A06563" w:rsidRDefault="00DA7543" w:rsidP="00626BC5">
            <w:pPr>
              <w:spacing w:line="240" w:lineRule="auto"/>
              <w:rPr>
                <w:rFonts w:ascii="Times New Roman" w:hAnsi="Times New Roman" w:cs="Times New Roman"/>
                <w:sz w:val="24"/>
                <w:szCs w:val="24"/>
                <w:lang w:val="fr-BE"/>
              </w:rPr>
            </w:pPr>
            <w:r>
              <w:rPr>
                <w:rFonts w:ascii="Times New Roman" w:hAnsi="Times New Roman" w:cs="Times New Roman"/>
                <w:sz w:val="24"/>
                <w:szCs w:val="24"/>
                <w:lang w:val="fr-BE"/>
              </w:rPr>
              <w:t>Re-</w:t>
            </w:r>
            <w:r w:rsidR="00334A0D" w:rsidRPr="00A06563">
              <w:rPr>
                <w:rFonts w:ascii="Times New Roman" w:hAnsi="Times New Roman" w:cs="Times New Roman"/>
                <w:sz w:val="24"/>
                <w:szCs w:val="24"/>
                <w:lang w:val="fr-BE"/>
              </w:rPr>
              <w:t>notification</w:t>
            </w:r>
            <w:r>
              <w:rPr>
                <w:rFonts w:ascii="Times New Roman" w:hAnsi="Times New Roman" w:cs="Times New Roman"/>
                <w:sz w:val="24"/>
                <w:szCs w:val="24"/>
                <w:lang w:val="fr-BE"/>
              </w:rPr>
              <w:t xml:space="preserve"> pendant la période de statu quo</w:t>
            </w:r>
          </w:p>
        </w:tc>
        <w:tc>
          <w:tcPr>
            <w:tcW w:w="2457" w:type="dxa"/>
          </w:tcPr>
          <w:p w14:paraId="65494BDB"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5, paragraphe 1, troisième phrase</w:t>
            </w:r>
          </w:p>
        </w:tc>
        <w:tc>
          <w:tcPr>
            <w:tcW w:w="2315" w:type="dxa"/>
          </w:tcPr>
          <w:p w14:paraId="47F0091E"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8, paragraphe 1, troisième phrase</w:t>
            </w:r>
          </w:p>
        </w:tc>
        <w:tc>
          <w:tcPr>
            <w:tcW w:w="2315" w:type="dxa"/>
          </w:tcPr>
          <w:p w14:paraId="5E9AA7B4" w14:textId="7B61CCCA" w:rsidR="00334A0D" w:rsidRPr="00A06563" w:rsidRDefault="00265197" w:rsidP="00265197">
            <w:pPr>
              <w:spacing w:line="240" w:lineRule="auto"/>
              <w:jc w:val="center"/>
              <w:rPr>
                <w:rFonts w:ascii="Times New Roman" w:eastAsia="Times New Roman" w:hAnsi="Times New Roman" w:cs="Times New Roman"/>
                <w:sz w:val="24"/>
                <w:szCs w:val="24"/>
                <w:lang w:val="fr-BE" w:eastAsia="en-IE"/>
              </w:rPr>
            </w:pPr>
            <w:r>
              <w:rPr>
                <w:rFonts w:ascii="Times New Roman" w:hAnsi="Times New Roman" w:cs="Times New Roman"/>
                <w:sz w:val="24"/>
                <w:szCs w:val="24"/>
                <w:lang w:val="fr-BE"/>
              </w:rPr>
              <w:t>_____</w:t>
            </w:r>
          </w:p>
        </w:tc>
      </w:tr>
      <w:tr w:rsidR="00B63F8E" w:rsidRPr="001B081C" w14:paraId="7EEDDE8A" w14:textId="77777777" w:rsidTr="00DA7543">
        <w:trPr>
          <w:trHeight w:val="599"/>
        </w:trPr>
        <w:tc>
          <w:tcPr>
            <w:tcW w:w="3119" w:type="dxa"/>
          </w:tcPr>
          <w:p w14:paraId="6F46F2B9"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Période de statu quo</w:t>
            </w:r>
          </w:p>
        </w:tc>
        <w:tc>
          <w:tcPr>
            <w:tcW w:w="2457" w:type="dxa"/>
          </w:tcPr>
          <w:p w14:paraId="0FDAA36A"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6</w:t>
            </w:r>
          </w:p>
        </w:tc>
        <w:tc>
          <w:tcPr>
            <w:tcW w:w="2315" w:type="dxa"/>
          </w:tcPr>
          <w:p w14:paraId="51BBC4E4"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9</w:t>
            </w:r>
          </w:p>
        </w:tc>
        <w:tc>
          <w:tcPr>
            <w:tcW w:w="2315" w:type="dxa"/>
          </w:tcPr>
          <w:p w14:paraId="2B7D3F30" w14:textId="77777777" w:rsidR="00334A0D" w:rsidRPr="00A06563" w:rsidRDefault="00334A0D" w:rsidP="00626BC5">
            <w:pPr>
              <w:spacing w:line="240" w:lineRule="auto"/>
              <w:rPr>
                <w:rFonts w:ascii="Times New Roman" w:eastAsia="Times New Roman" w:hAnsi="Times New Roman" w:cs="Times New Roman"/>
                <w:sz w:val="24"/>
                <w:szCs w:val="24"/>
                <w:lang w:val="fr-BE" w:eastAsia="en-IE"/>
              </w:rPr>
            </w:pPr>
            <w:r w:rsidRPr="00A06563">
              <w:rPr>
                <w:rFonts w:ascii="Times New Roman" w:eastAsia="Times New Roman" w:hAnsi="Times New Roman" w:cs="Times New Roman"/>
                <w:sz w:val="24"/>
                <w:szCs w:val="24"/>
                <w:lang w:val="fr-BE" w:eastAsia="en-IE"/>
              </w:rPr>
              <w:t>Article 9</w:t>
            </w:r>
          </w:p>
        </w:tc>
      </w:tr>
      <w:tr w:rsidR="00B63F8E" w:rsidRPr="001B081C" w14:paraId="31FCCE62" w14:textId="77777777" w:rsidTr="00DA7543">
        <w:trPr>
          <w:trHeight w:val="599"/>
        </w:trPr>
        <w:tc>
          <w:tcPr>
            <w:tcW w:w="3119" w:type="dxa"/>
          </w:tcPr>
          <w:p w14:paraId="067F46A1"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Exceptions aux obligations de notification et de statu quo</w:t>
            </w:r>
          </w:p>
        </w:tc>
        <w:tc>
          <w:tcPr>
            <w:tcW w:w="2457" w:type="dxa"/>
          </w:tcPr>
          <w:p w14:paraId="5BC53094"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7</w:t>
            </w:r>
          </w:p>
        </w:tc>
        <w:tc>
          <w:tcPr>
            <w:tcW w:w="2315" w:type="dxa"/>
          </w:tcPr>
          <w:p w14:paraId="36E59068" w14:textId="77777777" w:rsidR="00334A0D" w:rsidRPr="00A06563" w:rsidRDefault="00334A0D" w:rsidP="00626BC5">
            <w:pPr>
              <w:spacing w:line="240" w:lineRule="auto"/>
              <w:rPr>
                <w:rFonts w:ascii="Times New Roman" w:hAnsi="Times New Roman" w:cs="Times New Roman"/>
                <w:sz w:val="24"/>
                <w:szCs w:val="24"/>
                <w:lang w:val="fr-BE"/>
              </w:rPr>
            </w:pPr>
            <w:r w:rsidRPr="00A06563">
              <w:rPr>
                <w:rFonts w:ascii="Times New Roman" w:hAnsi="Times New Roman" w:cs="Times New Roman"/>
                <w:sz w:val="24"/>
                <w:szCs w:val="24"/>
                <w:lang w:val="fr-BE"/>
              </w:rPr>
              <w:t>Article 10</w:t>
            </w:r>
          </w:p>
        </w:tc>
        <w:tc>
          <w:tcPr>
            <w:tcW w:w="2315" w:type="dxa"/>
          </w:tcPr>
          <w:p w14:paraId="1FE1BC2D" w14:textId="77777777" w:rsidR="00334A0D" w:rsidRPr="00A06563" w:rsidRDefault="00334A0D" w:rsidP="00626BC5">
            <w:pPr>
              <w:spacing w:line="240" w:lineRule="auto"/>
              <w:rPr>
                <w:rFonts w:ascii="Times New Roman" w:eastAsia="Times New Roman" w:hAnsi="Times New Roman" w:cs="Times New Roman"/>
                <w:sz w:val="24"/>
                <w:szCs w:val="24"/>
                <w:lang w:val="fr-BE" w:eastAsia="en-IE"/>
              </w:rPr>
            </w:pPr>
            <w:r w:rsidRPr="00A06563">
              <w:rPr>
                <w:rFonts w:ascii="Times New Roman" w:eastAsia="Times New Roman" w:hAnsi="Times New Roman" w:cs="Times New Roman"/>
                <w:sz w:val="24"/>
                <w:szCs w:val="24"/>
                <w:lang w:val="fr-BE" w:eastAsia="en-IE"/>
              </w:rPr>
              <w:t>Article 10</w:t>
            </w:r>
          </w:p>
        </w:tc>
      </w:tr>
    </w:tbl>
    <w:p w14:paraId="4A865CBE" w14:textId="77777777" w:rsidR="00334A0D" w:rsidRDefault="00334A0D" w:rsidP="00334A0D">
      <w:pPr>
        <w:spacing w:after="0" w:line="240" w:lineRule="auto"/>
        <w:rPr>
          <w:lang w:val="fr-BE"/>
        </w:rPr>
      </w:pPr>
    </w:p>
    <w:p w14:paraId="6B2C5B0B" w14:textId="1FAD997A" w:rsidR="00F867B5" w:rsidRDefault="00F867B5">
      <w:pPr>
        <w:spacing w:line="278" w:lineRule="auto"/>
        <w:rPr>
          <w:lang w:val="fr-BE"/>
        </w:rPr>
      </w:pPr>
      <w:r>
        <w:rPr>
          <w:lang w:val="fr-BE"/>
        </w:rPr>
        <w:br w:type="page"/>
      </w:r>
    </w:p>
    <w:p w14:paraId="03384114" w14:textId="20255537" w:rsidR="00F867B5" w:rsidRPr="00F867B5" w:rsidRDefault="00F867B5" w:rsidP="00334A0D">
      <w:pPr>
        <w:spacing w:after="0" w:line="240" w:lineRule="auto"/>
        <w:rPr>
          <w:rFonts w:ascii="Times New Roman" w:hAnsi="Times New Roman" w:cs="Times New Roman"/>
          <w:b/>
          <w:bCs/>
          <w:sz w:val="24"/>
          <w:szCs w:val="24"/>
          <w:u w:val="single"/>
          <w:lang w:val="fr-BE"/>
        </w:rPr>
      </w:pPr>
      <w:r w:rsidRPr="00F867B5">
        <w:rPr>
          <w:rFonts w:ascii="Times New Roman" w:hAnsi="Times New Roman" w:cs="Times New Roman"/>
          <w:b/>
          <w:bCs/>
          <w:sz w:val="24"/>
          <w:szCs w:val="24"/>
          <w:u w:val="single"/>
          <w:lang w:val="fr-BE"/>
        </w:rPr>
        <w:lastRenderedPageBreak/>
        <w:t>Avertissement</w:t>
      </w:r>
    </w:p>
    <w:p w14:paraId="45D5B813" w14:textId="77777777" w:rsidR="00F867B5" w:rsidRPr="00F867B5" w:rsidRDefault="00F867B5" w:rsidP="00334A0D">
      <w:pPr>
        <w:spacing w:after="0" w:line="240" w:lineRule="auto"/>
        <w:rPr>
          <w:rFonts w:ascii="Times New Roman" w:hAnsi="Times New Roman" w:cs="Times New Roman"/>
          <w:sz w:val="24"/>
          <w:szCs w:val="24"/>
          <w:lang w:val="fr-BE"/>
        </w:rPr>
      </w:pPr>
    </w:p>
    <w:p w14:paraId="694A3C93" w14:textId="55DD00CF" w:rsidR="00F867B5" w:rsidRPr="00F867B5" w:rsidRDefault="00F867B5" w:rsidP="00F867B5">
      <w:pPr>
        <w:jc w:val="both"/>
        <w:rPr>
          <w:rFonts w:ascii="Times New Roman" w:hAnsi="Times New Roman" w:cs="Times New Roman"/>
          <w:sz w:val="24"/>
          <w:szCs w:val="24"/>
          <w:lang w:val="fr-BE"/>
        </w:rPr>
      </w:pPr>
      <w:r w:rsidRPr="00F867B5">
        <w:rPr>
          <w:rFonts w:ascii="Times New Roman" w:hAnsi="Times New Roman" w:cs="Times New Roman"/>
          <w:sz w:val="24"/>
          <w:szCs w:val="24"/>
          <w:lang w:val="fr-BE"/>
        </w:rPr>
        <w:t xml:space="preserve">Les informations et orientations contenues dans ce document ont pour objectif de contribuer à une meilleure compréhension des règles de la Directive </w:t>
      </w:r>
      <w:r>
        <w:rPr>
          <w:rFonts w:ascii="Times New Roman" w:hAnsi="Times New Roman" w:cs="Times New Roman"/>
          <w:sz w:val="24"/>
          <w:szCs w:val="24"/>
          <w:lang w:val="fr-BE"/>
        </w:rPr>
        <w:t xml:space="preserve">(UE) </w:t>
      </w:r>
      <w:r w:rsidRPr="00F867B5">
        <w:rPr>
          <w:rFonts w:ascii="Times New Roman" w:hAnsi="Times New Roman" w:cs="Times New Roman"/>
          <w:sz w:val="24"/>
          <w:szCs w:val="24"/>
          <w:lang w:val="fr-BE"/>
        </w:rPr>
        <w:t>2015/1535 relatives aux notifications.</w:t>
      </w:r>
    </w:p>
    <w:p w14:paraId="6002D075" w14:textId="67C7A04A" w:rsidR="00F867B5" w:rsidRPr="00F867B5" w:rsidRDefault="00F867B5" w:rsidP="00F867B5">
      <w:pPr>
        <w:jc w:val="both"/>
        <w:rPr>
          <w:rFonts w:ascii="Times New Roman" w:hAnsi="Times New Roman" w:cs="Times New Roman"/>
          <w:sz w:val="24"/>
          <w:szCs w:val="24"/>
          <w:lang w:val="fr-BE"/>
        </w:rPr>
      </w:pPr>
      <w:r>
        <w:rPr>
          <w:rFonts w:ascii="Times New Roman" w:hAnsi="Times New Roman" w:cs="Times New Roman"/>
          <w:sz w:val="24"/>
          <w:szCs w:val="24"/>
          <w:lang w:val="fr-BE"/>
        </w:rPr>
        <w:t>S</w:t>
      </w:r>
      <w:r w:rsidRPr="00F867B5">
        <w:rPr>
          <w:rFonts w:ascii="Times New Roman" w:hAnsi="Times New Roman" w:cs="Times New Roman"/>
          <w:sz w:val="24"/>
          <w:szCs w:val="24"/>
          <w:lang w:val="fr-BE"/>
        </w:rPr>
        <w:t>eul le texte de la Directive</w:t>
      </w:r>
      <w:r>
        <w:rPr>
          <w:rFonts w:ascii="Times New Roman" w:hAnsi="Times New Roman" w:cs="Times New Roman"/>
          <w:sz w:val="24"/>
          <w:szCs w:val="24"/>
          <w:lang w:val="fr-BE"/>
        </w:rPr>
        <w:t xml:space="preserve"> (UE)</w:t>
      </w:r>
      <w:r w:rsidRPr="00F867B5">
        <w:rPr>
          <w:rFonts w:ascii="Times New Roman" w:hAnsi="Times New Roman" w:cs="Times New Roman"/>
          <w:sz w:val="24"/>
          <w:szCs w:val="24"/>
          <w:lang w:val="fr-BE"/>
        </w:rPr>
        <w:t xml:space="preserve"> 2015/1535 </w:t>
      </w:r>
      <w:r>
        <w:rPr>
          <w:rFonts w:ascii="Times New Roman" w:hAnsi="Times New Roman" w:cs="Times New Roman"/>
          <w:sz w:val="24"/>
          <w:szCs w:val="24"/>
          <w:lang w:val="fr-BE"/>
        </w:rPr>
        <w:t>fait foi</w:t>
      </w:r>
      <w:r w:rsidRPr="00F867B5">
        <w:rPr>
          <w:rFonts w:ascii="Times New Roman" w:hAnsi="Times New Roman" w:cs="Times New Roman"/>
          <w:sz w:val="24"/>
          <w:szCs w:val="24"/>
          <w:lang w:val="fr-BE"/>
        </w:rPr>
        <w:t xml:space="preserve"> et est susceptible de créer des droits et obligations pour les personnes et les États Membres. Le présent document n’a pas de valeur juridique contraignante et ne crée aucun droit ni aucune attente légitime pouvant être invoqués.</w:t>
      </w:r>
    </w:p>
    <w:p w14:paraId="6703F869" w14:textId="771B3D93" w:rsidR="00F867B5" w:rsidRPr="00F867B5" w:rsidRDefault="00F867B5" w:rsidP="00F867B5">
      <w:pPr>
        <w:jc w:val="both"/>
        <w:rPr>
          <w:rFonts w:ascii="Times New Roman" w:hAnsi="Times New Roman" w:cs="Times New Roman"/>
          <w:sz w:val="24"/>
          <w:szCs w:val="24"/>
          <w:lang w:val="fr-BE"/>
        </w:rPr>
      </w:pPr>
      <w:r w:rsidRPr="00F867B5">
        <w:rPr>
          <w:rFonts w:ascii="Times New Roman" w:hAnsi="Times New Roman" w:cs="Times New Roman"/>
          <w:sz w:val="24"/>
          <w:szCs w:val="24"/>
          <w:lang w:val="fr-BE"/>
        </w:rPr>
        <w:t xml:space="preserve">L’interprétation contraignante de la législation de </w:t>
      </w:r>
      <w:r>
        <w:rPr>
          <w:rFonts w:ascii="Times New Roman" w:hAnsi="Times New Roman" w:cs="Times New Roman"/>
          <w:sz w:val="24"/>
          <w:szCs w:val="24"/>
          <w:lang w:val="fr-BE"/>
        </w:rPr>
        <w:t>l’Union européenne</w:t>
      </w:r>
      <w:r w:rsidRPr="00F867B5">
        <w:rPr>
          <w:rFonts w:ascii="Times New Roman" w:hAnsi="Times New Roman" w:cs="Times New Roman"/>
          <w:sz w:val="24"/>
          <w:szCs w:val="24"/>
          <w:lang w:val="fr-BE"/>
        </w:rPr>
        <w:t xml:space="preserve"> relève de la compétence exclusive de la Cour de justice de l’Union européenne. Les positions exprimées dans ce document ne préjugent en rien de celles que la Commission européenne pourrait adopter devant la Cour.</w:t>
      </w:r>
    </w:p>
    <w:p w14:paraId="0D110F8E" w14:textId="0F3A616C" w:rsidR="00F867B5" w:rsidRPr="00F867B5" w:rsidRDefault="00F867B5" w:rsidP="00F867B5">
      <w:pPr>
        <w:spacing w:after="0" w:line="240" w:lineRule="auto"/>
        <w:rPr>
          <w:rFonts w:ascii="Times New Roman" w:hAnsi="Times New Roman" w:cs="Times New Roman"/>
          <w:sz w:val="24"/>
          <w:szCs w:val="24"/>
          <w:lang w:val="fr-BE"/>
        </w:rPr>
      </w:pPr>
      <w:r w:rsidRPr="00F867B5">
        <w:rPr>
          <w:rFonts w:ascii="Times New Roman" w:hAnsi="Times New Roman" w:cs="Times New Roman"/>
          <w:sz w:val="24"/>
          <w:szCs w:val="24"/>
          <w:lang w:val="fr-BE"/>
        </w:rPr>
        <w:t xml:space="preserve">Ce document reflétant la jurisprudence au moment de sa rédaction, il doit être considéré comme un </w:t>
      </w:r>
      <w:r>
        <w:rPr>
          <w:rFonts w:ascii="Times New Roman" w:hAnsi="Times New Roman" w:cs="Times New Roman"/>
          <w:sz w:val="24"/>
          <w:szCs w:val="24"/>
          <w:lang w:val="fr-BE"/>
        </w:rPr>
        <w:t xml:space="preserve">outil évolutif, </w:t>
      </w:r>
      <w:r w:rsidRPr="00F867B5">
        <w:rPr>
          <w:rFonts w:ascii="Times New Roman" w:hAnsi="Times New Roman" w:cs="Times New Roman"/>
          <w:sz w:val="24"/>
          <w:szCs w:val="24"/>
          <w:lang w:val="fr-BE"/>
        </w:rPr>
        <w:t>susceptible d’être amélioré, et son contenu peut faire l’objet de modifications sans préavis. </w:t>
      </w:r>
    </w:p>
    <w:p w14:paraId="00285176" w14:textId="47913ED9" w:rsidR="007F205B" w:rsidRPr="00F867B5" w:rsidRDefault="007F205B" w:rsidP="00F56389">
      <w:pPr>
        <w:spacing w:after="0" w:line="240" w:lineRule="auto"/>
        <w:rPr>
          <w:lang w:val="fr-BE"/>
        </w:rPr>
      </w:pPr>
      <w:r w:rsidRPr="00F867B5">
        <w:rPr>
          <w:lang w:val="fr-BE"/>
        </w:rPr>
        <w:br w:type="page"/>
      </w:r>
    </w:p>
    <w:p w14:paraId="197EEF1B" w14:textId="7EE4D083" w:rsidR="00F56389" w:rsidRDefault="00F56389" w:rsidP="00004BD5">
      <w:pPr>
        <w:pStyle w:val="Heading1"/>
        <w:numPr>
          <w:ilvl w:val="0"/>
          <w:numId w:val="35"/>
        </w:numPr>
        <w:spacing w:before="0" w:after="0"/>
        <w:jc w:val="center"/>
        <w:rPr>
          <w:color w:val="auto"/>
          <w:lang w:val="fr-BE"/>
        </w:rPr>
      </w:pPr>
      <w:bookmarkStart w:id="1" w:name="_Ref194485731"/>
      <w:bookmarkStart w:id="2" w:name="_Toc203035377"/>
      <w:bookmarkEnd w:id="0"/>
      <w:r w:rsidRPr="00745699">
        <w:rPr>
          <w:color w:val="auto"/>
          <w:lang w:val="fr-BE"/>
        </w:rPr>
        <w:lastRenderedPageBreak/>
        <w:t>Qualification de règle technique</w:t>
      </w:r>
      <w:bookmarkEnd w:id="1"/>
      <w:bookmarkEnd w:id="2"/>
    </w:p>
    <w:p w14:paraId="35C26D38" w14:textId="77777777" w:rsidR="00004BD5" w:rsidRDefault="00004BD5" w:rsidP="00004BD5">
      <w:pPr>
        <w:rPr>
          <w:lang w:val="fr-BE"/>
        </w:rPr>
      </w:pPr>
    </w:p>
    <w:p w14:paraId="2E1D3A71" w14:textId="230C8665" w:rsidR="00004BD5" w:rsidRDefault="00004BD5" w:rsidP="00004BD5">
      <w:pPr>
        <w:spacing w:after="0" w:line="240" w:lineRule="auto"/>
        <w:ind w:left="567"/>
        <w:jc w:val="both"/>
        <w:rPr>
          <w:rFonts w:ascii="Times New Roman" w:hAnsi="Times New Roman" w:cs="Times New Roman"/>
          <w:i/>
          <w:iCs/>
          <w:sz w:val="24"/>
          <w:szCs w:val="24"/>
          <w:lang w:val="fr-BE"/>
        </w:rPr>
      </w:pPr>
      <w:r w:rsidRPr="006F0DE7">
        <w:rPr>
          <w:rFonts w:ascii="Times New Roman" w:hAnsi="Times New Roman" w:cs="Times New Roman"/>
          <w:i/>
          <w:iCs/>
          <w:sz w:val="24"/>
          <w:szCs w:val="24"/>
          <w:lang w:val="fr-BE"/>
        </w:rPr>
        <w:t>« </w:t>
      </w:r>
      <w:r w:rsidR="0065171B">
        <w:rPr>
          <w:rFonts w:ascii="Times New Roman" w:hAnsi="Times New Roman" w:cs="Times New Roman"/>
          <w:i/>
          <w:iCs/>
          <w:sz w:val="24"/>
          <w:szCs w:val="24"/>
          <w:lang w:val="fr-BE"/>
        </w:rPr>
        <w:t xml:space="preserve">[…] </w:t>
      </w:r>
      <w:r w:rsidRPr="006F0DE7">
        <w:rPr>
          <w:rFonts w:ascii="Times New Roman" w:hAnsi="Times New Roman" w:cs="Times New Roman"/>
          <w:i/>
          <w:iCs/>
          <w:sz w:val="24"/>
          <w:szCs w:val="24"/>
          <w:lang w:val="fr-BE"/>
        </w:rPr>
        <w:t>la notion de «règle technique» recouvre quatre catégories de mesures, à savoir, premièrement, la «spécification technique» au sens de l’article 1er, point 3, de la directive 98/34, deuxièmement, l’«autre exigence» telle que définie à l’article 1er, point 4, de cette directive, troisièmement, la «règle relative aux services» visée à l’article 1er, point 5, de ladite directive et, quatrièmement, les «dispositions législatives, réglementaires et administratives des États membres interdisant la fabrication, l’importation, la commercialisation ou l’utilisation d’un produit ou interdisant de fournir ou d’utiliser un service ou de s’établir comme prestataire de services». »</w:t>
      </w:r>
    </w:p>
    <w:p w14:paraId="3257C0BE" w14:textId="77777777" w:rsidR="00004BD5" w:rsidRDefault="00004BD5" w:rsidP="00004BD5">
      <w:pPr>
        <w:spacing w:after="0" w:line="240" w:lineRule="auto"/>
        <w:ind w:left="567"/>
        <w:jc w:val="both"/>
        <w:rPr>
          <w:rFonts w:ascii="Times New Roman" w:hAnsi="Times New Roman" w:cs="Times New Roman"/>
          <w:i/>
          <w:iCs/>
          <w:sz w:val="24"/>
          <w:szCs w:val="24"/>
          <w:lang w:val="fr-BE"/>
        </w:rPr>
      </w:pPr>
    </w:p>
    <w:p w14:paraId="6B89FBA2" w14:textId="77777777" w:rsidR="00004BD5" w:rsidRPr="006F0DE7" w:rsidRDefault="00004BD5" w:rsidP="00004BD5">
      <w:pPr>
        <w:spacing w:after="0" w:line="240" w:lineRule="auto"/>
        <w:ind w:left="567"/>
        <w:jc w:val="right"/>
        <w:rPr>
          <w:rFonts w:ascii="Times New Roman" w:hAnsi="Times New Roman" w:cs="Times New Roman"/>
          <w:sz w:val="24"/>
          <w:szCs w:val="24"/>
          <w:lang w:val="fr-BE"/>
        </w:rPr>
      </w:pPr>
      <w:r w:rsidRPr="006F0DE7">
        <w:rPr>
          <w:rFonts w:ascii="Times New Roman" w:hAnsi="Times New Roman" w:cs="Times New Roman"/>
          <w:sz w:val="24"/>
          <w:szCs w:val="24"/>
          <w:lang w:val="fr-BE"/>
        </w:rPr>
        <w:t>(</w:t>
      </w:r>
      <w:r>
        <w:rPr>
          <w:rFonts w:ascii="Times New Roman" w:eastAsia="Times New Roman" w:hAnsi="Times New Roman" w:cs="Times New Roman"/>
          <w:sz w:val="24"/>
          <w:szCs w:val="24"/>
          <w:lang w:val="fr" w:eastAsia="en-IE"/>
        </w:rPr>
        <w:t>a</w:t>
      </w:r>
      <w:r w:rsidRPr="006F0DE7">
        <w:rPr>
          <w:rFonts w:ascii="Times New Roman" w:eastAsia="Times New Roman" w:hAnsi="Times New Roman" w:cs="Times New Roman"/>
          <w:sz w:val="24"/>
          <w:szCs w:val="24"/>
          <w:lang w:val="fr" w:eastAsia="en-IE"/>
        </w:rPr>
        <w:t>rrêt du 2 février 2016, C-336/14, Ince, point</w:t>
      </w:r>
      <w:r w:rsidRPr="006F0DE7">
        <w:rPr>
          <w:rFonts w:ascii="Times New Roman" w:hAnsi="Times New Roman" w:cs="Times New Roman"/>
          <w:sz w:val="24"/>
          <w:szCs w:val="24"/>
          <w:lang w:val="fr-BE"/>
        </w:rPr>
        <w:t xml:space="preserve"> 70)</w:t>
      </w:r>
    </w:p>
    <w:p w14:paraId="7C4A0228" w14:textId="77777777" w:rsidR="00F56389" w:rsidRDefault="00F56389" w:rsidP="002C17AE">
      <w:pPr>
        <w:pStyle w:val="BodyText"/>
        <w:jc w:val="left"/>
      </w:pPr>
    </w:p>
    <w:p w14:paraId="25C9D38A" w14:textId="6E3E63E7" w:rsidR="007F205B" w:rsidRPr="00745699" w:rsidRDefault="00745699" w:rsidP="002C17AE">
      <w:pPr>
        <w:pStyle w:val="Heading2"/>
        <w:spacing w:before="0" w:after="0"/>
        <w:jc w:val="center"/>
        <w:rPr>
          <w:color w:val="auto"/>
          <w:lang w:val="fr-BE"/>
        </w:rPr>
      </w:pPr>
      <w:bookmarkStart w:id="3" w:name="_Ref194479747"/>
      <w:bookmarkStart w:id="4" w:name="_Toc203035378"/>
      <w:r w:rsidRPr="00745699">
        <w:rPr>
          <w:color w:val="auto"/>
          <w:lang w:val="fr-BE"/>
        </w:rPr>
        <w:t xml:space="preserve">a. </w:t>
      </w:r>
      <w:r w:rsidR="007F205B" w:rsidRPr="00745699">
        <w:rPr>
          <w:color w:val="auto"/>
          <w:lang w:val="fr-BE"/>
        </w:rPr>
        <w:t>Critères communs aux règles techniques</w:t>
      </w:r>
      <w:bookmarkEnd w:id="3"/>
      <w:bookmarkEnd w:id="4"/>
    </w:p>
    <w:p w14:paraId="4AC52D66" w14:textId="77777777" w:rsidR="007F205B" w:rsidRDefault="007F205B" w:rsidP="00AA4F20">
      <w:pPr>
        <w:pStyle w:val="BodyText"/>
      </w:pPr>
    </w:p>
    <w:p w14:paraId="096B893C" w14:textId="77777777" w:rsidR="007F205B" w:rsidRPr="00D717F0" w:rsidRDefault="007F205B" w:rsidP="00AA4F20">
      <w:pPr>
        <w:pStyle w:val="BodyText"/>
        <w:ind w:left="567"/>
        <w:rPr>
          <w:i/>
          <w:iCs/>
          <w:lang w:val="fr-BE"/>
        </w:rPr>
      </w:pPr>
      <w:r w:rsidRPr="00D717F0">
        <w:rPr>
          <w:i/>
          <w:iCs/>
          <w:lang w:val="fr-BE"/>
        </w:rPr>
        <w:t>« «règle technique», une spécification technique ou autre exigence ou une règle relative aux services, y compris les dispositions administratives qui s'y appliquent, dont l'observation est obligatoire de jure ou de facto, pour la commercialisation, la prestation de services, l'établissement d'un opérateur de services ou l'utilisation dans un État membre ou dans une partie importante de cet État, de même que, sous réserve de celles visées à l'article 7, les dispositions législatives, réglementaires et administratives des États membres interdisant la fabrication, l'importation, la commercialisation ou l'utilisation d'un produit ou interdisant de fournir ou d'utiliser un service ou de s'établir comme prestataire de services. »</w:t>
      </w:r>
    </w:p>
    <w:p w14:paraId="7D7C7AD7" w14:textId="77777777" w:rsidR="007F205B" w:rsidRPr="00D717F0" w:rsidRDefault="007F205B" w:rsidP="00AA4F20">
      <w:pPr>
        <w:pStyle w:val="BodyText"/>
        <w:rPr>
          <w:lang w:val="fr-BE"/>
        </w:rPr>
      </w:pPr>
    </w:p>
    <w:p w14:paraId="58FF857F" w14:textId="0FBF66F3" w:rsidR="00D84AD6" w:rsidRPr="006F0DE7" w:rsidRDefault="007F205B" w:rsidP="00AA4F20">
      <w:pPr>
        <w:spacing w:after="0" w:line="240" w:lineRule="auto"/>
        <w:jc w:val="right"/>
        <w:rPr>
          <w:rFonts w:ascii="Times New Roman" w:hAnsi="Times New Roman" w:cs="Times New Roman"/>
          <w:sz w:val="24"/>
          <w:szCs w:val="24"/>
          <w:lang w:val="fr-BE"/>
        </w:rPr>
      </w:pPr>
      <w:r w:rsidRPr="006F0DE7">
        <w:rPr>
          <w:rFonts w:ascii="Times New Roman" w:hAnsi="Times New Roman" w:cs="Times New Roman"/>
          <w:sz w:val="24"/>
          <w:szCs w:val="24"/>
          <w:lang w:val="fr-BE"/>
        </w:rPr>
        <w:t xml:space="preserve">(article </w:t>
      </w:r>
      <w:r w:rsidR="000A18C4" w:rsidRPr="006F0DE7">
        <w:rPr>
          <w:rFonts w:ascii="Times New Roman" w:hAnsi="Times New Roman" w:cs="Times New Roman"/>
          <w:sz w:val="24"/>
          <w:szCs w:val="24"/>
          <w:lang w:val="fr-BE"/>
        </w:rPr>
        <w:t>1</w:t>
      </w:r>
      <w:r w:rsidR="000A18C4" w:rsidRPr="006F0DE7">
        <w:rPr>
          <w:rFonts w:ascii="Times New Roman" w:hAnsi="Times New Roman" w:cs="Times New Roman"/>
          <w:sz w:val="24"/>
          <w:szCs w:val="24"/>
          <w:vertAlign w:val="superscript"/>
          <w:lang w:val="fr-BE"/>
        </w:rPr>
        <w:t>er</w:t>
      </w:r>
      <w:r w:rsidRPr="006F0DE7">
        <w:rPr>
          <w:rFonts w:ascii="Times New Roman" w:hAnsi="Times New Roman" w:cs="Times New Roman"/>
          <w:sz w:val="24"/>
          <w:szCs w:val="24"/>
          <w:lang w:val="fr-BE"/>
        </w:rPr>
        <w:t xml:space="preserve">, paragraphe 1, </w:t>
      </w:r>
      <w:r w:rsidR="001305B4">
        <w:rPr>
          <w:rFonts w:ascii="Times New Roman" w:hAnsi="Times New Roman" w:cs="Times New Roman"/>
          <w:sz w:val="24"/>
          <w:szCs w:val="24"/>
          <w:lang w:val="fr-BE"/>
        </w:rPr>
        <w:t>point</w:t>
      </w:r>
      <w:r w:rsidRPr="006F0DE7">
        <w:rPr>
          <w:rFonts w:ascii="Times New Roman" w:hAnsi="Times New Roman" w:cs="Times New Roman"/>
          <w:sz w:val="24"/>
          <w:szCs w:val="24"/>
          <w:lang w:val="fr-BE"/>
        </w:rPr>
        <w:t xml:space="preserve"> f</w:t>
      </w:r>
      <w:r w:rsidR="00B63F8E" w:rsidRPr="006F0DE7">
        <w:rPr>
          <w:rFonts w:ascii="Times New Roman" w:hAnsi="Times New Roman" w:cs="Times New Roman"/>
          <w:sz w:val="24"/>
          <w:szCs w:val="24"/>
          <w:lang w:val="fr-BE"/>
        </w:rPr>
        <w:t>)</w:t>
      </w:r>
      <w:r w:rsidRPr="006F0DE7">
        <w:rPr>
          <w:rFonts w:ascii="Times New Roman" w:hAnsi="Times New Roman" w:cs="Times New Roman"/>
          <w:sz w:val="24"/>
          <w:szCs w:val="24"/>
          <w:lang w:val="fr-BE"/>
        </w:rPr>
        <w:t>,</w:t>
      </w:r>
      <w:r w:rsidR="006D20AB">
        <w:rPr>
          <w:rFonts w:ascii="Times New Roman" w:hAnsi="Times New Roman" w:cs="Times New Roman"/>
          <w:sz w:val="24"/>
          <w:szCs w:val="24"/>
          <w:lang w:val="fr-BE"/>
        </w:rPr>
        <w:t xml:space="preserve"> première phrase,</w:t>
      </w:r>
      <w:r w:rsidRPr="006F0DE7">
        <w:rPr>
          <w:rFonts w:ascii="Times New Roman" w:hAnsi="Times New Roman" w:cs="Times New Roman"/>
          <w:sz w:val="24"/>
          <w:szCs w:val="24"/>
          <w:lang w:val="fr-BE"/>
        </w:rPr>
        <w:t xml:space="preserve"> de la directive </w:t>
      </w:r>
      <w:r w:rsidR="006C60E5">
        <w:rPr>
          <w:rFonts w:ascii="Times New Roman" w:hAnsi="Times New Roman" w:cs="Times New Roman"/>
          <w:sz w:val="24"/>
          <w:szCs w:val="24"/>
          <w:lang w:val="fr-BE"/>
        </w:rPr>
        <w:t xml:space="preserve">(UE) </w:t>
      </w:r>
      <w:r w:rsidRPr="006F0DE7">
        <w:rPr>
          <w:rFonts w:ascii="Times New Roman" w:hAnsi="Times New Roman" w:cs="Times New Roman"/>
          <w:sz w:val="24"/>
          <w:szCs w:val="24"/>
          <w:lang w:val="fr-BE"/>
        </w:rPr>
        <w:t>2015/1535)</w:t>
      </w:r>
    </w:p>
    <w:p w14:paraId="3171EC87" w14:textId="77777777" w:rsidR="007F205B" w:rsidRDefault="007F205B" w:rsidP="00AA4F20">
      <w:pPr>
        <w:spacing w:after="0" w:line="240" w:lineRule="auto"/>
        <w:rPr>
          <w:lang w:val="fr-BE"/>
        </w:rPr>
      </w:pPr>
    </w:p>
    <w:p w14:paraId="762B8CE8" w14:textId="77777777" w:rsidR="006F0DE7" w:rsidRPr="006F0DE7" w:rsidRDefault="006F0DE7" w:rsidP="00AA4F20">
      <w:pPr>
        <w:spacing w:after="0" w:line="240" w:lineRule="auto"/>
        <w:rPr>
          <w:sz w:val="24"/>
          <w:szCs w:val="24"/>
          <w:lang w:val="fr-BE"/>
        </w:rPr>
      </w:pPr>
    </w:p>
    <w:p w14:paraId="16EEBE40" w14:textId="1679697C" w:rsidR="00EA7E10" w:rsidRPr="0016637A"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1" w:history="1">
        <w:r w:rsidR="00EA7E10" w:rsidRPr="0016637A">
          <w:rPr>
            <w:rFonts w:ascii="Times New Roman" w:eastAsia="Times New Roman" w:hAnsi="Times New Roman" w:cs="Times New Roman"/>
            <w:b/>
            <w:i/>
            <w:color w:val="0000FF"/>
            <w:szCs w:val="20"/>
            <w:u w:val="single"/>
            <w:lang w:val="fr" w:eastAsia="en-IE"/>
          </w:rPr>
          <w:t>Arrêt du 30 avril 1996</w:t>
        </w:r>
      </w:hyperlink>
      <w:r w:rsidR="00EA7E10" w:rsidRPr="0016637A">
        <w:rPr>
          <w:rFonts w:ascii="Times New Roman" w:eastAsia="Times New Roman" w:hAnsi="Times New Roman" w:cs="Times New Roman"/>
          <w:b/>
          <w:i/>
          <w:szCs w:val="20"/>
          <w:lang w:val="fr" w:eastAsia="en-IE"/>
        </w:rPr>
        <w:t xml:space="preserve">, </w:t>
      </w:r>
      <w:r w:rsidR="0087132A" w:rsidRPr="0016637A">
        <w:rPr>
          <w:rFonts w:ascii="Times New Roman" w:eastAsia="Times New Roman" w:hAnsi="Times New Roman" w:cs="Times New Roman"/>
          <w:b/>
          <w:i/>
          <w:szCs w:val="20"/>
          <w:lang w:val="fr" w:eastAsia="en-IE"/>
        </w:rPr>
        <w:t>CIA Security International SA,</w:t>
      </w:r>
      <w:r w:rsidR="0087132A">
        <w:rPr>
          <w:rFonts w:ascii="Times New Roman" w:eastAsia="Times New Roman" w:hAnsi="Times New Roman" w:cs="Times New Roman"/>
          <w:b/>
          <w:i/>
          <w:szCs w:val="20"/>
          <w:lang w:val="fr" w:eastAsia="en-IE"/>
        </w:rPr>
        <w:t xml:space="preserve"> </w:t>
      </w:r>
      <w:r w:rsidR="00EA7E10" w:rsidRPr="0016637A">
        <w:rPr>
          <w:rFonts w:ascii="Times New Roman" w:eastAsia="Times New Roman" w:hAnsi="Times New Roman" w:cs="Times New Roman"/>
          <w:b/>
          <w:i/>
          <w:szCs w:val="20"/>
          <w:lang w:val="fr" w:eastAsia="en-IE"/>
        </w:rPr>
        <w:t xml:space="preserve">C-194/94, </w:t>
      </w:r>
      <w:r w:rsidR="00EA7E10" w:rsidRPr="007140D1">
        <w:rPr>
          <w:rFonts w:ascii="Times New Roman" w:eastAsia="Times New Roman" w:hAnsi="Times New Roman" w:cs="Times New Roman"/>
          <w:b/>
          <w:i/>
          <w:szCs w:val="20"/>
          <w:lang w:val="fr-BE" w:eastAsia="en-IE"/>
        </w:rPr>
        <w:t>EU:C:1996:172</w:t>
      </w:r>
      <w:r w:rsidR="00EA7E10" w:rsidRPr="000A18C4">
        <w:rPr>
          <w:rFonts w:ascii="Times New Roman" w:eastAsia="Times New Roman" w:hAnsi="Times New Roman" w:cs="Times New Roman"/>
          <w:b/>
          <w:i/>
          <w:szCs w:val="20"/>
          <w:lang w:val="fr-BE" w:eastAsia="en-IE"/>
        </w:rPr>
        <w:t>,</w:t>
      </w:r>
      <w:r w:rsidR="00EA7E10" w:rsidRPr="000A18C4">
        <w:rPr>
          <w:rFonts w:ascii="Times New Roman" w:eastAsia="Times New Roman" w:hAnsi="Times New Roman" w:cs="Times New Roman"/>
          <w:b/>
          <w:i/>
          <w:szCs w:val="20"/>
          <w:lang w:val="fr" w:eastAsia="en-IE"/>
        </w:rPr>
        <w:t xml:space="preserve"> point 29</w:t>
      </w:r>
    </w:p>
    <w:p w14:paraId="60055D50" w14:textId="77777777" w:rsidR="00EA7E10" w:rsidRPr="0016637A" w:rsidRDefault="00EA7E10"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48D9AB84" w14:textId="51F5AC7B" w:rsidR="00EA7E10" w:rsidRPr="0016637A" w:rsidRDefault="00EA7E10"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r w:rsidRPr="0016637A">
        <w:rPr>
          <w:rFonts w:ascii="Times New Roman" w:eastAsia="Times New Roman" w:hAnsi="Times New Roman" w:cs="Times New Roman"/>
          <w:szCs w:val="20"/>
          <w:lang w:val="fr" w:eastAsia="en-IE"/>
        </w:rPr>
        <w:t xml:space="preserve">Une règle </w:t>
      </w:r>
      <w:r>
        <w:rPr>
          <w:rFonts w:ascii="Times New Roman" w:eastAsia="Times New Roman" w:hAnsi="Times New Roman" w:cs="Times New Roman"/>
          <w:szCs w:val="20"/>
          <w:lang w:val="fr" w:eastAsia="en-IE"/>
        </w:rPr>
        <w:t>peut</w:t>
      </w:r>
      <w:r w:rsidRPr="0016637A">
        <w:rPr>
          <w:rFonts w:ascii="Times New Roman" w:eastAsia="Times New Roman" w:hAnsi="Times New Roman" w:cs="Times New Roman"/>
          <w:szCs w:val="20"/>
          <w:lang w:val="fr" w:eastAsia="en-IE"/>
        </w:rPr>
        <w:t xml:space="preserve"> être qualifiée de </w:t>
      </w:r>
      <w:r w:rsidR="00EE4C2F">
        <w:rPr>
          <w:rFonts w:ascii="Times New Roman" w:eastAsia="Times New Roman" w:hAnsi="Times New Roman" w:cs="Times New Roman"/>
          <w:szCs w:val="20"/>
          <w:lang w:val="fr" w:eastAsia="en-IE"/>
        </w:rPr>
        <w:t>« r</w:t>
      </w:r>
      <w:r w:rsidRPr="0016637A">
        <w:rPr>
          <w:rFonts w:ascii="Times New Roman" w:eastAsia="Times New Roman" w:hAnsi="Times New Roman" w:cs="Times New Roman"/>
          <w:szCs w:val="20"/>
          <w:lang w:val="fr" w:eastAsia="en-IE"/>
        </w:rPr>
        <w:t>ègle technique</w:t>
      </w:r>
      <w:r w:rsidR="00EE4C2F">
        <w:rPr>
          <w:rFonts w:ascii="Times New Roman" w:eastAsia="Times New Roman" w:hAnsi="Times New Roman" w:cs="Times New Roman"/>
          <w:szCs w:val="20"/>
          <w:lang w:val="fr" w:eastAsia="en-IE"/>
        </w:rPr>
        <w:t> »</w:t>
      </w:r>
      <w:r w:rsidRPr="0016637A">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seulement si elle comporte des effets juridiques propres. Ce n’est pas le cas d’une loi-cadre n’ayant aucun effet juridique pour les particuliers.</w:t>
      </w:r>
    </w:p>
    <w:p w14:paraId="6195BE8B" w14:textId="77777777" w:rsidR="00EA7E10" w:rsidRPr="0016637A" w:rsidRDefault="00EA7E10"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p>
    <w:p w14:paraId="48BBC14C" w14:textId="7F208450" w:rsidR="00EA7E10" w:rsidRPr="002251C6" w:rsidRDefault="00EA7E10" w:rsidP="00AA4F20">
      <w:pPr>
        <w:widowControl w:val="0"/>
        <w:tabs>
          <w:tab w:val="left" w:pos="39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 w:eastAsia="en-IE"/>
        </w:rPr>
        <w:t xml:space="preserve"> « </w:t>
      </w:r>
      <w:r w:rsidRPr="0016637A">
        <w:rPr>
          <w:rFonts w:ascii="Times New Roman" w:eastAsia="Times New Roman" w:hAnsi="Times New Roman" w:cs="Times New Roman"/>
          <w:i/>
          <w:iCs/>
          <w:sz w:val="20"/>
          <w:szCs w:val="16"/>
          <w:lang w:val="fr-BE" w:eastAsia="en-IE"/>
        </w:rPr>
        <w:t>29</w:t>
      </w:r>
      <w:r w:rsidR="00116D32">
        <w:rPr>
          <w:rFonts w:ascii="Times New Roman" w:eastAsia="Times New Roman" w:hAnsi="Times New Roman" w:cs="Times New Roman"/>
          <w:i/>
          <w:iCs/>
          <w:sz w:val="20"/>
          <w:szCs w:val="16"/>
          <w:lang w:val="fr-BE" w:eastAsia="en-IE"/>
        </w:rPr>
        <w:t>.</w:t>
      </w:r>
      <w:r w:rsidRPr="0016637A">
        <w:rPr>
          <w:rFonts w:ascii="Times New Roman" w:eastAsia="Times New Roman" w:hAnsi="Times New Roman" w:cs="Times New Roman"/>
          <w:i/>
          <w:iCs/>
          <w:sz w:val="20"/>
          <w:szCs w:val="16"/>
          <w:lang w:val="fr-BE" w:eastAsia="en-IE"/>
        </w:rPr>
        <w:t xml:space="preserve"> </w:t>
      </w:r>
      <w:r w:rsidR="005A15B3">
        <w:rPr>
          <w:rFonts w:ascii="Times New Roman" w:eastAsia="Times New Roman" w:hAnsi="Times New Roman" w:cs="Times New Roman"/>
          <w:i/>
          <w:iCs/>
          <w:sz w:val="20"/>
          <w:szCs w:val="16"/>
          <w:lang w:val="fr-BE" w:eastAsia="en-IE"/>
        </w:rPr>
        <w:t>[…]</w:t>
      </w:r>
      <w:r w:rsidRPr="0016637A">
        <w:rPr>
          <w:rFonts w:ascii="Times New Roman" w:eastAsia="Times New Roman" w:hAnsi="Times New Roman" w:cs="Times New Roman"/>
          <w:i/>
          <w:iCs/>
          <w:sz w:val="20"/>
          <w:szCs w:val="16"/>
          <w:lang w:val="fr-BE" w:eastAsia="en-IE"/>
        </w:rPr>
        <w:t xml:space="preserve"> il importe de constater qu'une règle est qualifiée de règle technique au sens de la directive 83/189 lorsqu'elle comporte des effets juridiques propres. Si, d'après le droit national, la règle se limite à fournir une base d'habilitation pour l'adoption de règlements administratifs contenant des règles contraignantes pour les intéressés, de sorte qu'elle n'a en soi aucun effet juridique pour les particuliers, la règle ne constitue pas une règle technique au sens de la directive (voir arrêt du 1 e r juin 1994, Commission/Allemagne, C-317/92, Rec. p. 1-2039, point 26). Il convient, dans ce contexte, de rappeler que, selon l'article 8, paragraphe 1, premier alinéa, de la directive 83/189, les États membres doivent communiquer, en même temps que le projet de règle technique, sa base d'habilitation, lorsque la connaissance de celle-ci est nécessaire pour apprécier la portée du projet.</w:t>
      </w:r>
      <w:r>
        <w:rPr>
          <w:rFonts w:ascii="Times New Roman" w:eastAsia="Times New Roman" w:hAnsi="Times New Roman" w:cs="Times New Roman"/>
          <w:i/>
          <w:iCs/>
          <w:sz w:val="20"/>
          <w:szCs w:val="16"/>
          <w:lang w:val="fr-BE" w:eastAsia="en-IE"/>
        </w:rPr>
        <w:t> »</w:t>
      </w:r>
    </w:p>
    <w:p w14:paraId="67C7F53B" w14:textId="77777777" w:rsidR="00EA7E10" w:rsidRDefault="00EA7E10" w:rsidP="00AA4F20">
      <w:pPr>
        <w:spacing w:after="0" w:line="240" w:lineRule="auto"/>
        <w:rPr>
          <w:lang w:val="fr-BE"/>
        </w:rPr>
      </w:pPr>
    </w:p>
    <w:p w14:paraId="54EF0836" w14:textId="76F70984" w:rsidR="00EA7E10" w:rsidRPr="00580DA5"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2" w:history="1">
        <w:r w:rsidR="00EA7E10" w:rsidRPr="00580DA5">
          <w:rPr>
            <w:rFonts w:ascii="Times New Roman" w:eastAsia="Times New Roman" w:hAnsi="Times New Roman" w:cs="Times New Roman"/>
            <w:b/>
            <w:i/>
            <w:color w:val="0000FF"/>
            <w:szCs w:val="20"/>
            <w:u w:val="single"/>
            <w:lang w:val="fr" w:eastAsia="en-IE"/>
          </w:rPr>
          <w:t>Arrêt du 20 mars 1997</w:t>
        </w:r>
      </w:hyperlink>
      <w:r w:rsidR="00EA7E10" w:rsidRPr="00580DA5">
        <w:rPr>
          <w:rFonts w:ascii="Times New Roman" w:eastAsia="Times New Roman" w:hAnsi="Times New Roman" w:cs="Times New Roman"/>
          <w:b/>
          <w:i/>
          <w:szCs w:val="20"/>
          <w:lang w:val="fr" w:eastAsia="en-IE"/>
        </w:rPr>
        <w:t xml:space="preserve">, </w:t>
      </w:r>
      <w:r w:rsidR="0087132A" w:rsidRPr="00580DA5">
        <w:rPr>
          <w:rFonts w:ascii="Times New Roman" w:eastAsia="Times New Roman" w:hAnsi="Times New Roman" w:cs="Times New Roman"/>
          <w:b/>
          <w:i/>
          <w:szCs w:val="20"/>
          <w:lang w:val="fr" w:eastAsia="en-IE"/>
        </w:rPr>
        <w:t>Bic Benelux,</w:t>
      </w:r>
      <w:r w:rsidR="0087132A">
        <w:rPr>
          <w:rFonts w:ascii="Times New Roman" w:eastAsia="Times New Roman" w:hAnsi="Times New Roman" w:cs="Times New Roman"/>
          <w:b/>
          <w:i/>
          <w:szCs w:val="20"/>
          <w:lang w:val="fr" w:eastAsia="en-IE"/>
        </w:rPr>
        <w:t xml:space="preserve"> </w:t>
      </w:r>
      <w:r w:rsidR="00EA7E10" w:rsidRPr="00580DA5">
        <w:rPr>
          <w:rFonts w:ascii="Times New Roman" w:eastAsia="Times New Roman" w:hAnsi="Times New Roman" w:cs="Times New Roman"/>
          <w:b/>
          <w:i/>
          <w:szCs w:val="20"/>
          <w:lang w:val="fr" w:eastAsia="en-IE"/>
        </w:rPr>
        <w:t xml:space="preserve">C-13/96, </w:t>
      </w:r>
      <w:r w:rsidR="00EA7E10" w:rsidRPr="00EA7E10">
        <w:rPr>
          <w:rFonts w:ascii="Times New Roman" w:eastAsia="Times New Roman" w:hAnsi="Times New Roman" w:cs="Times New Roman"/>
          <w:b/>
          <w:i/>
          <w:szCs w:val="20"/>
          <w:lang w:val="fr-BE" w:eastAsia="en-IE"/>
        </w:rPr>
        <w:t>EU:C:1997:173,</w:t>
      </w:r>
      <w:r w:rsidR="00EA7E10" w:rsidRPr="00580DA5">
        <w:rPr>
          <w:rFonts w:ascii="Times New Roman" w:eastAsia="Times New Roman" w:hAnsi="Times New Roman" w:cs="Times New Roman"/>
          <w:b/>
          <w:i/>
          <w:szCs w:val="20"/>
          <w:lang w:val="fr" w:eastAsia="en-IE"/>
        </w:rPr>
        <w:t xml:space="preserve"> points 19 </w:t>
      </w:r>
      <w:r w:rsidR="00EA7E10">
        <w:rPr>
          <w:rFonts w:ascii="Times New Roman" w:eastAsia="Times New Roman" w:hAnsi="Times New Roman" w:cs="Times New Roman"/>
          <w:b/>
          <w:i/>
          <w:szCs w:val="20"/>
          <w:lang w:val="fr" w:eastAsia="en-IE"/>
        </w:rPr>
        <w:t>et</w:t>
      </w:r>
      <w:r w:rsidR="00EA7E10" w:rsidRPr="00580DA5">
        <w:rPr>
          <w:rFonts w:ascii="Times New Roman" w:eastAsia="Times New Roman" w:hAnsi="Times New Roman" w:cs="Times New Roman"/>
          <w:b/>
          <w:i/>
          <w:szCs w:val="20"/>
          <w:lang w:val="fr" w:eastAsia="en-IE"/>
        </w:rPr>
        <w:t xml:space="preserve"> 2</w:t>
      </w:r>
      <w:r w:rsidR="00EA7E10">
        <w:rPr>
          <w:rFonts w:ascii="Times New Roman" w:eastAsia="Times New Roman" w:hAnsi="Times New Roman" w:cs="Times New Roman"/>
          <w:b/>
          <w:i/>
          <w:szCs w:val="20"/>
          <w:lang w:val="fr" w:eastAsia="en-IE"/>
        </w:rPr>
        <w:t>0</w:t>
      </w:r>
    </w:p>
    <w:p w14:paraId="711AECDC" w14:textId="77777777" w:rsidR="00EA7E10" w:rsidRPr="00580DA5" w:rsidRDefault="00EA7E10" w:rsidP="00AA4F20">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lang w:val="fr" w:eastAsia="en-IE"/>
        </w:rPr>
      </w:pPr>
    </w:p>
    <w:p w14:paraId="30FDADAE" w14:textId="17F91B7A" w:rsidR="00EA7E10" w:rsidRPr="00580DA5" w:rsidRDefault="005A15B3" w:rsidP="00AA4F20">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Les motifs ayant justifié l’adoption d’une mesure nationale sont indifférents à la qualification de cette mesure comme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w:t>
      </w:r>
      <w:r w:rsidR="00F849FE">
        <w:rPr>
          <w:rFonts w:ascii="Times New Roman" w:eastAsia="Times New Roman" w:hAnsi="Times New Roman" w:cs="Times New Roman"/>
          <w:szCs w:val="20"/>
          <w:lang w:val="fr" w:eastAsia="en-IE"/>
        </w:rPr>
        <w:t>L</w:t>
      </w:r>
      <w:r w:rsidR="00E15D6C" w:rsidRPr="00E15D6C">
        <w:rPr>
          <w:rFonts w:ascii="Times New Roman" w:eastAsia="Times New Roman" w:hAnsi="Times New Roman" w:cs="Times New Roman"/>
          <w:szCs w:val="20"/>
          <w:lang w:val="fr" w:eastAsia="en-IE"/>
        </w:rPr>
        <w:t>'objectif de cette directive est de protéger, par un contrôle préventif, la libre circulation des marchandises, qui est l'un des fondements de la Communauté</w:t>
      </w:r>
      <w:r w:rsidR="00E15D6C">
        <w:rPr>
          <w:rFonts w:ascii="Times New Roman" w:eastAsia="Times New Roman" w:hAnsi="Times New Roman" w:cs="Times New Roman"/>
          <w:szCs w:val="20"/>
          <w:lang w:val="fr" w:eastAsia="en-IE"/>
        </w:rPr>
        <w:t>.</w:t>
      </w:r>
    </w:p>
    <w:p w14:paraId="0EFCCC7F" w14:textId="77777777" w:rsidR="00EA7E10" w:rsidRPr="00580DA5"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133DE747" w14:textId="1D80FF94" w:rsidR="00EA7E10" w:rsidRPr="00580DA5" w:rsidRDefault="00EA7E10"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 w:eastAsia="en-IE"/>
        </w:rPr>
      </w:pPr>
      <w:r w:rsidRPr="00580DA5">
        <w:rPr>
          <w:rFonts w:ascii="Times New Roman" w:eastAsia="Times New Roman" w:hAnsi="Times New Roman" w:cs="Times New Roman"/>
          <w:i/>
          <w:iCs/>
          <w:sz w:val="20"/>
          <w:szCs w:val="16"/>
          <w:lang w:val="fr" w:eastAsia="en-IE"/>
        </w:rPr>
        <w:t>« 19</w:t>
      </w:r>
      <w:r w:rsidR="00116D32">
        <w:rPr>
          <w:rFonts w:ascii="Times New Roman" w:eastAsia="Times New Roman" w:hAnsi="Times New Roman" w:cs="Times New Roman"/>
          <w:i/>
          <w:iCs/>
          <w:sz w:val="20"/>
          <w:szCs w:val="16"/>
          <w:lang w:val="fr" w:eastAsia="en-IE"/>
        </w:rPr>
        <w:t>.</w:t>
      </w:r>
      <w:r w:rsidRPr="00580DA5">
        <w:rPr>
          <w:rFonts w:ascii="Times New Roman" w:eastAsia="Times New Roman" w:hAnsi="Times New Roman" w:cs="Times New Roman"/>
          <w:i/>
          <w:iCs/>
          <w:sz w:val="20"/>
          <w:szCs w:val="16"/>
          <w:lang w:val="fr" w:eastAsia="en-IE"/>
        </w:rPr>
        <w:t xml:space="preserve"> </w:t>
      </w:r>
      <w:r w:rsidR="005A15B3">
        <w:rPr>
          <w:rFonts w:ascii="Times New Roman" w:eastAsia="Times New Roman" w:hAnsi="Times New Roman" w:cs="Times New Roman"/>
          <w:i/>
          <w:iCs/>
          <w:sz w:val="20"/>
          <w:szCs w:val="16"/>
          <w:lang w:val="fr" w:eastAsia="en-IE"/>
        </w:rPr>
        <w:t>[…]</w:t>
      </w:r>
      <w:r w:rsidRPr="00580DA5">
        <w:rPr>
          <w:rFonts w:ascii="Times New Roman" w:eastAsia="Times New Roman" w:hAnsi="Times New Roman" w:cs="Times New Roman"/>
          <w:i/>
          <w:iCs/>
          <w:sz w:val="20"/>
          <w:szCs w:val="16"/>
          <w:lang w:val="fr" w:eastAsia="en-IE"/>
        </w:rPr>
        <w:t xml:space="preserve"> Il n'existe, dans la directive 83/189, aucune base permettant une interprétation selon laquelle elle se limiterait aux mesures nationales qui ne pourraient être harmonisées que sur le fondement de </w:t>
      </w:r>
      <w:r w:rsidRPr="00580DA5">
        <w:rPr>
          <w:rFonts w:ascii="Times New Roman" w:eastAsia="Times New Roman" w:hAnsi="Times New Roman" w:cs="Times New Roman"/>
          <w:i/>
          <w:iCs/>
          <w:sz w:val="20"/>
          <w:szCs w:val="16"/>
          <w:lang w:val="fr" w:eastAsia="en-IE"/>
        </w:rPr>
        <w:lastRenderedPageBreak/>
        <w:t xml:space="preserve">l'article 100 A du traité. En effet, l'objectif de cette directive est de protéger, par un contrôle préventif, la libre circulation des marchandises, qui est l'un des fondements de la Communauté. Ce contrôle s'impose dans la mesure où des règles techniques relevant de la directive sont susceptibles d'entraver directement ou indirectement, actuellement ou potentiellement, les échanges intracommunautaires de marchandises. De telles entraves peuvent résulter de l'adoption de règles techniques nationales, même si ces dernières ne font pas double emploi avec un marquage apposé dans l'État membre d'origine et indépendamment des motifs qui ont justifié leur adoption. </w:t>
      </w:r>
    </w:p>
    <w:p w14:paraId="48DE38AD" w14:textId="77777777" w:rsidR="00EA7E10" w:rsidRPr="00580DA5" w:rsidRDefault="00EA7E10"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 w:eastAsia="en-IE"/>
        </w:rPr>
      </w:pPr>
    </w:p>
    <w:p w14:paraId="1031334C" w14:textId="78D996D2" w:rsidR="00EA7E10" w:rsidRDefault="00EA7E10"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 w:eastAsia="en-IE"/>
        </w:rPr>
      </w:pPr>
      <w:r w:rsidRPr="00580DA5">
        <w:rPr>
          <w:rFonts w:ascii="Times New Roman" w:eastAsia="Times New Roman" w:hAnsi="Times New Roman" w:cs="Times New Roman"/>
          <w:i/>
          <w:iCs/>
          <w:sz w:val="20"/>
          <w:szCs w:val="16"/>
          <w:lang w:val="fr" w:eastAsia="en-IE"/>
        </w:rPr>
        <w:t>20</w:t>
      </w:r>
      <w:r w:rsidR="00116D32">
        <w:rPr>
          <w:rFonts w:ascii="Times New Roman" w:eastAsia="Times New Roman" w:hAnsi="Times New Roman" w:cs="Times New Roman"/>
          <w:i/>
          <w:iCs/>
          <w:sz w:val="20"/>
          <w:szCs w:val="16"/>
          <w:lang w:val="fr" w:eastAsia="en-IE"/>
        </w:rPr>
        <w:t>.</w:t>
      </w:r>
      <w:r w:rsidRPr="00580DA5">
        <w:rPr>
          <w:rFonts w:ascii="Times New Roman" w:eastAsia="Times New Roman" w:hAnsi="Times New Roman" w:cs="Times New Roman"/>
          <w:i/>
          <w:iCs/>
          <w:sz w:val="20"/>
          <w:szCs w:val="16"/>
          <w:lang w:val="fr" w:eastAsia="en-IE"/>
        </w:rPr>
        <w:t xml:space="preserve"> Dès lors, il y a lieu de constater que le fait qu'une mesure nationale a été adoptée pour protéger l'environnement ou le fait qu'elle ne met pas en œuvre une norme technique elle-même susceptible de constituer une entrave à la libre circulation n'excluent pas que la mesure en cause puisse constituer une règle technique au sens de la directive 83/189. »</w:t>
      </w:r>
    </w:p>
    <w:p w14:paraId="15E1C245" w14:textId="77777777" w:rsidR="00EA7E10" w:rsidRDefault="00EA7E10" w:rsidP="00AA4F20">
      <w:pPr>
        <w:spacing w:after="0" w:line="240" w:lineRule="auto"/>
        <w:rPr>
          <w:lang w:val="fr"/>
        </w:rPr>
      </w:pPr>
    </w:p>
    <w:p w14:paraId="7449AF01" w14:textId="4C015EF5" w:rsidR="00EA7E10" w:rsidRPr="005777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3" w:history="1">
        <w:r w:rsidR="00EA7E10" w:rsidRPr="00577756">
          <w:rPr>
            <w:rFonts w:ascii="Times New Roman" w:eastAsia="Times New Roman" w:hAnsi="Times New Roman" w:cs="Times New Roman"/>
            <w:b/>
            <w:i/>
            <w:color w:val="0000FF"/>
            <w:szCs w:val="20"/>
            <w:u w:val="single"/>
            <w:lang w:val="fr" w:eastAsia="en-IE"/>
          </w:rPr>
          <w:t>Arrêt du 16 novembre 2000</w:t>
        </w:r>
      </w:hyperlink>
      <w:r w:rsidR="00EA7E10" w:rsidRPr="00577756">
        <w:rPr>
          <w:rFonts w:ascii="Times New Roman" w:eastAsia="Times New Roman" w:hAnsi="Times New Roman" w:cs="Times New Roman"/>
          <w:b/>
          <w:i/>
          <w:szCs w:val="20"/>
          <w:lang w:val="fr" w:eastAsia="en-IE"/>
        </w:rPr>
        <w:t xml:space="preserve">, </w:t>
      </w:r>
      <w:proofErr w:type="spellStart"/>
      <w:r w:rsidR="0087132A" w:rsidRPr="00577756">
        <w:rPr>
          <w:rFonts w:ascii="Times New Roman" w:eastAsia="Times New Roman" w:hAnsi="Times New Roman" w:cs="Times New Roman"/>
          <w:b/>
          <w:i/>
          <w:szCs w:val="20"/>
          <w:lang w:val="fr" w:eastAsia="en-IE"/>
        </w:rPr>
        <w:t>Donkersteeg</w:t>
      </w:r>
      <w:proofErr w:type="spellEnd"/>
      <w:r w:rsidR="0087132A" w:rsidRPr="00577756">
        <w:rPr>
          <w:rFonts w:ascii="Times New Roman" w:eastAsia="Times New Roman" w:hAnsi="Times New Roman" w:cs="Times New Roman"/>
          <w:b/>
          <w:i/>
          <w:szCs w:val="20"/>
          <w:lang w:val="fr" w:eastAsia="en-IE"/>
        </w:rPr>
        <w:t xml:space="preserve">, </w:t>
      </w:r>
      <w:r w:rsidR="00EA7E10" w:rsidRPr="00577756">
        <w:rPr>
          <w:rFonts w:ascii="Times New Roman" w:eastAsia="Times New Roman" w:hAnsi="Times New Roman" w:cs="Times New Roman"/>
          <w:b/>
          <w:i/>
          <w:szCs w:val="20"/>
          <w:lang w:val="fr" w:eastAsia="en-IE"/>
        </w:rPr>
        <w:t>C-37/99, EU:C:2000:636,</w:t>
      </w:r>
      <w:r w:rsidR="00EA7E10">
        <w:rPr>
          <w:rFonts w:ascii="Times New Roman" w:eastAsia="Times New Roman" w:hAnsi="Times New Roman" w:cs="Times New Roman"/>
          <w:b/>
          <w:i/>
          <w:szCs w:val="20"/>
          <w:lang w:val="fr" w:eastAsia="en-IE"/>
        </w:rPr>
        <w:t xml:space="preserve"> points </w:t>
      </w:r>
      <w:r w:rsidR="00EA7E10" w:rsidRPr="00577756">
        <w:rPr>
          <w:rFonts w:ascii="Times New Roman" w:eastAsia="Times New Roman" w:hAnsi="Times New Roman" w:cs="Times New Roman"/>
          <w:b/>
          <w:i/>
          <w:szCs w:val="20"/>
          <w:lang w:val="fr" w:eastAsia="en-IE"/>
        </w:rPr>
        <w:t>30 à 34</w:t>
      </w:r>
    </w:p>
    <w:p w14:paraId="49CBA9D5" w14:textId="77777777" w:rsidR="00EA7E10" w:rsidRPr="00577756"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53F1C95" w14:textId="7520DB4C" w:rsidR="00EA7E10" w:rsidRPr="00577756"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U</w:t>
      </w:r>
      <w:r w:rsidRPr="00577756">
        <w:rPr>
          <w:rFonts w:ascii="Times New Roman" w:eastAsia="Times New Roman" w:hAnsi="Times New Roman" w:cs="Times New Roman"/>
          <w:szCs w:val="20"/>
          <w:lang w:val="fr" w:eastAsia="en-IE"/>
        </w:rPr>
        <w:t xml:space="preserve">ne réglementation détaillée sur la vaccination des animaux </w:t>
      </w:r>
      <w:r>
        <w:rPr>
          <w:rFonts w:ascii="Times New Roman" w:eastAsia="Times New Roman" w:hAnsi="Times New Roman" w:cs="Times New Roman"/>
          <w:szCs w:val="20"/>
          <w:lang w:val="fr" w:eastAsia="en-IE"/>
        </w:rPr>
        <w:t>est une</w:t>
      </w:r>
      <w:r w:rsidRPr="00577756">
        <w:rPr>
          <w:rFonts w:ascii="Times New Roman" w:eastAsia="Times New Roman" w:hAnsi="Times New Roman" w:cs="Times New Roman"/>
          <w:szCs w:val="20"/>
          <w:lang w:val="fr" w:eastAsia="en-IE"/>
        </w:rPr>
        <w:t xml:space="preserve"> </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spécification technique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Toutefois,</w:t>
      </w:r>
      <w:r w:rsidRPr="00577756">
        <w:rPr>
          <w:rFonts w:ascii="Times New Roman" w:eastAsia="Times New Roman" w:hAnsi="Times New Roman" w:cs="Times New Roman"/>
          <w:szCs w:val="20"/>
          <w:lang w:val="fr" w:eastAsia="en-IE"/>
        </w:rPr>
        <w:t xml:space="preserve"> elle ne </w:t>
      </w:r>
      <w:r>
        <w:rPr>
          <w:rFonts w:ascii="Times New Roman" w:eastAsia="Times New Roman" w:hAnsi="Times New Roman" w:cs="Times New Roman"/>
          <w:szCs w:val="20"/>
          <w:lang w:val="fr" w:eastAsia="en-IE"/>
        </w:rPr>
        <w:t>sera</w:t>
      </w:r>
      <w:r w:rsidRPr="00577756">
        <w:rPr>
          <w:rFonts w:ascii="Times New Roman" w:eastAsia="Times New Roman" w:hAnsi="Times New Roman" w:cs="Times New Roman"/>
          <w:szCs w:val="20"/>
          <w:lang w:val="fr" w:eastAsia="en-IE"/>
        </w:rPr>
        <w:t xml:space="preserve"> une </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 xml:space="preserve"> nécessitant notification que </w:t>
      </w:r>
      <w:r>
        <w:rPr>
          <w:rFonts w:ascii="Times New Roman" w:eastAsia="Times New Roman" w:hAnsi="Times New Roman" w:cs="Times New Roman"/>
          <w:szCs w:val="20"/>
          <w:lang w:val="fr" w:eastAsia="en-IE"/>
        </w:rPr>
        <w:t>si son observation est obligatoire</w:t>
      </w:r>
      <w:r w:rsidR="00F849FE">
        <w:rPr>
          <w:rFonts w:ascii="Times New Roman" w:eastAsia="Times New Roman" w:hAnsi="Times New Roman" w:cs="Times New Roman"/>
          <w:szCs w:val="20"/>
          <w:lang w:val="fr" w:eastAsia="en-IE"/>
        </w:rPr>
        <w:t xml:space="preserve"> de jure ou de facto</w:t>
      </w:r>
      <w:r>
        <w:rPr>
          <w:rFonts w:ascii="Times New Roman" w:eastAsia="Times New Roman" w:hAnsi="Times New Roman" w:cs="Times New Roman"/>
          <w:szCs w:val="20"/>
          <w:lang w:val="fr" w:eastAsia="en-IE"/>
        </w:rPr>
        <w:t>. Tel n’est pas le cas lorsqu</w:t>
      </w:r>
      <w:r w:rsidR="00F849FE">
        <w:rPr>
          <w:rFonts w:ascii="Times New Roman" w:eastAsia="Times New Roman" w:hAnsi="Times New Roman" w:cs="Times New Roman"/>
          <w:szCs w:val="20"/>
          <w:lang w:val="fr" w:eastAsia="en-IE"/>
        </w:rPr>
        <w:t>e, en cas de violation de la règle édictée, elle n’impose de restrictions ni à la commercialisation ni à l’utilisation des produits concernés.</w:t>
      </w:r>
    </w:p>
    <w:p w14:paraId="01384F8F" w14:textId="77777777" w:rsidR="00EA7E10" w:rsidRPr="00577756"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6850C2BD" w14:textId="040DC891"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xml:space="preserve">« 30. </w:t>
      </w:r>
      <w:r w:rsidR="005A15B3">
        <w:rPr>
          <w:rFonts w:ascii="Times New Roman" w:eastAsia="Times New Roman" w:hAnsi="Times New Roman" w:cs="Times New Roman"/>
          <w:i/>
          <w:iCs/>
          <w:sz w:val="20"/>
          <w:szCs w:val="16"/>
          <w:lang w:val="fr-BE" w:eastAsia="en-IE"/>
        </w:rPr>
        <w:t>[…]</w:t>
      </w:r>
      <w:r w:rsidRPr="00577756">
        <w:rPr>
          <w:rFonts w:ascii="Times New Roman" w:eastAsia="Times New Roman" w:hAnsi="Times New Roman" w:cs="Times New Roman"/>
          <w:i/>
          <w:iCs/>
          <w:sz w:val="20"/>
          <w:szCs w:val="16"/>
          <w:lang w:val="fr-BE" w:eastAsia="en-IE"/>
        </w:rPr>
        <w:t xml:space="preserve"> conformément à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de la directive, une «spécification technique» est, en ce qui concerne les produits agricoles, la spécification qui figure dans un document définissant les caractéristiques requises du produit ou ses méthodes et procédés de production.</w:t>
      </w:r>
    </w:p>
    <w:p w14:paraId="7D4BC9CA"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w:t>
      </w:r>
    </w:p>
    <w:p w14:paraId="5F893CB9"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31. À cet égard, force est de constater qu'une règle telle que celle qui figure à l'article 2, paragraphe 1, du décret LMA constitue une spécification technique au sens de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de la directive. En effet, ainsi que le soutient à juste titre la Commission, les règles précises et détaillées en matière de vaccination contre la maladie d'</w:t>
      </w:r>
      <w:proofErr w:type="spellStart"/>
      <w:r w:rsidRPr="00577756">
        <w:rPr>
          <w:rFonts w:ascii="Times New Roman" w:eastAsia="Times New Roman" w:hAnsi="Times New Roman" w:cs="Times New Roman"/>
          <w:i/>
          <w:iCs/>
          <w:sz w:val="20"/>
          <w:szCs w:val="16"/>
          <w:lang w:val="fr-BE" w:eastAsia="en-IE"/>
        </w:rPr>
        <w:t>Aujeszky</w:t>
      </w:r>
      <w:proofErr w:type="spellEnd"/>
      <w:r w:rsidRPr="00577756">
        <w:rPr>
          <w:rFonts w:ascii="Times New Roman" w:eastAsia="Times New Roman" w:hAnsi="Times New Roman" w:cs="Times New Roman"/>
          <w:i/>
          <w:iCs/>
          <w:sz w:val="20"/>
          <w:szCs w:val="16"/>
          <w:lang w:val="fr-BE" w:eastAsia="en-IE"/>
        </w:rPr>
        <w:t xml:space="preserve"> étant liées à la production proprement dite du produit agricole concerné et devant être respectées au cours du cycle de production, ladite règle définit ainsi un «procédé» de la production de ce produit.</w:t>
      </w:r>
    </w:p>
    <w:p w14:paraId="2EEB663E"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w:t>
      </w:r>
    </w:p>
    <w:p w14:paraId="17BE149E"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32. Cependant, pour être qualifiée de règle technique au sens de la directive, la règle en cause au principal doit, conformément à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5, de cette directive, contenir des spécifications techniques «dont l'observation est obligatoire, de jure ou de facto, pour la commercialisation ou l'utilisation dans un État membre ou dans une partie importante de cet État, à l'exception de celles fixées par les autorités locales».</w:t>
      </w:r>
    </w:p>
    <w:p w14:paraId="7229BECC"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w:t>
      </w:r>
    </w:p>
    <w:p w14:paraId="46898A4D"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33. À cet égard, il importe de relever, ainsi que l'a fait le gouvernement néerlandais, que la règle figurant à l'article 2, paragraphe 1, du décret LMA n'impose de restrictions ni à la commercialisation ni à l'utilisation des produits concernés dans l'hypothèse où les porcs, en violation de cette règle, n'auraient pas été vaccinés contre la maladie d'</w:t>
      </w:r>
      <w:proofErr w:type="spellStart"/>
      <w:r w:rsidRPr="00577756">
        <w:rPr>
          <w:rFonts w:ascii="Times New Roman" w:eastAsia="Times New Roman" w:hAnsi="Times New Roman" w:cs="Times New Roman"/>
          <w:i/>
          <w:iCs/>
          <w:sz w:val="20"/>
          <w:szCs w:val="16"/>
          <w:lang w:val="fr-BE" w:eastAsia="en-IE"/>
        </w:rPr>
        <w:t>Aujeszky</w:t>
      </w:r>
      <w:proofErr w:type="spellEnd"/>
      <w:r w:rsidRPr="00577756">
        <w:rPr>
          <w:rFonts w:ascii="Times New Roman" w:eastAsia="Times New Roman" w:hAnsi="Times New Roman" w:cs="Times New Roman"/>
          <w:i/>
          <w:iCs/>
          <w:sz w:val="20"/>
          <w:szCs w:val="16"/>
          <w:lang w:val="fr-BE" w:eastAsia="en-IE"/>
        </w:rPr>
        <w:t>.</w:t>
      </w:r>
    </w:p>
    <w:p w14:paraId="258B7EEC" w14:textId="77777777"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w:t>
      </w:r>
    </w:p>
    <w:p w14:paraId="7390DA21" w14:textId="0D3BAE9C" w:rsidR="00EA7E10" w:rsidRPr="00577756"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34.</w:t>
      </w:r>
      <w:r w:rsidR="00116D32" w:rsidRPr="00577756">
        <w:rPr>
          <w:rFonts w:ascii="Times New Roman" w:eastAsia="Times New Roman" w:hAnsi="Times New Roman" w:cs="Times New Roman"/>
          <w:i/>
          <w:iCs/>
          <w:sz w:val="20"/>
          <w:szCs w:val="16"/>
          <w:lang w:val="fr-BE" w:eastAsia="en-IE"/>
        </w:rPr>
        <w:t xml:space="preserve"> </w:t>
      </w:r>
      <w:r w:rsidRPr="00577756">
        <w:rPr>
          <w:rFonts w:ascii="Times New Roman" w:eastAsia="Times New Roman" w:hAnsi="Times New Roman" w:cs="Times New Roman"/>
          <w:i/>
          <w:iCs/>
          <w:sz w:val="20"/>
          <w:szCs w:val="16"/>
          <w:lang w:val="fr-BE" w:eastAsia="en-IE"/>
        </w:rPr>
        <w:t>Il convient dès lors de répondre à la deuxième question qu'une disposition, telle que celle en cause au principal, prescrivant que tout exploitant est tenu de faire vacciner les porcs élevés dans son exploitation contre la maladie d'</w:t>
      </w:r>
      <w:proofErr w:type="spellStart"/>
      <w:r w:rsidRPr="00577756">
        <w:rPr>
          <w:rFonts w:ascii="Times New Roman" w:eastAsia="Times New Roman" w:hAnsi="Times New Roman" w:cs="Times New Roman"/>
          <w:i/>
          <w:iCs/>
          <w:sz w:val="20"/>
          <w:szCs w:val="16"/>
          <w:lang w:val="fr-BE" w:eastAsia="en-IE"/>
        </w:rPr>
        <w:t>Aujeszky</w:t>
      </w:r>
      <w:proofErr w:type="spellEnd"/>
      <w:r w:rsidRPr="00577756">
        <w:rPr>
          <w:rFonts w:ascii="Times New Roman" w:eastAsia="Times New Roman" w:hAnsi="Times New Roman" w:cs="Times New Roman"/>
          <w:i/>
          <w:iCs/>
          <w:sz w:val="20"/>
          <w:szCs w:val="16"/>
          <w:lang w:val="fr-BE" w:eastAsia="en-IE"/>
        </w:rPr>
        <w:t>, ne constitue pas, au sens de la directive, une règle technique qui aurait dû être notifiée à la Commission avant son adoption. »</w:t>
      </w:r>
    </w:p>
    <w:p w14:paraId="1FFD6468" w14:textId="77777777" w:rsidR="00EA7E10" w:rsidRDefault="00EA7E10" w:rsidP="00AA4F20">
      <w:pPr>
        <w:spacing w:after="0" w:line="240" w:lineRule="auto"/>
        <w:rPr>
          <w:lang w:val="fr-BE"/>
        </w:rPr>
      </w:pPr>
    </w:p>
    <w:p w14:paraId="48C4AE53" w14:textId="53C54C1D" w:rsidR="00EA7E10" w:rsidRPr="00D717F0"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pacing w:val="-2"/>
          <w:szCs w:val="20"/>
          <w:lang w:val="fr" w:eastAsia="en-IE"/>
        </w:rPr>
      </w:pPr>
      <w:hyperlink r:id="rId14" w:history="1">
        <w:r w:rsidR="00EA7E10" w:rsidRPr="00D717F0">
          <w:rPr>
            <w:rFonts w:ascii="Times New Roman" w:eastAsia="Times New Roman" w:hAnsi="Times New Roman" w:cs="Times New Roman"/>
            <w:b/>
            <w:i/>
            <w:color w:val="0000FF"/>
            <w:szCs w:val="20"/>
            <w:u w:val="single"/>
            <w:lang w:val="fr" w:eastAsia="en-IE"/>
          </w:rPr>
          <w:t>Arrêt du 3 décembre 2020,</w:t>
        </w:r>
      </w:hyperlink>
      <w:r w:rsidR="00EA7E10" w:rsidRPr="00D717F0">
        <w:rPr>
          <w:rFonts w:ascii="Times New Roman" w:eastAsia="Times New Roman" w:hAnsi="Times New Roman" w:cs="Times New Roman"/>
          <w:b/>
          <w:i/>
          <w:szCs w:val="20"/>
          <w:lang w:val="fr" w:eastAsia="en-IE"/>
        </w:rPr>
        <w:t xml:space="preserve"> </w:t>
      </w:r>
      <w:r w:rsidR="0087132A" w:rsidRPr="00D717F0">
        <w:rPr>
          <w:rFonts w:ascii="Times New Roman" w:eastAsia="Times New Roman" w:hAnsi="Times New Roman" w:cs="Times New Roman"/>
          <w:b/>
          <w:i/>
          <w:szCs w:val="20"/>
          <w:lang w:val="fr" w:eastAsia="en-IE"/>
        </w:rPr>
        <w:t xml:space="preserve">Star Taxi App, </w:t>
      </w:r>
      <w:r w:rsidR="00EA7E10" w:rsidRPr="00D717F0">
        <w:rPr>
          <w:rFonts w:ascii="Times New Roman" w:eastAsia="Times New Roman" w:hAnsi="Times New Roman" w:cs="Times New Roman"/>
          <w:b/>
          <w:i/>
          <w:szCs w:val="20"/>
          <w:lang w:val="fr" w:eastAsia="en-IE"/>
        </w:rPr>
        <w:t xml:space="preserve">C-62/19, </w:t>
      </w:r>
      <w:r w:rsidR="00EA7E10" w:rsidRPr="00D717F0">
        <w:rPr>
          <w:rFonts w:ascii="Times New Roman" w:eastAsia="Times New Roman" w:hAnsi="Times New Roman" w:cs="Times New Roman"/>
          <w:b/>
          <w:i/>
          <w:spacing w:val="-2"/>
          <w:szCs w:val="20"/>
          <w:lang w:val="fr" w:eastAsia="en-IE"/>
        </w:rPr>
        <w:t>EU:C:2020:980, points 60 et 61</w:t>
      </w:r>
    </w:p>
    <w:p w14:paraId="3C608ADB" w14:textId="77777777" w:rsidR="00EA7E10" w:rsidRPr="00D717F0" w:rsidRDefault="00EA7E10"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EBBD231" w14:textId="2D7AC653" w:rsidR="00EA7E10" w:rsidRPr="00D717F0"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D717F0">
        <w:rPr>
          <w:rFonts w:ascii="Times New Roman" w:eastAsia="Times New Roman" w:hAnsi="Times New Roman" w:cs="Times New Roman"/>
          <w:szCs w:val="20"/>
          <w:lang w:val="fr" w:eastAsia="en-IE"/>
        </w:rPr>
        <w:t>Pour être qualifiée de «</w:t>
      </w:r>
      <w:r w:rsidR="00EE4C2F">
        <w:rPr>
          <w:rFonts w:ascii="Times New Roman" w:eastAsia="Times New Roman" w:hAnsi="Times New Roman" w:cs="Times New Roman"/>
          <w:szCs w:val="20"/>
          <w:lang w:val="fr" w:eastAsia="en-IE"/>
        </w:rPr>
        <w:t xml:space="preserve"> r</w:t>
      </w:r>
      <w:r w:rsidRPr="00D717F0">
        <w:rPr>
          <w:rFonts w:ascii="Times New Roman" w:eastAsia="Times New Roman" w:hAnsi="Times New Roman" w:cs="Times New Roman"/>
          <w:szCs w:val="20"/>
          <w:lang w:val="fr" w:eastAsia="en-IE"/>
        </w:rPr>
        <w:t>ègle technique</w:t>
      </w:r>
      <w:r w:rsidR="00EE4C2F">
        <w:rPr>
          <w:rFonts w:ascii="Times New Roman" w:eastAsia="Times New Roman" w:hAnsi="Times New Roman" w:cs="Times New Roman"/>
          <w:szCs w:val="20"/>
          <w:lang w:val="fr" w:eastAsia="en-IE"/>
        </w:rPr>
        <w:t xml:space="preserve"> </w:t>
      </w:r>
      <w:r w:rsidRPr="00D717F0">
        <w:rPr>
          <w:rFonts w:ascii="Times New Roman" w:eastAsia="Times New Roman" w:hAnsi="Times New Roman" w:cs="Times New Roman"/>
          <w:szCs w:val="20"/>
          <w:lang w:val="fr" w:eastAsia="en-IE"/>
        </w:rPr>
        <w:t>», une mesure nationale doit être contraignante de jure ou de facto, pour la fourniture du service concerné ou son utilisation, dans un État membre ou dans une partie importante de celui-ci.</w:t>
      </w:r>
    </w:p>
    <w:p w14:paraId="667B8B73" w14:textId="77777777" w:rsidR="00EA7E10" w:rsidRPr="00D717F0" w:rsidRDefault="00EA7E10"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CA198F7" w14:textId="3893333C" w:rsidR="00EA7E10" w:rsidRPr="00D717F0"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717F0">
        <w:rPr>
          <w:rFonts w:ascii="Times New Roman" w:eastAsia="Times New Roman" w:hAnsi="Times New Roman" w:cs="Times New Roman"/>
          <w:i/>
          <w:iCs/>
          <w:sz w:val="20"/>
          <w:szCs w:val="16"/>
          <w:lang w:val="fr" w:eastAsia="en-IE"/>
        </w:rPr>
        <w:t>« 60</w:t>
      </w:r>
      <w:r w:rsidR="00116D32">
        <w:rPr>
          <w:rFonts w:ascii="Times New Roman" w:eastAsia="Times New Roman" w:hAnsi="Times New Roman" w:cs="Times New Roman"/>
          <w:i/>
          <w:iCs/>
          <w:sz w:val="20"/>
          <w:szCs w:val="16"/>
          <w:lang w:val="fr" w:eastAsia="en-IE"/>
        </w:rPr>
        <w:t xml:space="preserve">. </w:t>
      </w:r>
      <w:r w:rsidR="005A15B3">
        <w:rPr>
          <w:rFonts w:ascii="Times New Roman" w:eastAsia="Times New Roman" w:hAnsi="Times New Roman" w:cs="Times New Roman"/>
          <w:i/>
          <w:iCs/>
          <w:sz w:val="20"/>
          <w:szCs w:val="16"/>
          <w:lang w:val="fr-BE" w:eastAsia="en-IE"/>
        </w:rPr>
        <w:t>[…]</w:t>
      </w:r>
      <w:r w:rsidRPr="00D717F0">
        <w:rPr>
          <w:rFonts w:ascii="Times New Roman" w:eastAsia="Times New Roman" w:hAnsi="Times New Roman" w:cs="Times New Roman"/>
          <w:i/>
          <w:iCs/>
          <w:sz w:val="20"/>
          <w:szCs w:val="16"/>
          <w:lang w:val="fr-BE" w:eastAsia="en-IE"/>
        </w:rPr>
        <w:t xml:space="preserve"> il ressort de l’article 1</w:t>
      </w:r>
      <w:r w:rsidRPr="00D717F0">
        <w:rPr>
          <w:rFonts w:ascii="Times New Roman" w:eastAsia="Times New Roman" w:hAnsi="Times New Roman" w:cs="Times New Roman"/>
          <w:i/>
          <w:iCs/>
          <w:sz w:val="20"/>
          <w:szCs w:val="16"/>
          <w:vertAlign w:val="superscript"/>
          <w:lang w:val="fr-BE" w:eastAsia="en-IE"/>
        </w:rPr>
        <w:t>er</w:t>
      </w:r>
      <w:r w:rsidRPr="00D717F0">
        <w:rPr>
          <w:rFonts w:ascii="Times New Roman" w:eastAsia="Times New Roman" w:hAnsi="Times New Roman" w:cs="Times New Roman"/>
          <w:i/>
          <w:iCs/>
          <w:sz w:val="20"/>
          <w:szCs w:val="16"/>
          <w:lang w:val="fr-BE" w:eastAsia="en-IE"/>
        </w:rPr>
        <w:t xml:space="preserve">, paragraphe 1, sous f), premier alinéa, de la directive 2015/1535 qu’une « règle technique » est « une spécification technique ou autre exigence ou une règle relative aux services, y compris les dispositions administratives qui s’y appliquent, dont l’observation est obligatoire de jure ou de facto, pour la commercialisation, la prestation de services, l’établissement d’un opérateur de services ou l’utilisation dans un État membre ou dans une partie importante de cet État, de même que, sous réserve de celles visées à l’article 7, les dispositions législatives, réglementaires et administratives des États membres interdisant la fabrication, l’importation, la commercialisation ou l’utilisation d’un produit ou </w:t>
      </w:r>
      <w:r w:rsidRPr="00D717F0">
        <w:rPr>
          <w:rFonts w:ascii="Times New Roman" w:eastAsia="Times New Roman" w:hAnsi="Times New Roman" w:cs="Times New Roman"/>
          <w:i/>
          <w:iCs/>
          <w:sz w:val="20"/>
          <w:szCs w:val="16"/>
          <w:lang w:val="fr-BE" w:eastAsia="en-IE"/>
        </w:rPr>
        <w:lastRenderedPageBreak/>
        <w:t>interdisant de fournir ou d’utiliser un service ou de s’établir comme prestataire de services ».</w:t>
      </w:r>
    </w:p>
    <w:p w14:paraId="4E75FB92" w14:textId="77777777" w:rsidR="00EA7E10" w:rsidRPr="00D717F0" w:rsidRDefault="00EA7E1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F40E097" w14:textId="67A96763" w:rsidR="00EA7E10" w:rsidRPr="00D717F0" w:rsidRDefault="00EA7E10" w:rsidP="00AA4F20">
      <w:pPr>
        <w:widowControl w:val="0"/>
        <w:autoSpaceDE w:val="0"/>
        <w:autoSpaceDN w:val="0"/>
        <w:spacing w:after="0" w:line="240" w:lineRule="auto"/>
        <w:ind w:left="567"/>
        <w:jc w:val="both"/>
        <w:rPr>
          <w:rFonts w:ascii="Times New Roman" w:eastAsia="Times New Roman" w:hAnsi="Times New Roman" w:cs="Times New Roman"/>
          <w:sz w:val="20"/>
          <w:szCs w:val="16"/>
          <w:lang w:val="fr-BE" w:eastAsia="en-IE"/>
        </w:rPr>
      </w:pPr>
      <w:bookmarkStart w:id="5" w:name="point61"/>
      <w:r w:rsidRPr="00D717F0">
        <w:rPr>
          <w:rFonts w:ascii="Times New Roman" w:eastAsia="Times New Roman" w:hAnsi="Times New Roman" w:cs="Times New Roman"/>
          <w:i/>
          <w:iCs/>
          <w:sz w:val="20"/>
          <w:szCs w:val="16"/>
          <w:lang w:val="fr-BE" w:eastAsia="en-IE"/>
        </w:rPr>
        <w:t>61</w:t>
      </w:r>
      <w:bookmarkEnd w:id="5"/>
      <w:r w:rsidR="00116D32">
        <w:rPr>
          <w:rFonts w:ascii="Times New Roman" w:eastAsia="Times New Roman" w:hAnsi="Times New Roman" w:cs="Times New Roman"/>
          <w:i/>
          <w:iCs/>
          <w:sz w:val="20"/>
          <w:szCs w:val="16"/>
          <w:lang w:val="fr-BE" w:eastAsia="en-IE"/>
        </w:rPr>
        <w:t xml:space="preserve">. </w:t>
      </w:r>
      <w:r w:rsidRPr="00D717F0">
        <w:rPr>
          <w:rFonts w:ascii="Times New Roman" w:eastAsia="Times New Roman" w:hAnsi="Times New Roman" w:cs="Times New Roman"/>
          <w:i/>
          <w:iCs/>
          <w:sz w:val="20"/>
          <w:szCs w:val="16"/>
          <w:lang w:val="fr-BE" w:eastAsia="en-IE"/>
        </w:rPr>
        <w:t>Il en découle que, pour qu’une réglementation nationale affectant un service de la société de l’information puisse être qualifiée de « règle technique », elle doit non seulement relever de la qualification de « règle relative aux services », telle que définie à l’article 1</w:t>
      </w:r>
      <w:r w:rsidRPr="00D717F0">
        <w:rPr>
          <w:rFonts w:ascii="Times New Roman" w:eastAsia="Times New Roman" w:hAnsi="Times New Roman" w:cs="Times New Roman"/>
          <w:i/>
          <w:iCs/>
          <w:sz w:val="20"/>
          <w:szCs w:val="16"/>
          <w:vertAlign w:val="superscript"/>
          <w:lang w:val="fr-BE" w:eastAsia="en-IE"/>
        </w:rPr>
        <w:t>er</w:t>
      </w:r>
      <w:r w:rsidRPr="00D717F0">
        <w:rPr>
          <w:rFonts w:ascii="Times New Roman" w:eastAsia="Times New Roman" w:hAnsi="Times New Roman" w:cs="Times New Roman"/>
          <w:i/>
          <w:iCs/>
          <w:sz w:val="20"/>
          <w:szCs w:val="16"/>
          <w:lang w:val="fr-BE" w:eastAsia="en-IE"/>
        </w:rPr>
        <w:t>, paragraphe 1, sous e), de la directive 2015/1535, mais également être obligatoire de jure ou de facto, notamment, pour la prestation du service concerné ou son utilisation dans un État membre ou une partie importante de celui-ci.</w:t>
      </w:r>
      <w:r w:rsidRPr="00D717F0">
        <w:rPr>
          <w:rFonts w:ascii="Times New Roman" w:eastAsia="Times New Roman" w:hAnsi="Times New Roman" w:cs="Times New Roman"/>
          <w:sz w:val="20"/>
          <w:szCs w:val="16"/>
          <w:lang w:val="fr-BE" w:eastAsia="en-IE"/>
        </w:rPr>
        <w:t> »</w:t>
      </w:r>
    </w:p>
    <w:p w14:paraId="21392EE8" w14:textId="2EE0EF95" w:rsidR="00EA7E10" w:rsidRPr="00EA7E10" w:rsidRDefault="008E22D9" w:rsidP="00AA4F20">
      <w:pPr>
        <w:spacing w:after="0" w:line="240" w:lineRule="auto"/>
        <w:rPr>
          <w:lang w:val="fr-BE"/>
        </w:rPr>
      </w:pPr>
      <w:r>
        <w:rPr>
          <w:lang w:val="fr-BE"/>
        </w:rPr>
        <w:br w:type="page"/>
      </w:r>
    </w:p>
    <w:p w14:paraId="3C967792" w14:textId="7E5EE181" w:rsidR="00EA7E10" w:rsidRPr="00DC2D31" w:rsidRDefault="00745699" w:rsidP="00745699">
      <w:pPr>
        <w:pStyle w:val="Heading2"/>
        <w:jc w:val="center"/>
        <w:rPr>
          <w:color w:val="auto"/>
          <w:lang w:val="fr-BE"/>
        </w:rPr>
      </w:pPr>
      <w:bookmarkStart w:id="6" w:name="_Ref194481248"/>
      <w:bookmarkStart w:id="7" w:name="_Toc203035379"/>
      <w:r w:rsidRPr="00DC2D31">
        <w:rPr>
          <w:color w:val="auto"/>
          <w:lang w:val="fr-BE"/>
        </w:rPr>
        <w:lastRenderedPageBreak/>
        <w:t xml:space="preserve">b. </w:t>
      </w:r>
      <w:r w:rsidR="00EA7E10" w:rsidRPr="00DC2D31">
        <w:rPr>
          <w:color w:val="auto"/>
          <w:lang w:val="fr-BE"/>
        </w:rPr>
        <w:t>Spécification</w:t>
      </w:r>
      <w:r w:rsidR="001C2C44" w:rsidRPr="00DC2D31">
        <w:rPr>
          <w:color w:val="auto"/>
          <w:lang w:val="fr-BE"/>
        </w:rPr>
        <w:t>s</w:t>
      </w:r>
      <w:r w:rsidR="00EA7E10" w:rsidRPr="00DC2D31">
        <w:rPr>
          <w:color w:val="auto"/>
          <w:lang w:val="fr-BE"/>
        </w:rPr>
        <w:t xml:space="preserve"> technique</w:t>
      </w:r>
      <w:bookmarkEnd w:id="6"/>
      <w:r w:rsidR="001C2C44" w:rsidRPr="00DC2D31">
        <w:rPr>
          <w:color w:val="auto"/>
          <w:lang w:val="fr-BE"/>
        </w:rPr>
        <w:t>s</w:t>
      </w:r>
      <w:bookmarkEnd w:id="7"/>
    </w:p>
    <w:p w14:paraId="7375DEB9" w14:textId="77777777" w:rsidR="00EA7E10" w:rsidRDefault="00EA7E10" w:rsidP="00AA4F20">
      <w:pPr>
        <w:pStyle w:val="BodyText"/>
      </w:pPr>
    </w:p>
    <w:p w14:paraId="0BEE5260" w14:textId="77777777" w:rsidR="00EA7E10" w:rsidRDefault="00EA7E10" w:rsidP="00AA4F20">
      <w:pPr>
        <w:pStyle w:val="BodyText"/>
        <w:ind w:left="567"/>
        <w:rPr>
          <w:i/>
          <w:iCs/>
          <w:lang w:val="fr-BE"/>
        </w:rPr>
      </w:pPr>
      <w:r w:rsidRPr="002A04C0">
        <w:rPr>
          <w:i/>
          <w:iCs/>
          <w:lang w:val="fr-BE"/>
        </w:rPr>
        <w:t>« «spécification technique»</w:t>
      </w:r>
      <w:r>
        <w:rPr>
          <w:i/>
          <w:iCs/>
          <w:lang w:val="fr-BE"/>
        </w:rPr>
        <w:t xml:space="preserve">, </w:t>
      </w:r>
      <w:r w:rsidRPr="002A04C0">
        <w:rPr>
          <w:i/>
          <w:iCs/>
          <w:lang w:val="fr-BE"/>
        </w:rPr>
        <w:t xml:space="preserve">une spécification qui figure dans un document définissant les caractéristiques requises d'un produit, telles que les niveaux de qualité ou de propriété d'emploi, la sécurité, les dimensions, y compris les exigences applicables au produit en ce qui concerne la dénomination de vente, la terminologie, les symboles, les essais et les méthodes d'essai, l'emballage, le marquage et l'étiquetage, ainsi que les procédures d'évaluation de la conformité. </w:t>
      </w:r>
    </w:p>
    <w:p w14:paraId="50DAE765" w14:textId="77777777" w:rsidR="00EA7E10" w:rsidRDefault="00EA7E10" w:rsidP="00AA4F20">
      <w:pPr>
        <w:pStyle w:val="BodyText"/>
        <w:ind w:left="567"/>
        <w:rPr>
          <w:i/>
          <w:iCs/>
          <w:lang w:val="fr-BE"/>
        </w:rPr>
      </w:pPr>
    </w:p>
    <w:p w14:paraId="78EBE235" w14:textId="585184FB" w:rsidR="00EA7E10" w:rsidRDefault="00EA7E10" w:rsidP="00AA4F20">
      <w:pPr>
        <w:pStyle w:val="BodyText"/>
        <w:ind w:left="567"/>
        <w:rPr>
          <w:i/>
          <w:iCs/>
          <w:lang w:val="fr-BE"/>
        </w:rPr>
      </w:pPr>
      <w:r w:rsidRPr="002A04C0">
        <w:rPr>
          <w:i/>
          <w:iCs/>
          <w:lang w:val="fr-BE"/>
        </w:rPr>
        <w:t xml:space="preserve">Les termes «spécification technique» recouvrent également les méthodes et les procédés de production relatifs aux produits agricoles visés à l'article 38, paragraphe 1, deuxième alinéa, du traité sur le fonctionnement de l'Union européenne, aux produits destinés à l'alimentation humaine et animale, ainsi qu'aux médicaments tels que définis à l'article 1er de la directive 2001/83/CE du Parlement européen et du Conseil </w:t>
      </w:r>
      <w:r w:rsidR="00F849FE">
        <w:rPr>
          <w:i/>
          <w:iCs/>
          <w:lang w:val="fr-BE"/>
        </w:rPr>
        <w:t>[…]</w:t>
      </w:r>
      <w:r w:rsidRPr="002A04C0">
        <w:rPr>
          <w:i/>
          <w:iCs/>
          <w:lang w:val="fr-BE"/>
        </w:rPr>
        <w:t>, de même que les méthodes et procédés de production relatifs aux autres produits, dès lors qu'ils ont une incidence sur les caractéristiques de ces derniers; »</w:t>
      </w:r>
    </w:p>
    <w:p w14:paraId="0C520744" w14:textId="77777777" w:rsidR="00EA7E10" w:rsidRPr="002A04C0" w:rsidRDefault="00EA7E10" w:rsidP="00AA4F20">
      <w:pPr>
        <w:pStyle w:val="BodyText"/>
        <w:ind w:left="567"/>
        <w:rPr>
          <w:i/>
          <w:iCs/>
          <w:lang w:val="fr-BE"/>
        </w:rPr>
      </w:pPr>
    </w:p>
    <w:p w14:paraId="41ED607E" w14:textId="37A2CBEA" w:rsidR="00EA7E10" w:rsidRDefault="00EA7E10" w:rsidP="00AA4F20">
      <w:pPr>
        <w:pStyle w:val="BodyText"/>
        <w:ind w:left="1440"/>
        <w:jc w:val="right"/>
      </w:pPr>
      <w:r>
        <w:t xml:space="preserve">(article </w:t>
      </w:r>
      <w:r w:rsidR="000A18C4">
        <w:t>1</w:t>
      </w:r>
      <w:r w:rsidR="000A18C4" w:rsidRPr="000A18C4">
        <w:rPr>
          <w:vertAlign w:val="superscript"/>
        </w:rPr>
        <w:t>er</w:t>
      </w:r>
      <w:r>
        <w:t xml:space="preserve">, paragraphe 1, </w:t>
      </w:r>
      <w:r w:rsidR="001305B4">
        <w:t>point</w:t>
      </w:r>
      <w:r>
        <w:t xml:space="preserve"> c</w:t>
      </w:r>
      <w:r w:rsidR="00B63F8E">
        <w:t>)</w:t>
      </w:r>
      <w:r>
        <w:t xml:space="preserve">, de la directive </w:t>
      </w:r>
      <w:r w:rsidR="006C60E5">
        <w:t xml:space="preserve">(UE) </w:t>
      </w:r>
      <w:r>
        <w:t>2015/1535)</w:t>
      </w:r>
    </w:p>
    <w:p w14:paraId="2F752844" w14:textId="77777777" w:rsidR="00EA7E10" w:rsidRDefault="00EA7E10" w:rsidP="00AA4F20">
      <w:pPr>
        <w:spacing w:after="0" w:line="240" w:lineRule="auto"/>
        <w:rPr>
          <w:lang w:val="fr-BE"/>
        </w:rPr>
      </w:pPr>
    </w:p>
    <w:p w14:paraId="454ABFC5" w14:textId="774FBC27" w:rsidR="007F205B" w:rsidRPr="006C38F9"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5" w:history="1">
        <w:r w:rsidR="007F205B" w:rsidRPr="006C38F9">
          <w:rPr>
            <w:rFonts w:ascii="Times New Roman" w:eastAsia="Times New Roman" w:hAnsi="Times New Roman" w:cs="Times New Roman"/>
            <w:b/>
            <w:i/>
            <w:color w:val="0000FF"/>
            <w:szCs w:val="20"/>
            <w:u w:val="single"/>
            <w:lang w:val="fr" w:eastAsia="en-IE"/>
          </w:rPr>
          <w:t>Arrêt du 11 janvier 1996</w:t>
        </w:r>
      </w:hyperlink>
      <w:r w:rsidR="007F205B" w:rsidRPr="006C38F9">
        <w:rPr>
          <w:rFonts w:ascii="Times New Roman" w:eastAsia="Times New Roman" w:hAnsi="Times New Roman" w:cs="Times New Roman"/>
          <w:b/>
          <w:i/>
          <w:szCs w:val="20"/>
          <w:lang w:val="fr" w:eastAsia="en-IE"/>
        </w:rPr>
        <w:t xml:space="preserve">, </w:t>
      </w:r>
      <w:r w:rsidR="0087132A" w:rsidRPr="006C38F9">
        <w:rPr>
          <w:rFonts w:ascii="Times New Roman" w:eastAsia="Times New Roman" w:hAnsi="Times New Roman" w:cs="Times New Roman"/>
          <w:b/>
          <w:i/>
          <w:szCs w:val="20"/>
          <w:lang w:val="fr" w:eastAsia="en-IE"/>
        </w:rPr>
        <w:t>Commission/Pays-Bas,</w:t>
      </w:r>
      <w:r w:rsidR="0087132A">
        <w:rPr>
          <w:rFonts w:ascii="Times New Roman" w:eastAsia="Times New Roman" w:hAnsi="Times New Roman" w:cs="Times New Roman"/>
          <w:b/>
          <w:i/>
          <w:szCs w:val="20"/>
          <w:lang w:val="fr" w:eastAsia="en-IE"/>
        </w:rPr>
        <w:t xml:space="preserve"> </w:t>
      </w:r>
      <w:r w:rsidR="007F205B" w:rsidRPr="006C38F9">
        <w:rPr>
          <w:rFonts w:ascii="Times New Roman" w:eastAsia="Times New Roman" w:hAnsi="Times New Roman" w:cs="Times New Roman"/>
          <w:b/>
          <w:i/>
          <w:szCs w:val="20"/>
          <w:lang w:val="fr" w:eastAsia="en-IE"/>
        </w:rPr>
        <w:t xml:space="preserve">C-273/94, </w:t>
      </w:r>
      <w:r w:rsidR="007140D1" w:rsidRPr="007140D1">
        <w:rPr>
          <w:rFonts w:ascii="Times New Roman" w:eastAsia="Times New Roman" w:hAnsi="Times New Roman" w:cs="Times New Roman"/>
          <w:b/>
          <w:i/>
          <w:szCs w:val="20"/>
          <w:lang w:val="fr-BE" w:eastAsia="en-IE"/>
        </w:rPr>
        <w:t>EU:C:1996:4,</w:t>
      </w:r>
      <w:r w:rsidR="007F205B" w:rsidRPr="006C38F9">
        <w:rPr>
          <w:rFonts w:ascii="Times New Roman" w:eastAsia="Times New Roman" w:hAnsi="Times New Roman" w:cs="Times New Roman"/>
          <w:b/>
          <w:i/>
          <w:szCs w:val="20"/>
          <w:lang w:val="fr" w:eastAsia="en-IE"/>
        </w:rPr>
        <w:t xml:space="preserve"> point 13</w:t>
      </w:r>
    </w:p>
    <w:p w14:paraId="5FABBBBC" w14:textId="77777777" w:rsidR="007F205B" w:rsidRPr="006C38F9" w:rsidRDefault="007F205B" w:rsidP="00AA4F20">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p>
    <w:p w14:paraId="5A4E0CF6" w14:textId="765C5634" w:rsidR="007F205B" w:rsidRPr="006C38F9" w:rsidRDefault="007F205B" w:rsidP="00AA4F20">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r w:rsidRPr="006C38F9">
        <w:rPr>
          <w:rFonts w:ascii="Times New Roman" w:eastAsia="Times New Roman" w:hAnsi="Times New Roman" w:cs="Times New Roman"/>
          <w:szCs w:val="20"/>
          <w:lang w:val="fr" w:eastAsia="en-IE"/>
        </w:rPr>
        <w:t xml:space="preserve">Une règle nationale instaurant une dérogation à une règle technique existante pour un produit spécifique constitue une </w:t>
      </w:r>
      <w:r w:rsidR="00EE4C2F">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 xml:space="preserve"> si elle impose des </w:t>
      </w:r>
      <w:r w:rsidR="00EE4C2F">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spécifications techniques</w:t>
      </w:r>
      <w:r w:rsidR="00EE4C2F">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 xml:space="preserve"> alternatives auxquelles toute personne souhaitant bénéficier de la dérogation doit se conformer. </w:t>
      </w:r>
    </w:p>
    <w:p w14:paraId="7F542842" w14:textId="77777777" w:rsidR="007F205B" w:rsidRPr="006C38F9" w:rsidRDefault="007F205B" w:rsidP="00AA4F20">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p>
    <w:p w14:paraId="5A996595" w14:textId="68F020F2" w:rsidR="007F205B" w:rsidRPr="00580DA5" w:rsidRDefault="007F205B" w:rsidP="00AA4F20">
      <w:pPr>
        <w:widowControl w:val="0"/>
        <w:tabs>
          <w:tab w:val="left" w:pos="405"/>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C38F9">
        <w:rPr>
          <w:rFonts w:ascii="Times New Roman" w:eastAsia="Times New Roman" w:hAnsi="Times New Roman" w:cs="Times New Roman"/>
          <w:i/>
          <w:iCs/>
          <w:sz w:val="20"/>
          <w:szCs w:val="16"/>
          <w:lang w:val="fr" w:eastAsia="en-IE"/>
        </w:rPr>
        <w:t>« 13</w:t>
      </w:r>
      <w:r w:rsidR="00116D32">
        <w:rPr>
          <w:rFonts w:ascii="Times New Roman" w:eastAsia="Times New Roman" w:hAnsi="Times New Roman" w:cs="Times New Roman"/>
          <w:i/>
          <w:iCs/>
          <w:sz w:val="20"/>
          <w:szCs w:val="16"/>
          <w:lang w:val="fr" w:eastAsia="en-IE"/>
        </w:rPr>
        <w:t>.</w:t>
      </w:r>
      <w:r w:rsidRPr="006C38F9">
        <w:rPr>
          <w:rFonts w:ascii="Times New Roman" w:eastAsia="Times New Roman" w:hAnsi="Times New Roman" w:cs="Times New Roman"/>
          <w:i/>
          <w:iCs/>
          <w:sz w:val="20"/>
          <w:szCs w:val="16"/>
          <w:lang w:val="fr" w:eastAsia="en-IE"/>
        </w:rPr>
        <w:t xml:space="preserve"> L'application à un produit déterminé comme la margarine d'une règle dérogeant à une autre règle technique existante relative à ce même produit constitue une règle technique au sens de l'article 1er, point 5, de la directive, dès lors qu'elle établit des spécifications techniques au sens du point 1 du même article dont l'observation est obligatoire de jure ou de facto pour la commercialisation ou l'utilisation de ce produit. En effet, si la margarine n'est pas fabriquée selon les dispositions de l'arrêté sur la margarine, elle ne peut être fabriquée qu'à l'aide des produits de substitution autorisés par le règlement litigieux. L'utilisation desdits produits de substitution est non seulement limitée aux prescriptions du règlement litigieux, mais leur utilisation représente la seule alternative aux produits pouvant être utilisés en vertu de l'arrêté sur la margarine. Le règlement litigieux devait donc être notifié conformément à la directive.</w:t>
      </w:r>
      <w:r>
        <w:rPr>
          <w:rFonts w:ascii="Times New Roman" w:eastAsia="Times New Roman" w:hAnsi="Times New Roman" w:cs="Times New Roman"/>
          <w:i/>
          <w:iCs/>
          <w:sz w:val="20"/>
          <w:szCs w:val="16"/>
          <w:lang w:val="fr" w:eastAsia="en-IE"/>
        </w:rPr>
        <w:t> »</w:t>
      </w:r>
    </w:p>
    <w:p w14:paraId="5C305571" w14:textId="77777777" w:rsidR="007F205B" w:rsidRDefault="007F205B" w:rsidP="00AA4F20">
      <w:pPr>
        <w:spacing w:after="0" w:line="240" w:lineRule="auto"/>
        <w:rPr>
          <w:lang w:val="fr"/>
        </w:rPr>
      </w:pPr>
    </w:p>
    <w:bookmarkStart w:id="8" w:name="_Hlk193381440"/>
    <w:p w14:paraId="40B145C5" w14:textId="241ADD23" w:rsidR="007140D1" w:rsidRPr="002251C6"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r w:rsidRPr="002251C6">
        <w:rPr>
          <w:rFonts w:ascii="Times New Roman" w:eastAsia="Times New Roman" w:hAnsi="Times New Roman" w:cs="Times New Roman"/>
          <w:b/>
          <w:i/>
          <w:szCs w:val="20"/>
          <w:lang w:val="fr" w:eastAsia="en-IE"/>
        </w:rPr>
        <w:fldChar w:fldCharType="begin"/>
      </w:r>
      <w:r w:rsidRPr="002251C6">
        <w:rPr>
          <w:rFonts w:ascii="Times New Roman" w:eastAsia="Times New Roman" w:hAnsi="Times New Roman" w:cs="Times New Roman"/>
          <w:b/>
          <w:i/>
          <w:szCs w:val="20"/>
          <w:lang w:val="fr" w:eastAsia="en-IE"/>
        </w:rPr>
        <w:instrText>HYPERLINK "https://curia.europa.eu/juris/showPdf.jsf?text=&amp;docid=99809&amp;pageIndex=0&amp;doclang=FR&amp;mode=lst&amp;dir=&amp;occ=first&amp;part=1&amp;cid=10811412"</w:instrText>
      </w:r>
      <w:r w:rsidRPr="002251C6">
        <w:rPr>
          <w:rFonts w:ascii="Times New Roman" w:eastAsia="Times New Roman" w:hAnsi="Times New Roman" w:cs="Times New Roman"/>
          <w:b/>
          <w:i/>
          <w:szCs w:val="20"/>
          <w:lang w:val="fr" w:eastAsia="en-IE"/>
        </w:rPr>
      </w:r>
      <w:r w:rsidRPr="002251C6">
        <w:rPr>
          <w:rFonts w:ascii="Times New Roman" w:eastAsia="Times New Roman" w:hAnsi="Times New Roman" w:cs="Times New Roman"/>
          <w:b/>
          <w:i/>
          <w:szCs w:val="20"/>
          <w:lang w:val="fr" w:eastAsia="en-IE"/>
        </w:rPr>
        <w:fldChar w:fldCharType="separate"/>
      </w:r>
      <w:r w:rsidRPr="002251C6">
        <w:rPr>
          <w:rFonts w:ascii="Times New Roman" w:eastAsia="Times New Roman" w:hAnsi="Times New Roman" w:cs="Times New Roman"/>
          <w:b/>
          <w:i/>
          <w:color w:val="0000FF"/>
          <w:szCs w:val="20"/>
          <w:u w:val="single"/>
          <w:lang w:val="fr" w:eastAsia="en-IE"/>
        </w:rPr>
        <w:t>Arrêt du 30 avril 1996</w:t>
      </w:r>
      <w:r w:rsidRPr="002251C6">
        <w:rPr>
          <w:rFonts w:ascii="Times New Roman" w:eastAsia="Times New Roman" w:hAnsi="Times New Roman" w:cs="Times New Roman"/>
          <w:b/>
          <w:i/>
          <w:color w:val="0000FF"/>
          <w:szCs w:val="20"/>
          <w:u w:val="single"/>
          <w:lang w:val="fr" w:eastAsia="en-IE"/>
        </w:rPr>
        <w:fldChar w:fldCharType="end"/>
      </w:r>
      <w:r w:rsidRPr="002251C6">
        <w:rPr>
          <w:rFonts w:ascii="Times New Roman" w:eastAsia="Times New Roman" w:hAnsi="Times New Roman" w:cs="Times New Roman"/>
          <w:b/>
          <w:i/>
          <w:szCs w:val="20"/>
          <w:lang w:val="fr" w:eastAsia="en-IE"/>
        </w:rPr>
        <w:t xml:space="preserve">, </w:t>
      </w:r>
      <w:r w:rsidR="0087132A" w:rsidRPr="002251C6">
        <w:rPr>
          <w:rFonts w:ascii="Times New Roman" w:eastAsia="Times New Roman" w:hAnsi="Times New Roman" w:cs="Times New Roman"/>
          <w:b/>
          <w:i/>
          <w:szCs w:val="20"/>
          <w:lang w:val="fr" w:eastAsia="en-IE"/>
        </w:rPr>
        <w:t xml:space="preserve">CIA Security International SA, </w:t>
      </w:r>
      <w:r w:rsidRPr="002251C6">
        <w:rPr>
          <w:rFonts w:ascii="Times New Roman" w:eastAsia="Times New Roman" w:hAnsi="Times New Roman" w:cs="Times New Roman"/>
          <w:b/>
          <w:i/>
          <w:szCs w:val="20"/>
          <w:lang w:val="fr" w:eastAsia="en-IE"/>
        </w:rPr>
        <w:t xml:space="preserve">C-194/94, </w:t>
      </w:r>
      <w:r w:rsidRPr="007140D1">
        <w:rPr>
          <w:rFonts w:ascii="Times New Roman" w:eastAsia="Times New Roman" w:hAnsi="Times New Roman" w:cs="Times New Roman"/>
          <w:b/>
          <w:i/>
          <w:szCs w:val="20"/>
          <w:lang w:val="fr-BE" w:eastAsia="en-IE"/>
        </w:rPr>
        <w:t>EU:C:1996:172,</w:t>
      </w:r>
      <w:r>
        <w:rPr>
          <w:rFonts w:ascii="Times New Roman" w:eastAsia="Times New Roman" w:hAnsi="Times New Roman" w:cs="Times New Roman"/>
          <w:b/>
          <w:i/>
          <w:szCs w:val="20"/>
          <w:lang w:val="fr-BE" w:eastAsia="en-IE"/>
        </w:rPr>
        <w:t xml:space="preserve"> </w:t>
      </w:r>
      <w:r w:rsidRPr="002251C6">
        <w:rPr>
          <w:rFonts w:ascii="Times New Roman" w:eastAsia="Times New Roman" w:hAnsi="Times New Roman" w:cs="Times New Roman"/>
          <w:b/>
          <w:i/>
          <w:szCs w:val="20"/>
          <w:lang w:val="fr" w:eastAsia="en-IE"/>
        </w:rPr>
        <w:t>point 30</w:t>
      </w:r>
    </w:p>
    <w:p w14:paraId="6BCE63BD" w14:textId="77777777" w:rsidR="007140D1" w:rsidRPr="002251C6"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7D54D4F" w14:textId="2675E8EE" w:rsidR="007140D1" w:rsidRPr="0016637A" w:rsidRDefault="007140D1"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r w:rsidRPr="002251C6">
        <w:rPr>
          <w:rFonts w:ascii="Times New Roman" w:eastAsia="Times New Roman" w:hAnsi="Times New Roman" w:cs="Times New Roman"/>
          <w:szCs w:val="20"/>
          <w:lang w:val="fr" w:eastAsia="en-IE"/>
        </w:rPr>
        <w:t xml:space="preserve">Une règle doit être qualifiée de </w:t>
      </w:r>
      <w:r w:rsidR="00EE4C2F">
        <w:rPr>
          <w:rFonts w:ascii="Times New Roman" w:eastAsia="Times New Roman" w:hAnsi="Times New Roman" w:cs="Times New Roman"/>
          <w:szCs w:val="20"/>
          <w:lang w:val="fr" w:eastAsia="en-IE"/>
        </w:rPr>
        <w:t>« </w:t>
      </w:r>
      <w:r w:rsidRPr="002251C6">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sidRPr="002251C6">
        <w:rPr>
          <w:rFonts w:ascii="Times New Roman" w:eastAsia="Times New Roman" w:hAnsi="Times New Roman" w:cs="Times New Roman"/>
          <w:szCs w:val="20"/>
          <w:lang w:val="fr" w:eastAsia="en-IE"/>
        </w:rPr>
        <w:t xml:space="preserve"> si elle impose aux entreprises concernées de demander l’agrément préalable de leurs équipements, même si les règles administratives envisagées n’ont pas été adoptées.</w:t>
      </w:r>
    </w:p>
    <w:p w14:paraId="7D03AF14" w14:textId="77777777" w:rsidR="007140D1" w:rsidRPr="0016637A" w:rsidRDefault="007140D1"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p>
    <w:p w14:paraId="11609B3D" w14:textId="5F2CD7E7" w:rsidR="007140D1" w:rsidRPr="00D6058A" w:rsidRDefault="007140D1" w:rsidP="00AA4F20">
      <w:pPr>
        <w:widowControl w:val="0"/>
        <w:tabs>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16637A">
        <w:rPr>
          <w:rFonts w:ascii="Times New Roman" w:eastAsia="Times New Roman" w:hAnsi="Times New Roman" w:cs="Times New Roman"/>
          <w:i/>
          <w:iCs/>
          <w:sz w:val="20"/>
          <w:szCs w:val="16"/>
          <w:lang w:val="fr" w:eastAsia="en-IE"/>
        </w:rPr>
        <w:t>« 30</w:t>
      </w:r>
      <w:r w:rsidR="00116D32">
        <w:rPr>
          <w:rFonts w:ascii="Times New Roman" w:eastAsia="Times New Roman" w:hAnsi="Times New Roman" w:cs="Times New Roman"/>
          <w:i/>
          <w:iCs/>
          <w:sz w:val="20"/>
          <w:szCs w:val="16"/>
          <w:lang w:val="fr" w:eastAsia="en-IE"/>
        </w:rPr>
        <w:t>.</w:t>
      </w:r>
      <w:r w:rsidRPr="0016637A">
        <w:rPr>
          <w:rFonts w:ascii="Times New Roman" w:eastAsia="Times New Roman" w:hAnsi="Times New Roman" w:cs="Times New Roman"/>
          <w:i/>
          <w:iCs/>
          <w:sz w:val="20"/>
          <w:szCs w:val="16"/>
          <w:lang w:val="fr" w:eastAsia="en-IE"/>
        </w:rPr>
        <w:t xml:space="preserve"> </w:t>
      </w:r>
      <w:r w:rsidR="0098183C">
        <w:rPr>
          <w:rFonts w:ascii="Times New Roman" w:eastAsia="Times New Roman" w:hAnsi="Times New Roman" w:cs="Times New Roman"/>
          <w:i/>
          <w:iCs/>
          <w:sz w:val="20"/>
          <w:szCs w:val="16"/>
          <w:lang w:val="fr" w:eastAsia="en-IE"/>
        </w:rPr>
        <w:t>[…]</w:t>
      </w:r>
      <w:r w:rsidRPr="0016637A">
        <w:rPr>
          <w:rFonts w:ascii="Times New Roman" w:eastAsia="Times New Roman" w:hAnsi="Times New Roman" w:cs="Times New Roman"/>
          <w:i/>
          <w:iCs/>
          <w:sz w:val="20"/>
          <w:szCs w:val="16"/>
          <w:lang w:val="fr" w:eastAsia="en-IE"/>
        </w:rPr>
        <w:t xml:space="preserve"> une règle doit être qualifiée de règle technique au sens de la directive 83/189 dès lors que, comme le gouvernement belge l'a indiqué lors de l'audience, elle oblige les entreprises intéressées à demander une approbation préalable pour leur matériel, même si les règles administratives prévues n'ont pas été adoptées. »</w:t>
      </w:r>
      <w:bookmarkEnd w:id="8"/>
    </w:p>
    <w:p w14:paraId="092E0718" w14:textId="77777777" w:rsidR="007140D1" w:rsidRDefault="007140D1" w:rsidP="00AA4F20">
      <w:pPr>
        <w:spacing w:after="0" w:line="240" w:lineRule="auto"/>
        <w:rPr>
          <w:lang w:val="fr"/>
        </w:rPr>
      </w:pPr>
    </w:p>
    <w:bookmarkStart w:id="9" w:name="_Hlk193380849"/>
    <w:p w14:paraId="7516F0C7" w14:textId="1DACC301" w:rsidR="007140D1" w:rsidRPr="00D6058A"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r w:rsidRPr="00D6058A">
        <w:rPr>
          <w:rFonts w:ascii="Times New Roman" w:eastAsia="Times New Roman" w:hAnsi="Times New Roman" w:cs="Times New Roman"/>
          <w:b/>
          <w:i/>
          <w:szCs w:val="20"/>
          <w:lang w:val="fr" w:eastAsia="en-IE"/>
        </w:rPr>
        <w:fldChar w:fldCharType="begin"/>
      </w:r>
      <w:r w:rsidRPr="00D6058A">
        <w:rPr>
          <w:rFonts w:ascii="Times New Roman" w:eastAsia="Times New Roman" w:hAnsi="Times New Roman" w:cs="Times New Roman"/>
          <w:b/>
          <w:i/>
          <w:szCs w:val="20"/>
          <w:lang w:val="fr" w:eastAsia="en-IE"/>
        </w:rPr>
        <w:instrText>HYPERLINK "https://curia.europa.eu/juris/showPdf.jsf?text=&amp;docid=43725&amp;pageIndex=0&amp;doclang=FR&amp;mode=lst&amp;dir=&amp;occ=first&amp;part=1&amp;cid=10811412"</w:instrText>
      </w:r>
      <w:r w:rsidRPr="00D6058A">
        <w:rPr>
          <w:rFonts w:ascii="Times New Roman" w:eastAsia="Times New Roman" w:hAnsi="Times New Roman" w:cs="Times New Roman"/>
          <w:b/>
          <w:i/>
          <w:szCs w:val="20"/>
          <w:lang w:val="fr" w:eastAsia="en-IE"/>
        </w:rPr>
      </w:r>
      <w:r w:rsidRPr="00D6058A">
        <w:rPr>
          <w:rFonts w:ascii="Times New Roman" w:eastAsia="Times New Roman" w:hAnsi="Times New Roman" w:cs="Times New Roman"/>
          <w:b/>
          <w:i/>
          <w:szCs w:val="20"/>
          <w:lang w:val="fr" w:eastAsia="en-IE"/>
        </w:rPr>
        <w:fldChar w:fldCharType="separate"/>
      </w:r>
      <w:r w:rsidRPr="00D6058A">
        <w:rPr>
          <w:rFonts w:ascii="Times New Roman" w:eastAsia="Times New Roman" w:hAnsi="Times New Roman" w:cs="Times New Roman"/>
          <w:b/>
          <w:i/>
          <w:color w:val="0000FF"/>
          <w:szCs w:val="20"/>
          <w:u w:val="single"/>
          <w:lang w:val="fr" w:eastAsia="en-IE"/>
        </w:rPr>
        <w:t>Arrêt du 16 septembre 1996</w:t>
      </w:r>
      <w:r w:rsidRPr="00D6058A">
        <w:rPr>
          <w:rFonts w:ascii="Times New Roman" w:eastAsia="Times New Roman" w:hAnsi="Times New Roman" w:cs="Times New Roman"/>
          <w:b/>
          <w:i/>
          <w:color w:val="0000FF"/>
          <w:szCs w:val="20"/>
          <w:u w:val="single"/>
          <w:lang w:val="fr" w:eastAsia="en-IE"/>
        </w:rPr>
        <w:fldChar w:fldCharType="end"/>
      </w:r>
      <w:r w:rsidRPr="00D6058A">
        <w:rPr>
          <w:rFonts w:ascii="Times New Roman" w:eastAsia="Times New Roman" w:hAnsi="Times New Roman" w:cs="Times New Roman"/>
          <w:b/>
          <w:i/>
          <w:szCs w:val="20"/>
          <w:lang w:val="fr" w:eastAsia="en-IE"/>
        </w:rPr>
        <w:t xml:space="preserve">, </w:t>
      </w:r>
      <w:r w:rsidR="0087132A" w:rsidRPr="00D6058A">
        <w:rPr>
          <w:rFonts w:ascii="Times New Roman" w:eastAsia="Times New Roman" w:hAnsi="Times New Roman" w:cs="Times New Roman"/>
          <w:b/>
          <w:i/>
          <w:szCs w:val="20"/>
          <w:lang w:val="fr" w:eastAsia="en-IE"/>
        </w:rPr>
        <w:t>Commission/Italie,</w:t>
      </w:r>
      <w:r w:rsidR="0087132A">
        <w:rPr>
          <w:rFonts w:ascii="Times New Roman" w:eastAsia="Times New Roman" w:hAnsi="Times New Roman" w:cs="Times New Roman"/>
          <w:b/>
          <w:i/>
          <w:szCs w:val="20"/>
          <w:lang w:val="fr" w:eastAsia="en-IE"/>
        </w:rPr>
        <w:t xml:space="preserve"> </w:t>
      </w:r>
      <w:r w:rsidRPr="00D6058A">
        <w:rPr>
          <w:rFonts w:ascii="Times New Roman" w:eastAsia="Times New Roman" w:hAnsi="Times New Roman" w:cs="Times New Roman"/>
          <w:b/>
          <w:i/>
          <w:szCs w:val="20"/>
          <w:lang w:val="fr" w:eastAsia="en-IE"/>
        </w:rPr>
        <w:t xml:space="preserve">C-279/94, </w:t>
      </w:r>
      <w:r w:rsidRPr="007140D1">
        <w:rPr>
          <w:rFonts w:ascii="Times New Roman" w:eastAsia="Times New Roman" w:hAnsi="Times New Roman" w:cs="Times New Roman"/>
          <w:b/>
          <w:i/>
          <w:szCs w:val="20"/>
          <w:lang w:val="fr-BE" w:eastAsia="en-IE"/>
        </w:rPr>
        <w:t>EU:C:1997:396,</w:t>
      </w:r>
      <w:r w:rsidRPr="00D6058A">
        <w:rPr>
          <w:rFonts w:ascii="Times New Roman" w:eastAsia="Times New Roman" w:hAnsi="Times New Roman" w:cs="Times New Roman"/>
          <w:b/>
          <w:i/>
          <w:szCs w:val="20"/>
          <w:lang w:val="fr" w:eastAsia="en-IE"/>
        </w:rPr>
        <w:t xml:space="preserve"> </w:t>
      </w:r>
      <w:r>
        <w:rPr>
          <w:rFonts w:ascii="Times New Roman" w:eastAsia="Times New Roman" w:hAnsi="Times New Roman" w:cs="Times New Roman"/>
          <w:b/>
          <w:i/>
          <w:szCs w:val="20"/>
          <w:lang w:val="fr" w:eastAsia="en-IE"/>
        </w:rPr>
        <w:t>point 34</w:t>
      </w:r>
    </w:p>
    <w:p w14:paraId="0C200280" w14:textId="77777777" w:rsidR="007140D1" w:rsidRPr="00D6058A" w:rsidRDefault="007140D1" w:rsidP="00AA4F20">
      <w:pPr>
        <w:widowControl w:val="0"/>
        <w:tabs>
          <w:tab w:val="left" w:pos="396"/>
          <w:tab w:val="left" w:pos="461"/>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430C93E2" w14:textId="13B0E1DD" w:rsidR="007140D1" w:rsidRPr="00D6058A" w:rsidRDefault="007140D1" w:rsidP="00AA4F20">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U</w:t>
      </w:r>
      <w:r w:rsidRPr="00D6058A">
        <w:rPr>
          <w:rFonts w:ascii="Times New Roman" w:eastAsia="Times New Roman" w:hAnsi="Times New Roman" w:cs="Times New Roman"/>
          <w:szCs w:val="20"/>
          <w:lang w:val="fr" w:eastAsia="en-IE"/>
        </w:rPr>
        <w:t xml:space="preserve">ne disposition fixant des limites de concentration en fibres d’amiante </w:t>
      </w:r>
      <w:r>
        <w:rPr>
          <w:rFonts w:ascii="Times New Roman" w:eastAsia="Times New Roman" w:hAnsi="Times New Roman" w:cs="Times New Roman"/>
          <w:szCs w:val="20"/>
          <w:lang w:val="fr" w:eastAsia="en-IE"/>
        </w:rPr>
        <w:t xml:space="preserve">respirable </w:t>
      </w:r>
      <w:r w:rsidRPr="00D6058A">
        <w:rPr>
          <w:rFonts w:ascii="Times New Roman" w:eastAsia="Times New Roman" w:hAnsi="Times New Roman" w:cs="Times New Roman"/>
          <w:szCs w:val="20"/>
          <w:lang w:val="fr" w:eastAsia="en-IE"/>
        </w:rPr>
        <w:t xml:space="preserve">sur les lieux de travail n’est pas une </w:t>
      </w:r>
      <w:r w:rsidR="00EE4C2F">
        <w:rPr>
          <w:rFonts w:ascii="Times New Roman" w:eastAsia="Times New Roman" w:hAnsi="Times New Roman" w:cs="Times New Roman"/>
          <w:szCs w:val="20"/>
          <w:lang w:val="fr" w:eastAsia="en-IE"/>
        </w:rPr>
        <w:t>« </w:t>
      </w:r>
      <w:r w:rsidRPr="00D6058A">
        <w:rPr>
          <w:rFonts w:ascii="Times New Roman" w:eastAsia="Times New Roman" w:hAnsi="Times New Roman" w:cs="Times New Roman"/>
          <w:szCs w:val="20"/>
          <w:lang w:val="fr" w:eastAsia="en-IE"/>
        </w:rPr>
        <w:t>spécification technique</w:t>
      </w:r>
      <w:r w:rsidR="00EE4C2F">
        <w:rPr>
          <w:rFonts w:ascii="Times New Roman" w:eastAsia="Times New Roman" w:hAnsi="Times New Roman" w:cs="Times New Roman"/>
          <w:szCs w:val="20"/>
          <w:lang w:val="fr" w:eastAsia="en-IE"/>
        </w:rPr>
        <w:t> »</w:t>
      </w:r>
      <w:r w:rsidRPr="00D6058A">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car elle ne précise pas les caractéristiques requises d’un produit.</w:t>
      </w:r>
    </w:p>
    <w:bookmarkEnd w:id="9"/>
    <w:p w14:paraId="54922575" w14:textId="77777777" w:rsidR="007140D1" w:rsidRPr="00D6058A" w:rsidRDefault="007140D1" w:rsidP="00AA4F20">
      <w:pPr>
        <w:widowControl w:val="0"/>
        <w:tabs>
          <w:tab w:val="left" w:pos="396"/>
          <w:tab w:val="left" w:pos="461"/>
        </w:tabs>
        <w:autoSpaceDE w:val="0"/>
        <w:autoSpaceDN w:val="0"/>
        <w:spacing w:after="0" w:line="240" w:lineRule="auto"/>
        <w:jc w:val="both"/>
        <w:rPr>
          <w:rFonts w:ascii="Times New Roman" w:eastAsia="Times New Roman" w:hAnsi="Times New Roman" w:cs="Times New Roman"/>
          <w:i/>
          <w:iCs/>
          <w:sz w:val="20"/>
          <w:szCs w:val="16"/>
          <w:lang w:val="fr" w:eastAsia="en-IE"/>
        </w:rPr>
      </w:pPr>
    </w:p>
    <w:p w14:paraId="05B3E9FA" w14:textId="566399A6" w:rsidR="007140D1" w:rsidRDefault="007140D1" w:rsidP="00AA4F20">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D6058A">
        <w:rPr>
          <w:rFonts w:ascii="Times New Roman" w:eastAsia="Times New Roman" w:hAnsi="Times New Roman" w:cs="Times New Roman"/>
          <w:i/>
          <w:iCs/>
          <w:sz w:val="20"/>
          <w:szCs w:val="16"/>
          <w:lang w:val="fr" w:eastAsia="en-IE"/>
        </w:rPr>
        <w:t>« 34</w:t>
      </w:r>
      <w:r w:rsidR="00116D32">
        <w:rPr>
          <w:rFonts w:ascii="Times New Roman" w:eastAsia="Times New Roman" w:hAnsi="Times New Roman" w:cs="Times New Roman"/>
          <w:i/>
          <w:iCs/>
          <w:sz w:val="20"/>
          <w:szCs w:val="16"/>
          <w:lang w:val="fr" w:eastAsia="en-IE"/>
        </w:rPr>
        <w:t>.</w:t>
      </w:r>
      <w:r w:rsidRPr="00D6058A">
        <w:rPr>
          <w:rFonts w:ascii="Times New Roman" w:eastAsia="Times New Roman" w:hAnsi="Times New Roman" w:cs="Times New Roman"/>
          <w:i/>
          <w:iCs/>
          <w:sz w:val="20"/>
          <w:szCs w:val="16"/>
          <w:lang w:val="fr" w:eastAsia="en-IE"/>
        </w:rPr>
        <w:t xml:space="preserve"> Or, selon l'article 1er , point 5, de la directive, il convient d'entendre par les termes règle technique </w:t>
      </w:r>
      <w:r w:rsidRPr="00D6058A">
        <w:rPr>
          <w:rFonts w:ascii="Times New Roman" w:eastAsia="Times New Roman" w:hAnsi="Times New Roman" w:cs="Times New Roman"/>
          <w:i/>
          <w:iCs/>
          <w:sz w:val="20"/>
          <w:szCs w:val="16"/>
          <w:lang w:val="fr" w:eastAsia="en-IE"/>
        </w:rPr>
        <w:lastRenderedPageBreak/>
        <w:t>« ... les spécifications techniques, y compris les dispositions administratives qui s'y appliquent, dont l'observation est obligatoire, de jure ou de facto, pour la commercialisation ou l'utilisation dans un État membre... ». Selon l'article 1er, point 1, de la directive, une « spécification technique » est une spécification qui figure dans un document définissant les caractéristiques requises d'un produit, telles que les niveaux de qualité ou de propriété d'emploi et la sécurité. L'article 3, paragraphe 1, de la loi 257/92 établit des valeurs limites de concentration en fibres d'amiante respirables sur les lieux de travail. Ne précisant pas une caractéristique requise d'un produit, cette disposition ne relève pas, a priori, de la définition de spécification technique et, partant, ne peut</w:t>
      </w:r>
      <w:r w:rsidR="0098183C">
        <w:rPr>
          <w:rFonts w:ascii="Times New Roman" w:eastAsia="Times New Roman" w:hAnsi="Times New Roman" w:cs="Times New Roman"/>
          <w:i/>
          <w:iCs/>
          <w:sz w:val="20"/>
          <w:szCs w:val="16"/>
          <w:lang w:val="fr" w:eastAsia="en-IE"/>
        </w:rPr>
        <w:t xml:space="preserve"> être</w:t>
      </w:r>
      <w:r w:rsidRPr="00D6058A">
        <w:rPr>
          <w:rFonts w:ascii="Times New Roman" w:eastAsia="Times New Roman" w:hAnsi="Times New Roman" w:cs="Times New Roman"/>
          <w:i/>
          <w:iCs/>
          <w:sz w:val="20"/>
          <w:szCs w:val="16"/>
          <w:lang w:val="fr" w:eastAsia="en-IE"/>
        </w:rPr>
        <w:t xml:space="preserve"> considérée comme une règle technique devant être notifiée à la Commission, conformément à l'article 8, paragraphe 1, premier alinéa, de la directive. S'il est vrai que le respect des valeurs limites de la concentration en fibres d'amiante respirables prévues par l'article 3 de la loi 257/92 peut avoir des conséquences sur les caractéristiques du produit concerné, telles qu'elles sont prévues par l'article 1er, point 1, de la directive, il convient de relever que la Commission n'a pas démontré en quoi cela pouvait être le cas. »</w:t>
      </w:r>
    </w:p>
    <w:p w14:paraId="46671BB9" w14:textId="77777777" w:rsidR="007F205B" w:rsidRDefault="007F205B" w:rsidP="00AA4F20">
      <w:pPr>
        <w:spacing w:after="0" w:line="240" w:lineRule="auto"/>
        <w:rPr>
          <w:lang w:val="fr"/>
        </w:rPr>
      </w:pPr>
    </w:p>
    <w:p w14:paraId="5146E94B" w14:textId="57E352FB" w:rsidR="007140D1" w:rsidRPr="00580DA5"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6" w:history="1">
        <w:r w:rsidR="007140D1" w:rsidRPr="00580DA5">
          <w:rPr>
            <w:rFonts w:ascii="Times New Roman" w:eastAsia="Times New Roman" w:hAnsi="Times New Roman" w:cs="Times New Roman"/>
            <w:b/>
            <w:i/>
            <w:color w:val="0000FF"/>
            <w:szCs w:val="20"/>
            <w:u w:val="single"/>
            <w:lang w:val="fr" w:eastAsia="en-IE"/>
          </w:rPr>
          <w:t>Arrêt du 17 septembre 1996</w:t>
        </w:r>
      </w:hyperlink>
      <w:r w:rsidR="0087132A">
        <w:rPr>
          <w:rFonts w:ascii="Times New Roman" w:eastAsia="Times New Roman" w:hAnsi="Times New Roman" w:cs="Times New Roman"/>
          <w:b/>
          <w:i/>
          <w:szCs w:val="20"/>
          <w:lang w:val="fr" w:eastAsia="en-IE"/>
        </w:rPr>
        <w:t xml:space="preserve">, </w:t>
      </w:r>
      <w:r w:rsidR="0087132A" w:rsidRPr="00580DA5">
        <w:rPr>
          <w:rFonts w:ascii="Times New Roman" w:eastAsia="Times New Roman" w:hAnsi="Times New Roman" w:cs="Times New Roman"/>
          <w:b/>
          <w:i/>
          <w:szCs w:val="20"/>
          <w:lang w:val="fr" w:eastAsia="en-IE"/>
        </w:rPr>
        <w:t>Commission/Italie,</w:t>
      </w:r>
      <w:r w:rsidR="007140D1" w:rsidRPr="00580DA5">
        <w:rPr>
          <w:rFonts w:ascii="Times New Roman" w:eastAsia="Times New Roman" w:hAnsi="Times New Roman" w:cs="Times New Roman"/>
          <w:b/>
          <w:i/>
          <w:szCs w:val="20"/>
          <w:lang w:val="fr" w:eastAsia="en-IE"/>
        </w:rPr>
        <w:t xml:space="preserve"> C-289/94, </w:t>
      </w:r>
      <w:r w:rsidR="007140D1" w:rsidRPr="007140D1">
        <w:rPr>
          <w:rFonts w:ascii="Times New Roman" w:eastAsia="Times New Roman" w:hAnsi="Times New Roman" w:cs="Times New Roman"/>
          <w:b/>
          <w:i/>
          <w:szCs w:val="20"/>
          <w:lang w:val="fr-BE" w:eastAsia="en-IE"/>
        </w:rPr>
        <w:t>EU:C:1996:330,</w:t>
      </w:r>
      <w:r w:rsidR="007140D1" w:rsidRPr="00580DA5">
        <w:rPr>
          <w:rFonts w:ascii="Times New Roman" w:eastAsia="Times New Roman" w:hAnsi="Times New Roman" w:cs="Times New Roman"/>
          <w:b/>
          <w:i/>
          <w:szCs w:val="20"/>
          <w:lang w:val="fr" w:eastAsia="en-IE"/>
        </w:rPr>
        <w:t xml:space="preserve"> point 32</w:t>
      </w:r>
    </w:p>
    <w:p w14:paraId="2870C0E2" w14:textId="77777777" w:rsidR="007140D1" w:rsidRPr="00580DA5"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8A46164" w14:textId="50AA2418" w:rsidR="007140D1" w:rsidRPr="00580DA5" w:rsidRDefault="007140D1" w:rsidP="00AA4F20">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lang w:val="fr" w:eastAsia="en-IE"/>
        </w:rPr>
      </w:pPr>
      <w:r w:rsidRPr="00580DA5">
        <w:rPr>
          <w:rFonts w:ascii="Times New Roman" w:eastAsia="Times New Roman" w:hAnsi="Times New Roman" w:cs="Times New Roman"/>
          <w:szCs w:val="20"/>
          <w:lang w:val="fr" w:eastAsia="en-IE"/>
        </w:rPr>
        <w:t xml:space="preserve">Un décret régissant la qualité des eaux destinées à la culture des mollusques constitue une </w:t>
      </w:r>
      <w:r w:rsidR="00EE4C2F">
        <w:rPr>
          <w:rFonts w:ascii="Times New Roman" w:eastAsia="Times New Roman" w:hAnsi="Times New Roman" w:cs="Times New Roman"/>
          <w:szCs w:val="20"/>
          <w:lang w:val="fr" w:eastAsia="en-IE"/>
        </w:rPr>
        <w:t>« </w:t>
      </w:r>
      <w:r w:rsidRPr="00580DA5">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sidRPr="00580DA5">
        <w:rPr>
          <w:rFonts w:ascii="Times New Roman" w:eastAsia="Times New Roman" w:hAnsi="Times New Roman" w:cs="Times New Roman"/>
          <w:szCs w:val="20"/>
          <w:lang w:val="fr" w:eastAsia="en-IE"/>
        </w:rPr>
        <w:t xml:space="preserve"> soumise à notification, en raison de son </w:t>
      </w:r>
      <w:r w:rsidR="0098183C">
        <w:rPr>
          <w:rFonts w:ascii="Times New Roman" w:eastAsia="Times New Roman" w:hAnsi="Times New Roman" w:cs="Times New Roman"/>
          <w:szCs w:val="20"/>
          <w:lang w:val="fr" w:eastAsia="en-IE"/>
        </w:rPr>
        <w:t>incidence</w:t>
      </w:r>
      <w:r w:rsidRPr="00580DA5">
        <w:rPr>
          <w:rFonts w:ascii="Times New Roman" w:eastAsia="Times New Roman" w:hAnsi="Times New Roman" w:cs="Times New Roman"/>
          <w:szCs w:val="20"/>
          <w:lang w:val="fr" w:eastAsia="en-IE"/>
        </w:rPr>
        <w:t xml:space="preserve"> direct</w:t>
      </w:r>
      <w:r w:rsidR="0098183C">
        <w:rPr>
          <w:rFonts w:ascii="Times New Roman" w:eastAsia="Times New Roman" w:hAnsi="Times New Roman" w:cs="Times New Roman"/>
          <w:szCs w:val="20"/>
          <w:lang w:val="fr" w:eastAsia="en-IE"/>
        </w:rPr>
        <w:t>e</w:t>
      </w:r>
      <w:r w:rsidRPr="00580DA5">
        <w:rPr>
          <w:rFonts w:ascii="Times New Roman" w:eastAsia="Times New Roman" w:hAnsi="Times New Roman" w:cs="Times New Roman"/>
          <w:szCs w:val="20"/>
          <w:lang w:val="fr" w:eastAsia="en-IE"/>
        </w:rPr>
        <w:t xml:space="preserve"> sur la commercialisation des produits concernés. </w:t>
      </w:r>
    </w:p>
    <w:p w14:paraId="2538F127" w14:textId="77777777" w:rsidR="007140D1" w:rsidRPr="00580DA5" w:rsidRDefault="007140D1" w:rsidP="00AA4F20">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lang w:val="fr" w:eastAsia="en-IE"/>
        </w:rPr>
      </w:pPr>
    </w:p>
    <w:p w14:paraId="14882503" w14:textId="460A6240" w:rsidR="007140D1" w:rsidRPr="00580DA5" w:rsidRDefault="007140D1" w:rsidP="00AA4F20">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80DA5">
        <w:rPr>
          <w:rFonts w:ascii="Times New Roman" w:eastAsia="Times New Roman" w:hAnsi="Times New Roman" w:cs="Times New Roman"/>
          <w:i/>
          <w:iCs/>
          <w:sz w:val="20"/>
          <w:szCs w:val="16"/>
          <w:lang w:val="fr" w:eastAsia="en-IE"/>
        </w:rPr>
        <w:t>« 32</w:t>
      </w:r>
      <w:r w:rsidR="00116D32">
        <w:rPr>
          <w:rFonts w:ascii="Times New Roman" w:eastAsia="Times New Roman" w:hAnsi="Times New Roman" w:cs="Times New Roman"/>
          <w:i/>
          <w:iCs/>
          <w:sz w:val="20"/>
          <w:szCs w:val="16"/>
          <w:lang w:val="fr" w:eastAsia="en-IE"/>
        </w:rPr>
        <w:t>.</w:t>
      </w:r>
      <w:r w:rsidRPr="00580DA5">
        <w:rPr>
          <w:rFonts w:ascii="Times New Roman" w:eastAsia="Times New Roman" w:hAnsi="Times New Roman" w:cs="Times New Roman"/>
          <w:i/>
          <w:iCs/>
          <w:sz w:val="20"/>
          <w:szCs w:val="16"/>
          <w:lang w:val="fr" w:eastAsia="en-IE"/>
        </w:rPr>
        <w:t xml:space="preserve"> Si le décret n° 256 porte sur certains aspects de la qualité des eaux destinées à accueillir les mollusques lamellibranches comestibles, il n'en établit pas moins, comme le souligne à juste titre la Commission, une corrélation très étroite entre la qualité des eaux de culture et la commercialisation des mollusques lamellibranches destinés à la consommation humaine. Ainsi, seuls les mollusques élevés dans des eaux qui répondent aux spécifications techniques instituées par le décret n° 256 pourront être commercialisés. L'observation de telles spécifications, qui sont obligatoires, a donc une incidence directe sur la commercialisation des mollusques, de sorte que le décret n° 256 doit être considéré comme une règle technique soumise à l'obligation de notification prévue à l'article 8 de la directive 83/189.</w:t>
      </w:r>
    </w:p>
    <w:p w14:paraId="6F0F157F" w14:textId="77777777" w:rsidR="007140D1" w:rsidRDefault="007140D1" w:rsidP="00AA4F20">
      <w:pPr>
        <w:spacing w:after="0" w:line="240" w:lineRule="auto"/>
        <w:rPr>
          <w:lang w:val="fr"/>
        </w:rPr>
      </w:pPr>
    </w:p>
    <w:p w14:paraId="24F64D50" w14:textId="4AC9B786" w:rsidR="007140D1" w:rsidRPr="008F7F7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7" w:history="1">
        <w:r w:rsidR="007140D1" w:rsidRPr="008F7F7C">
          <w:rPr>
            <w:rFonts w:ascii="Times New Roman" w:eastAsia="Times New Roman" w:hAnsi="Times New Roman" w:cs="Times New Roman"/>
            <w:b/>
            <w:i/>
            <w:color w:val="0000FF"/>
            <w:szCs w:val="20"/>
            <w:u w:val="single"/>
            <w:lang w:val="fr" w:eastAsia="en-IE"/>
          </w:rPr>
          <w:t>Arrêt du 11 mai 1999</w:t>
        </w:r>
      </w:hyperlink>
      <w:r w:rsidR="007140D1" w:rsidRPr="008F7F7C">
        <w:rPr>
          <w:rFonts w:ascii="Times New Roman" w:eastAsia="Times New Roman" w:hAnsi="Times New Roman" w:cs="Times New Roman"/>
          <w:b/>
          <w:i/>
          <w:szCs w:val="20"/>
          <w:lang w:val="fr" w:eastAsia="en-IE"/>
        </w:rPr>
        <w:t xml:space="preserve">, </w:t>
      </w:r>
      <w:r w:rsidR="0087132A" w:rsidRPr="008F7F7C">
        <w:rPr>
          <w:rFonts w:ascii="Times New Roman" w:eastAsia="Times New Roman" w:hAnsi="Times New Roman" w:cs="Times New Roman"/>
          <w:b/>
          <w:i/>
          <w:szCs w:val="20"/>
          <w:lang w:val="fr" w:eastAsia="en-IE"/>
        </w:rPr>
        <w:t>Albers</w:t>
      </w:r>
      <w:r w:rsidR="0087132A">
        <w:rPr>
          <w:rFonts w:ascii="Times New Roman" w:eastAsia="Times New Roman" w:hAnsi="Times New Roman" w:cs="Times New Roman"/>
          <w:b/>
          <w:i/>
          <w:szCs w:val="20"/>
          <w:lang w:val="fr" w:eastAsia="en-IE"/>
        </w:rPr>
        <w:t xml:space="preserve"> e.a.</w:t>
      </w:r>
      <w:r w:rsidR="0087132A" w:rsidRPr="008F7F7C">
        <w:rPr>
          <w:rFonts w:ascii="Times New Roman" w:eastAsia="Times New Roman" w:hAnsi="Times New Roman" w:cs="Times New Roman"/>
          <w:b/>
          <w:i/>
          <w:szCs w:val="20"/>
          <w:lang w:val="fr" w:eastAsia="en-IE"/>
        </w:rPr>
        <w:t xml:space="preserve">, </w:t>
      </w:r>
      <w:r w:rsidR="007140D1" w:rsidRPr="008F7F7C">
        <w:rPr>
          <w:rFonts w:ascii="Times New Roman" w:eastAsia="Times New Roman" w:hAnsi="Times New Roman" w:cs="Times New Roman"/>
          <w:b/>
          <w:i/>
          <w:szCs w:val="20"/>
          <w:lang w:val="fr" w:eastAsia="en-IE"/>
        </w:rPr>
        <w:t xml:space="preserve">C-425/97 à 427/97, EU:C:1999:243, points 16 </w:t>
      </w:r>
      <w:r w:rsidR="007140D1">
        <w:rPr>
          <w:rFonts w:ascii="Times New Roman" w:eastAsia="Times New Roman" w:hAnsi="Times New Roman" w:cs="Times New Roman"/>
          <w:b/>
          <w:i/>
          <w:szCs w:val="20"/>
          <w:lang w:val="fr" w:eastAsia="en-IE"/>
        </w:rPr>
        <w:t>et</w:t>
      </w:r>
      <w:r w:rsidR="007140D1" w:rsidRPr="008F7F7C">
        <w:rPr>
          <w:rFonts w:ascii="Times New Roman" w:eastAsia="Times New Roman" w:hAnsi="Times New Roman" w:cs="Times New Roman"/>
          <w:b/>
          <w:i/>
          <w:szCs w:val="20"/>
          <w:lang w:val="fr" w:eastAsia="en-IE"/>
        </w:rPr>
        <w:t xml:space="preserve"> 1</w:t>
      </w:r>
      <w:r w:rsidR="007140D1">
        <w:rPr>
          <w:rFonts w:ascii="Times New Roman" w:eastAsia="Times New Roman" w:hAnsi="Times New Roman" w:cs="Times New Roman"/>
          <w:b/>
          <w:i/>
          <w:szCs w:val="20"/>
          <w:lang w:val="fr" w:eastAsia="en-IE"/>
        </w:rPr>
        <w:t>7</w:t>
      </w:r>
    </w:p>
    <w:p w14:paraId="1800AC63" w14:textId="77777777" w:rsidR="007140D1" w:rsidRPr="008F7F7C"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CE21FE3" w14:textId="66697922" w:rsidR="007140D1" w:rsidRPr="008F7F7C" w:rsidRDefault="007140D1"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 w:eastAsia="en-IE"/>
        </w:rPr>
      </w:pPr>
      <w:r w:rsidRPr="008F7F7C">
        <w:rPr>
          <w:rFonts w:ascii="Times New Roman" w:eastAsia="Times New Roman" w:hAnsi="Times New Roman" w:cs="Times New Roman"/>
          <w:szCs w:val="20"/>
          <w:lang w:val="fr" w:eastAsia="en-IE"/>
        </w:rPr>
        <w:t xml:space="preserve">Les règles interdisant l’administration de </w:t>
      </w:r>
      <w:r w:rsidR="00AC368B">
        <w:rPr>
          <w:rFonts w:ascii="Times New Roman" w:eastAsia="Times New Roman" w:hAnsi="Times New Roman" w:cs="Times New Roman"/>
          <w:szCs w:val="20"/>
          <w:lang w:val="fr" w:eastAsia="en-IE"/>
        </w:rPr>
        <w:t>certains médicaments</w:t>
      </w:r>
      <w:r w:rsidRPr="008F7F7C">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à des</w:t>
      </w:r>
      <w:r w:rsidRPr="008F7F7C">
        <w:rPr>
          <w:rFonts w:ascii="Times New Roman" w:eastAsia="Times New Roman" w:hAnsi="Times New Roman" w:cs="Times New Roman"/>
          <w:szCs w:val="20"/>
          <w:lang w:val="fr" w:eastAsia="en-IE"/>
        </w:rPr>
        <w:t xml:space="preserve"> bovins constituent des </w:t>
      </w:r>
      <w:r w:rsidR="00EE4C2F">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spécifications techniques</w:t>
      </w:r>
      <w:r w:rsidR="00EE4C2F">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 xml:space="preserve">car elles </w:t>
      </w:r>
      <w:r w:rsidRPr="008F7F7C">
        <w:rPr>
          <w:rFonts w:ascii="Times New Roman" w:eastAsia="Times New Roman" w:hAnsi="Times New Roman" w:cs="Times New Roman"/>
          <w:szCs w:val="20"/>
          <w:lang w:val="fr" w:eastAsia="en-IE"/>
        </w:rPr>
        <w:t>définissent les méthodes de production de produits agricoles destinés à l’alimentation humaine</w:t>
      </w:r>
      <w:r>
        <w:rPr>
          <w:rFonts w:ascii="Times New Roman" w:eastAsia="Times New Roman" w:hAnsi="Times New Roman" w:cs="Times New Roman"/>
          <w:szCs w:val="20"/>
          <w:lang w:val="fr" w:eastAsia="en-IE"/>
        </w:rPr>
        <w:t>.</w:t>
      </w:r>
    </w:p>
    <w:p w14:paraId="39EE4412" w14:textId="77777777" w:rsidR="007140D1" w:rsidRPr="008F7F7C" w:rsidRDefault="007140D1"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 w:eastAsia="en-IE"/>
        </w:rPr>
      </w:pPr>
    </w:p>
    <w:p w14:paraId="04B64314" w14:textId="32D97F76" w:rsidR="007140D1" w:rsidRPr="008F7F7C"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 w:eastAsia="en-IE"/>
        </w:rPr>
        <w:t>« </w:t>
      </w:r>
      <w:r w:rsidRPr="008F7F7C">
        <w:rPr>
          <w:rFonts w:ascii="Times New Roman" w:eastAsia="Times New Roman" w:hAnsi="Times New Roman" w:cs="Times New Roman"/>
          <w:i/>
          <w:iCs/>
          <w:sz w:val="20"/>
          <w:szCs w:val="16"/>
          <w:lang w:val="fr-BE" w:eastAsia="en-IE"/>
        </w:rPr>
        <w:t xml:space="preserve">16. </w:t>
      </w:r>
      <w:r w:rsidR="00AC368B">
        <w:rPr>
          <w:rFonts w:ascii="Times New Roman" w:eastAsia="Times New Roman" w:hAnsi="Times New Roman" w:cs="Times New Roman"/>
          <w:i/>
          <w:iCs/>
          <w:sz w:val="20"/>
          <w:szCs w:val="16"/>
          <w:lang w:val="fr-BE" w:eastAsia="en-IE"/>
        </w:rPr>
        <w:t>[…]</w:t>
      </w:r>
      <w:r w:rsidRPr="008F7F7C">
        <w:rPr>
          <w:rFonts w:ascii="Times New Roman" w:eastAsia="Times New Roman" w:hAnsi="Times New Roman" w:cs="Times New Roman"/>
          <w:i/>
          <w:iCs/>
          <w:sz w:val="20"/>
          <w:szCs w:val="16"/>
          <w:lang w:val="fr-BE" w:eastAsia="en-IE"/>
        </w:rPr>
        <w:t xml:space="preserve"> des règles qui visent, comme celles en cause en l'espèce, à prévenir l'administration de substances à effet </w:t>
      </w:r>
      <w:proofErr w:type="spellStart"/>
      <w:r w:rsidRPr="008F7F7C">
        <w:rPr>
          <w:rFonts w:ascii="Times New Roman" w:eastAsia="Times New Roman" w:hAnsi="Times New Roman" w:cs="Times New Roman"/>
          <w:i/>
          <w:iCs/>
          <w:sz w:val="20"/>
          <w:szCs w:val="16"/>
          <w:lang w:val="fr-BE" w:eastAsia="en-IE"/>
        </w:rPr>
        <w:t>sympathico-mimétique</w:t>
      </w:r>
      <w:proofErr w:type="spellEnd"/>
      <w:r w:rsidRPr="008F7F7C">
        <w:rPr>
          <w:rFonts w:ascii="Times New Roman" w:eastAsia="Times New Roman" w:hAnsi="Times New Roman" w:cs="Times New Roman"/>
          <w:i/>
          <w:iCs/>
          <w:sz w:val="20"/>
          <w:szCs w:val="16"/>
          <w:lang w:val="fr-BE" w:eastAsia="en-IE"/>
        </w:rPr>
        <w:t xml:space="preserve"> à des bovins d'engraissement de plus de quatorze semaines constituent des spécifications techniques au sens de l'article 1</w:t>
      </w:r>
      <w:r w:rsidRPr="008F7F7C">
        <w:rPr>
          <w:rFonts w:ascii="Times New Roman" w:eastAsia="Times New Roman" w:hAnsi="Times New Roman" w:cs="Times New Roman"/>
          <w:i/>
          <w:iCs/>
          <w:sz w:val="20"/>
          <w:szCs w:val="16"/>
          <w:vertAlign w:val="superscript"/>
          <w:lang w:val="fr-BE" w:eastAsia="en-IE"/>
        </w:rPr>
        <w:t>er</w:t>
      </w:r>
      <w:r w:rsidRPr="008F7F7C">
        <w:rPr>
          <w:rFonts w:ascii="Times New Roman" w:eastAsia="Times New Roman" w:hAnsi="Times New Roman" w:cs="Times New Roman"/>
          <w:i/>
          <w:iCs/>
          <w:sz w:val="20"/>
          <w:szCs w:val="16"/>
          <w:lang w:val="fr-BE" w:eastAsia="en-IE"/>
        </w:rPr>
        <w:t>, point 1, de la directive 83/189.</w:t>
      </w:r>
    </w:p>
    <w:p w14:paraId="5F381641" w14:textId="77777777" w:rsidR="007140D1" w:rsidRPr="008F7F7C"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5BA9A1A" w14:textId="77777777" w:rsidR="007140D1"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BE" w:eastAsia="en-IE"/>
        </w:rPr>
        <w:t>17. En effet, de telles règles définissent les méthodes et procédés de production de produits agricoles au sens de l'article 38, paragraphe 1, du traité CE (devenu, après modification, article 32, paragraphe 1, CE) destinés à l'alimentation humaine.</w:t>
      </w:r>
      <w:r>
        <w:rPr>
          <w:rFonts w:ascii="Times New Roman" w:eastAsia="Times New Roman" w:hAnsi="Times New Roman" w:cs="Times New Roman"/>
          <w:i/>
          <w:iCs/>
          <w:sz w:val="20"/>
          <w:szCs w:val="16"/>
          <w:lang w:val="fr-BE" w:eastAsia="en-IE"/>
        </w:rPr>
        <w:t> »</w:t>
      </w:r>
    </w:p>
    <w:p w14:paraId="727F2F64" w14:textId="77777777" w:rsidR="007140D1" w:rsidRDefault="007140D1" w:rsidP="00AA4F20">
      <w:pPr>
        <w:spacing w:after="0" w:line="240" w:lineRule="auto"/>
        <w:rPr>
          <w:lang w:val="fr-BE"/>
        </w:rPr>
      </w:pPr>
    </w:p>
    <w:p w14:paraId="1E60824C" w14:textId="0BCA0267" w:rsidR="007140D1" w:rsidRPr="002251C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8" w:history="1">
        <w:r w:rsidR="007140D1" w:rsidRPr="002251C6">
          <w:rPr>
            <w:rFonts w:ascii="Times New Roman" w:eastAsia="Times New Roman" w:hAnsi="Times New Roman" w:cs="Times New Roman"/>
            <w:b/>
            <w:i/>
            <w:color w:val="0000FF"/>
            <w:szCs w:val="20"/>
            <w:u w:val="single"/>
            <w:lang w:val="fr" w:eastAsia="en-IE"/>
          </w:rPr>
          <w:t>Arrêt du 22 janvier 2000</w:t>
        </w:r>
      </w:hyperlink>
      <w:r w:rsidR="007140D1" w:rsidRPr="002251C6">
        <w:rPr>
          <w:rFonts w:ascii="Times New Roman" w:eastAsia="Times New Roman" w:hAnsi="Times New Roman" w:cs="Times New Roman"/>
          <w:b/>
          <w:i/>
          <w:szCs w:val="20"/>
          <w:lang w:val="fr" w:eastAsia="en-IE"/>
        </w:rPr>
        <w:t xml:space="preserve">, </w:t>
      </w:r>
      <w:r w:rsidR="0087132A" w:rsidRPr="002251C6">
        <w:rPr>
          <w:rFonts w:ascii="Times New Roman" w:eastAsia="Times New Roman" w:hAnsi="Times New Roman" w:cs="Times New Roman"/>
          <w:b/>
          <w:i/>
          <w:szCs w:val="20"/>
          <w:lang w:val="fr" w:eastAsia="en-IE"/>
        </w:rPr>
        <w:t xml:space="preserve">Canal </w:t>
      </w:r>
      <w:proofErr w:type="spellStart"/>
      <w:r w:rsidR="0087132A" w:rsidRPr="002251C6">
        <w:rPr>
          <w:rFonts w:ascii="Times New Roman" w:eastAsia="Times New Roman" w:hAnsi="Times New Roman" w:cs="Times New Roman"/>
          <w:b/>
          <w:i/>
          <w:szCs w:val="20"/>
          <w:lang w:val="fr" w:eastAsia="en-IE"/>
        </w:rPr>
        <w:t>Satélite</w:t>
      </w:r>
      <w:proofErr w:type="spellEnd"/>
      <w:r w:rsidR="0087132A" w:rsidRPr="002251C6">
        <w:rPr>
          <w:rFonts w:ascii="Times New Roman" w:eastAsia="Times New Roman" w:hAnsi="Times New Roman" w:cs="Times New Roman"/>
          <w:b/>
          <w:i/>
          <w:szCs w:val="20"/>
          <w:lang w:val="fr" w:eastAsia="en-IE"/>
        </w:rPr>
        <w:t xml:space="preserve"> Digital, </w:t>
      </w:r>
      <w:r w:rsidR="007140D1" w:rsidRPr="002251C6">
        <w:rPr>
          <w:rFonts w:ascii="Times New Roman" w:eastAsia="Times New Roman" w:hAnsi="Times New Roman" w:cs="Times New Roman"/>
          <w:b/>
          <w:i/>
          <w:szCs w:val="20"/>
          <w:lang w:val="fr" w:eastAsia="en-IE"/>
        </w:rPr>
        <w:t>C-390/99,</w:t>
      </w:r>
      <w:r w:rsidR="0087132A">
        <w:rPr>
          <w:rFonts w:ascii="Times New Roman" w:eastAsia="Times New Roman" w:hAnsi="Times New Roman" w:cs="Times New Roman"/>
          <w:b/>
          <w:i/>
          <w:szCs w:val="20"/>
          <w:lang w:val="fr" w:eastAsia="en-IE"/>
        </w:rPr>
        <w:t xml:space="preserve"> </w:t>
      </w:r>
      <w:r w:rsidR="0087132A" w:rsidRPr="0087132A">
        <w:rPr>
          <w:rFonts w:ascii="Times New Roman" w:eastAsia="Times New Roman" w:hAnsi="Times New Roman" w:cs="Times New Roman"/>
          <w:b/>
          <w:i/>
          <w:szCs w:val="20"/>
          <w:lang w:val="fr-BE" w:eastAsia="en-IE"/>
        </w:rPr>
        <w:t>EU:C:2002:34,</w:t>
      </w:r>
      <w:r w:rsidR="007140D1" w:rsidRPr="002251C6">
        <w:rPr>
          <w:rFonts w:ascii="Times New Roman" w:eastAsia="Times New Roman" w:hAnsi="Times New Roman" w:cs="Times New Roman"/>
          <w:b/>
          <w:i/>
          <w:szCs w:val="20"/>
          <w:lang w:val="fr" w:eastAsia="en-IE"/>
        </w:rPr>
        <w:t xml:space="preserve"> points 4</w:t>
      </w:r>
      <w:r w:rsidR="007140D1">
        <w:rPr>
          <w:rFonts w:ascii="Times New Roman" w:eastAsia="Times New Roman" w:hAnsi="Times New Roman" w:cs="Times New Roman"/>
          <w:b/>
          <w:i/>
          <w:szCs w:val="20"/>
          <w:lang w:val="fr" w:eastAsia="en-IE"/>
        </w:rPr>
        <w:t>5</w:t>
      </w:r>
      <w:r w:rsidR="007140D1" w:rsidRPr="002251C6">
        <w:rPr>
          <w:rFonts w:ascii="Times New Roman" w:eastAsia="Times New Roman" w:hAnsi="Times New Roman" w:cs="Times New Roman"/>
          <w:b/>
          <w:i/>
          <w:szCs w:val="20"/>
          <w:lang w:val="fr" w:eastAsia="en-IE"/>
        </w:rPr>
        <w:t xml:space="preserve"> à 4</w:t>
      </w:r>
      <w:r w:rsidR="007140D1">
        <w:rPr>
          <w:rFonts w:ascii="Times New Roman" w:eastAsia="Times New Roman" w:hAnsi="Times New Roman" w:cs="Times New Roman"/>
          <w:b/>
          <w:i/>
          <w:szCs w:val="20"/>
          <w:lang w:val="fr" w:eastAsia="en-IE"/>
        </w:rPr>
        <w:t>7</w:t>
      </w:r>
    </w:p>
    <w:p w14:paraId="77736084" w14:textId="77777777" w:rsidR="007140D1" w:rsidRPr="002251C6"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04AB006" w14:textId="7A952D43" w:rsidR="007140D1" w:rsidRPr="00AA5695" w:rsidRDefault="007140D1" w:rsidP="00AA4F20">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r w:rsidRPr="002251C6">
        <w:rPr>
          <w:rFonts w:ascii="Times New Roman" w:eastAsia="Times New Roman" w:hAnsi="Times New Roman" w:cs="Times New Roman"/>
          <w:szCs w:val="20"/>
          <w:lang w:val="fr" w:eastAsia="en-IE"/>
        </w:rPr>
        <w:t>Une règle nationale exigeant l’enregistrement et la certification préalable des équipements de transmission et de réception numériques de signaux de télévision par satellite avant leur commercialisation constitue une « règle technique »</w:t>
      </w:r>
      <w:r w:rsidR="00AC368B">
        <w:rPr>
          <w:rFonts w:ascii="Times New Roman" w:eastAsia="Times New Roman" w:hAnsi="Times New Roman" w:cs="Times New Roman"/>
          <w:szCs w:val="20"/>
          <w:lang w:val="fr" w:eastAsia="en-IE"/>
        </w:rPr>
        <w:t xml:space="preserve"> car c’est une spécification déterminant les caractéristiques des produits</w:t>
      </w:r>
      <w:r w:rsidRPr="002251C6">
        <w:rPr>
          <w:rFonts w:ascii="Times New Roman" w:eastAsia="Times New Roman" w:hAnsi="Times New Roman" w:cs="Times New Roman"/>
          <w:szCs w:val="20"/>
          <w:lang w:val="fr" w:eastAsia="en-IE"/>
        </w:rPr>
        <w:t>.</w:t>
      </w:r>
      <w:r w:rsidRPr="00AA5695">
        <w:rPr>
          <w:rFonts w:ascii="Times New Roman" w:eastAsia="Times New Roman" w:hAnsi="Times New Roman" w:cs="Times New Roman"/>
          <w:szCs w:val="20"/>
          <w:lang w:val="fr" w:eastAsia="en-IE"/>
        </w:rPr>
        <w:t xml:space="preserve"> </w:t>
      </w:r>
    </w:p>
    <w:p w14:paraId="6C4FAA9F" w14:textId="77777777" w:rsidR="007140D1" w:rsidRPr="00AA5695" w:rsidRDefault="007140D1" w:rsidP="00AA4F20">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p>
    <w:p w14:paraId="47518ACD" w14:textId="1EC21F67" w:rsidR="007140D1" w:rsidRPr="00AA5695" w:rsidRDefault="007140D1" w:rsidP="00AA4F20">
      <w:pPr>
        <w:widowControl w:val="0"/>
        <w:tabs>
          <w:tab w:val="left" w:pos="396"/>
          <w:tab w:val="left" w:pos="40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 w:eastAsia="en-IE"/>
        </w:rPr>
        <w:tab/>
        <w:t>« </w:t>
      </w:r>
      <w:r w:rsidRPr="00AA5695">
        <w:rPr>
          <w:rFonts w:ascii="Times New Roman" w:eastAsia="Times New Roman" w:hAnsi="Times New Roman" w:cs="Times New Roman"/>
          <w:i/>
          <w:iCs/>
          <w:sz w:val="20"/>
          <w:szCs w:val="16"/>
          <w:lang w:val="fr-BE" w:eastAsia="en-IE"/>
        </w:rPr>
        <w:t xml:space="preserve">45. </w:t>
      </w:r>
      <w:r w:rsidR="00AC368B">
        <w:rPr>
          <w:rFonts w:ascii="Times New Roman" w:eastAsia="Times New Roman" w:hAnsi="Times New Roman" w:cs="Times New Roman"/>
          <w:i/>
          <w:iCs/>
          <w:sz w:val="20"/>
          <w:szCs w:val="16"/>
          <w:lang w:val="fr-BE" w:eastAsia="en-IE"/>
        </w:rPr>
        <w:t>[…]</w:t>
      </w:r>
      <w:r w:rsidRPr="00AA5695">
        <w:rPr>
          <w:rFonts w:ascii="Times New Roman" w:eastAsia="Times New Roman" w:hAnsi="Times New Roman" w:cs="Times New Roman"/>
          <w:i/>
          <w:iCs/>
          <w:sz w:val="20"/>
          <w:szCs w:val="16"/>
          <w:lang w:val="fr-BE" w:eastAsia="en-IE"/>
        </w:rPr>
        <w:t xml:space="preserve"> la Cour a déjà jugé que des dispositions nationales qui se limitent à prévoir des conditions pour l'établissement des entreprises, telles que des dispositions qui soumettent l'exercice d'une activité professionnelle à un agrément préalable, ne constituent pas des règles techniques au sens de l'article 1</w:t>
      </w:r>
      <w:r w:rsidRPr="00AA5695">
        <w:rPr>
          <w:rFonts w:ascii="Times New Roman" w:eastAsia="Times New Roman" w:hAnsi="Times New Roman" w:cs="Times New Roman"/>
          <w:i/>
          <w:iCs/>
          <w:sz w:val="20"/>
          <w:szCs w:val="16"/>
          <w:vertAlign w:val="superscript"/>
          <w:lang w:val="fr-BE" w:eastAsia="en-IE"/>
        </w:rPr>
        <w:t>er</w:t>
      </w:r>
      <w:r w:rsidRPr="00AA5695">
        <w:rPr>
          <w:rFonts w:ascii="Times New Roman" w:eastAsia="Times New Roman" w:hAnsi="Times New Roman" w:cs="Times New Roman"/>
          <w:i/>
          <w:iCs/>
          <w:sz w:val="20"/>
          <w:szCs w:val="16"/>
          <w:lang w:val="fr-BE" w:eastAsia="en-IE"/>
        </w:rPr>
        <w:t>, point 9, de la directive 83/189. En effet, des règles techniques au sens de ladite disposition sont des spécifications définissant les caractéristiques des produits et non pas des spécifications visant les opérateurs économiques (voir arrêts du 30 avril 1996, CIA Security International, C-194/94, Rec. p. I-2201, point 25, et du 8 mars 2001, Van der Burg, C-278/99, Rec. p. I-2015, point 20).</w:t>
      </w:r>
    </w:p>
    <w:p w14:paraId="1E46A9D3" w14:textId="77777777" w:rsidR="007140D1" w:rsidRPr="00AA5695" w:rsidRDefault="007140D1" w:rsidP="00AA4F20">
      <w:pPr>
        <w:widowControl w:val="0"/>
        <w:tabs>
          <w:tab w:val="left" w:pos="396"/>
          <w:tab w:val="left" w:pos="40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BE" w:eastAsia="en-IE"/>
        </w:rPr>
        <w:t>    </w:t>
      </w:r>
    </w:p>
    <w:p w14:paraId="17EDC4D8" w14:textId="77777777" w:rsidR="007140D1" w:rsidRPr="00AA5695" w:rsidRDefault="007140D1" w:rsidP="00AA4F20">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BE" w:eastAsia="en-IE"/>
        </w:rPr>
        <w:lastRenderedPageBreak/>
        <w:t>46. En revanche, une disposition nationale doit être qualifiée de «règle technique» au sens de l'article 1</w:t>
      </w:r>
      <w:r w:rsidRPr="00AA5695">
        <w:rPr>
          <w:rFonts w:ascii="Times New Roman" w:eastAsia="Times New Roman" w:hAnsi="Times New Roman" w:cs="Times New Roman"/>
          <w:i/>
          <w:iCs/>
          <w:sz w:val="20"/>
          <w:szCs w:val="16"/>
          <w:vertAlign w:val="superscript"/>
          <w:lang w:val="fr-BE" w:eastAsia="en-IE"/>
        </w:rPr>
        <w:t>er</w:t>
      </w:r>
      <w:r w:rsidRPr="00AA5695">
        <w:rPr>
          <w:rFonts w:ascii="Times New Roman" w:eastAsia="Times New Roman" w:hAnsi="Times New Roman" w:cs="Times New Roman"/>
          <w:i/>
          <w:iCs/>
          <w:sz w:val="20"/>
          <w:szCs w:val="16"/>
          <w:lang w:val="fr-BE" w:eastAsia="en-IE"/>
        </w:rPr>
        <w:t>, point 9, de la directive 83/189 dès lors qu'elle oblige les entreprises intéressées à demander une approbation préalable pour leur matériel (voir arrêt CIA Security International, précité, point 30).</w:t>
      </w:r>
    </w:p>
    <w:p w14:paraId="17A546FF" w14:textId="77777777" w:rsidR="007140D1" w:rsidRPr="00AA5695" w:rsidRDefault="007140D1" w:rsidP="00AA4F20">
      <w:pPr>
        <w:widowControl w:val="0"/>
        <w:tabs>
          <w:tab w:val="left" w:pos="396"/>
          <w:tab w:val="left" w:pos="40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BE" w:eastAsia="en-IE"/>
        </w:rPr>
        <w:t>    </w:t>
      </w:r>
    </w:p>
    <w:p w14:paraId="3AA164C7" w14:textId="77777777" w:rsidR="007140D1" w:rsidRDefault="007140D1" w:rsidP="00AA4F20">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BE" w:eastAsia="en-IE"/>
        </w:rPr>
        <w:t>47. Il s'ensuit qu'une réglementation nationale qui impose aux opérateurs de services d'accès conditionnel l'obligation d'inscrire les appareils, équipements, décodeurs ou systèmes de transmission et de réception numérique de signaux de télévision par satellite qu'ils se proposent de commercialiser dans un registre et d'obtenir une homologation préalable pour ces produits avant d'être en mesure de les commercialiser constitue une «règle technique» au sens de l'article 1</w:t>
      </w:r>
      <w:r w:rsidRPr="00AA5695">
        <w:rPr>
          <w:rFonts w:ascii="Times New Roman" w:eastAsia="Times New Roman" w:hAnsi="Times New Roman" w:cs="Times New Roman"/>
          <w:i/>
          <w:iCs/>
          <w:sz w:val="20"/>
          <w:szCs w:val="16"/>
          <w:vertAlign w:val="superscript"/>
          <w:lang w:val="fr-BE" w:eastAsia="en-IE"/>
        </w:rPr>
        <w:t>er</w:t>
      </w:r>
      <w:r w:rsidRPr="00AA5695">
        <w:rPr>
          <w:rFonts w:ascii="Times New Roman" w:eastAsia="Times New Roman" w:hAnsi="Times New Roman" w:cs="Times New Roman"/>
          <w:i/>
          <w:iCs/>
          <w:sz w:val="20"/>
          <w:szCs w:val="16"/>
          <w:lang w:val="fr-BE" w:eastAsia="en-IE"/>
        </w:rPr>
        <w:t>, point 9, de la directive 83/189.</w:t>
      </w:r>
      <w:r>
        <w:rPr>
          <w:rFonts w:ascii="Times New Roman" w:eastAsia="Times New Roman" w:hAnsi="Times New Roman" w:cs="Times New Roman"/>
          <w:i/>
          <w:iCs/>
          <w:sz w:val="20"/>
          <w:szCs w:val="16"/>
          <w:lang w:val="fr-BE" w:eastAsia="en-IE"/>
        </w:rPr>
        <w:t> »</w:t>
      </w:r>
    </w:p>
    <w:p w14:paraId="2383FACA" w14:textId="77777777" w:rsidR="007140D1" w:rsidRDefault="007140D1" w:rsidP="00AA4F20">
      <w:pPr>
        <w:spacing w:after="0" w:line="240" w:lineRule="auto"/>
        <w:rPr>
          <w:lang w:val="fr-BE"/>
        </w:rPr>
      </w:pPr>
    </w:p>
    <w:p w14:paraId="18A205A8" w14:textId="73AFE1FB" w:rsidR="007140D1" w:rsidRPr="005777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9" w:history="1">
        <w:r w:rsidR="007140D1" w:rsidRPr="00577756">
          <w:rPr>
            <w:rFonts w:ascii="Times New Roman" w:eastAsia="Times New Roman" w:hAnsi="Times New Roman" w:cs="Times New Roman"/>
            <w:b/>
            <w:i/>
            <w:color w:val="0000FF"/>
            <w:szCs w:val="20"/>
            <w:u w:val="single"/>
            <w:lang w:val="fr" w:eastAsia="en-IE"/>
          </w:rPr>
          <w:t>Arrêt du 26 septembre 2000</w:t>
        </w:r>
      </w:hyperlink>
      <w:r w:rsidR="007140D1" w:rsidRPr="00577756">
        <w:rPr>
          <w:rFonts w:ascii="Times New Roman" w:eastAsia="Times New Roman" w:hAnsi="Times New Roman" w:cs="Times New Roman"/>
          <w:b/>
          <w:i/>
          <w:szCs w:val="20"/>
          <w:lang w:val="fr" w:eastAsia="en-IE"/>
        </w:rPr>
        <w:t xml:space="preserve">, </w:t>
      </w:r>
      <w:r w:rsidR="0087132A" w:rsidRPr="00577756">
        <w:rPr>
          <w:rFonts w:ascii="Times New Roman" w:eastAsia="Times New Roman" w:hAnsi="Times New Roman" w:cs="Times New Roman"/>
          <w:b/>
          <w:i/>
          <w:szCs w:val="20"/>
          <w:lang w:val="fr" w:eastAsia="en-IE"/>
        </w:rPr>
        <w:t>Unilever</w:t>
      </w:r>
      <w:r w:rsidR="0087132A">
        <w:rPr>
          <w:rFonts w:ascii="Times New Roman" w:eastAsia="Times New Roman" w:hAnsi="Times New Roman" w:cs="Times New Roman"/>
          <w:b/>
          <w:i/>
          <w:szCs w:val="20"/>
          <w:lang w:val="fr" w:eastAsia="en-IE"/>
        </w:rPr>
        <w:t xml:space="preserve"> Italia</w:t>
      </w:r>
      <w:r w:rsidR="0087132A" w:rsidRPr="00577756">
        <w:rPr>
          <w:rFonts w:ascii="Times New Roman" w:eastAsia="Times New Roman" w:hAnsi="Times New Roman" w:cs="Times New Roman"/>
          <w:b/>
          <w:i/>
          <w:szCs w:val="20"/>
          <w:lang w:val="fr" w:eastAsia="en-IE"/>
        </w:rPr>
        <w:t xml:space="preserve">, </w:t>
      </w:r>
      <w:r w:rsidR="007140D1" w:rsidRPr="00577756">
        <w:rPr>
          <w:rFonts w:ascii="Times New Roman" w:eastAsia="Times New Roman" w:hAnsi="Times New Roman" w:cs="Times New Roman"/>
          <w:b/>
          <w:i/>
          <w:szCs w:val="20"/>
          <w:lang w:val="fr" w:eastAsia="en-IE"/>
        </w:rPr>
        <w:t xml:space="preserve">C-443/98, EU:C:2000:496, points 25 </w:t>
      </w:r>
      <w:r w:rsidR="007140D1">
        <w:rPr>
          <w:rFonts w:ascii="Times New Roman" w:eastAsia="Times New Roman" w:hAnsi="Times New Roman" w:cs="Times New Roman"/>
          <w:b/>
          <w:i/>
          <w:szCs w:val="20"/>
          <w:lang w:val="fr" w:eastAsia="en-IE"/>
        </w:rPr>
        <w:t>et 26</w:t>
      </w:r>
    </w:p>
    <w:p w14:paraId="1ABFC896" w14:textId="77777777" w:rsidR="007140D1" w:rsidRPr="00577756"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4A7EF211" w14:textId="77777777" w:rsidR="007140D1" w:rsidRPr="005777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77756">
        <w:rPr>
          <w:rFonts w:ascii="Times New Roman" w:eastAsia="Times New Roman" w:hAnsi="Times New Roman" w:cs="Times New Roman"/>
          <w:szCs w:val="20"/>
          <w:lang w:val="fr" w:eastAsia="en-IE"/>
        </w:rPr>
        <w:t xml:space="preserve">Une disposition régissant l’étiquetage de l’origine de l’huile d’olive constitue une « spécification technique » </w:t>
      </w:r>
      <w:r>
        <w:rPr>
          <w:rFonts w:ascii="Times New Roman" w:eastAsia="Times New Roman" w:hAnsi="Times New Roman" w:cs="Times New Roman"/>
          <w:szCs w:val="20"/>
          <w:lang w:val="fr" w:eastAsia="en-IE"/>
        </w:rPr>
        <w:t>car c’est une prescription régissant l’étiquetage d’un produit.</w:t>
      </w:r>
    </w:p>
    <w:p w14:paraId="03194C46" w14:textId="77777777" w:rsidR="007140D1" w:rsidRPr="005777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7C8FC196" w14:textId="1C782E32" w:rsidR="007140D1" w:rsidRPr="005777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 w:eastAsia="en-IE"/>
        </w:rPr>
        <w:t>« </w:t>
      </w:r>
      <w:r w:rsidRPr="00577756">
        <w:rPr>
          <w:rFonts w:ascii="Times New Roman" w:eastAsia="Times New Roman" w:hAnsi="Times New Roman" w:cs="Times New Roman"/>
          <w:i/>
          <w:iCs/>
          <w:sz w:val="20"/>
          <w:szCs w:val="16"/>
          <w:lang w:val="fr-BE" w:eastAsia="en-IE"/>
        </w:rPr>
        <w:t xml:space="preserve">25. </w:t>
      </w:r>
      <w:r w:rsidR="00AC368B">
        <w:rPr>
          <w:rFonts w:ascii="Times New Roman" w:eastAsia="Times New Roman" w:hAnsi="Times New Roman" w:cs="Times New Roman"/>
          <w:i/>
          <w:iCs/>
          <w:sz w:val="20"/>
          <w:szCs w:val="16"/>
          <w:lang w:val="fr-BE" w:eastAsia="en-IE"/>
        </w:rPr>
        <w:t>[…]</w:t>
      </w:r>
      <w:r w:rsidRPr="00577756">
        <w:rPr>
          <w:rFonts w:ascii="Times New Roman" w:eastAsia="Times New Roman" w:hAnsi="Times New Roman" w:cs="Times New Roman"/>
          <w:i/>
          <w:iCs/>
          <w:sz w:val="20"/>
          <w:szCs w:val="16"/>
          <w:lang w:val="fr-BE" w:eastAsia="en-IE"/>
        </w:rPr>
        <w:t xml:space="preserve"> selon son 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la directive 83/189 entend par «produit» aussi bien les produits industriels qu'agricoles et que, selon le point 2 du même article, la directive 83/189 entend par «spécification technique» une spécification qui figure dans un document définissant les caractéristiques requises des produits, y compris les prescriptions applicables au produit en ce qui concerne l'étiquetage. Des règles nationales contenant de telles spécifications constituent des spécifications techniques au sens de la directive 83/189 indépendamment des motifs qui ont justifié leur adoption (voir, en ce sens, arrêt du 20 mars 1997, Bic Benelux, C-13/96, Rec. p. I-1753, point 19).</w:t>
      </w:r>
    </w:p>
    <w:p w14:paraId="3202A57C" w14:textId="77777777" w:rsidR="007140D1" w:rsidRPr="005777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A93588B" w14:textId="77777777" w:rsidR="007140D1"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26. Ainsi, la loi litigieuse, qui réglemente l'étiquetage relatif à l'origine de l'huile d'olive, contient des règles devant être qualifiées de « spécifications techniques» au sens de la directive 83/189.</w:t>
      </w:r>
      <w:r>
        <w:rPr>
          <w:rFonts w:ascii="Times New Roman" w:eastAsia="Times New Roman" w:hAnsi="Times New Roman" w:cs="Times New Roman"/>
          <w:i/>
          <w:iCs/>
          <w:sz w:val="20"/>
          <w:szCs w:val="16"/>
          <w:lang w:val="fr-BE" w:eastAsia="en-IE"/>
        </w:rPr>
        <w:t> »</w:t>
      </w:r>
    </w:p>
    <w:p w14:paraId="36451B33" w14:textId="77777777" w:rsidR="007140D1" w:rsidRDefault="007140D1" w:rsidP="00AA4F20">
      <w:pPr>
        <w:spacing w:after="0" w:line="240" w:lineRule="auto"/>
        <w:rPr>
          <w:lang w:val="fr-BE"/>
        </w:rPr>
      </w:pPr>
    </w:p>
    <w:p w14:paraId="214DC383" w14:textId="723898FB" w:rsidR="007140D1" w:rsidRPr="005777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0" w:history="1">
        <w:r w:rsidR="007140D1" w:rsidRPr="00577756">
          <w:rPr>
            <w:rFonts w:ascii="Times New Roman" w:eastAsia="Times New Roman" w:hAnsi="Times New Roman" w:cs="Times New Roman"/>
            <w:b/>
            <w:i/>
            <w:color w:val="0000FF"/>
            <w:szCs w:val="20"/>
            <w:u w:val="single"/>
            <w:lang w:val="fr" w:eastAsia="en-IE"/>
          </w:rPr>
          <w:t>Arrêt du 12 octobre 2000</w:t>
        </w:r>
      </w:hyperlink>
      <w:r w:rsidR="007140D1" w:rsidRPr="00577756">
        <w:rPr>
          <w:rFonts w:ascii="Times New Roman" w:eastAsia="Times New Roman" w:hAnsi="Times New Roman" w:cs="Times New Roman"/>
          <w:b/>
          <w:i/>
          <w:szCs w:val="20"/>
          <w:lang w:val="fr" w:eastAsia="en-IE"/>
        </w:rPr>
        <w:t xml:space="preserve">, </w:t>
      </w:r>
      <w:proofErr w:type="spellStart"/>
      <w:r w:rsidR="0087132A" w:rsidRPr="00577756">
        <w:rPr>
          <w:rFonts w:ascii="Times New Roman" w:eastAsia="Times New Roman" w:hAnsi="Times New Roman" w:cs="Times New Roman"/>
          <w:b/>
          <w:i/>
          <w:szCs w:val="20"/>
          <w:lang w:val="fr" w:eastAsia="en-IE"/>
        </w:rPr>
        <w:t>Snellers</w:t>
      </w:r>
      <w:proofErr w:type="spellEnd"/>
      <w:r w:rsidR="0087132A" w:rsidRPr="00577756">
        <w:rPr>
          <w:rFonts w:ascii="Times New Roman" w:eastAsia="Times New Roman" w:hAnsi="Times New Roman" w:cs="Times New Roman"/>
          <w:b/>
          <w:i/>
          <w:szCs w:val="20"/>
          <w:lang w:val="fr" w:eastAsia="en-IE"/>
        </w:rPr>
        <w:t xml:space="preserve">, </w:t>
      </w:r>
      <w:r w:rsidR="007140D1" w:rsidRPr="00577756">
        <w:rPr>
          <w:rFonts w:ascii="Times New Roman" w:eastAsia="Times New Roman" w:hAnsi="Times New Roman" w:cs="Times New Roman"/>
          <w:b/>
          <w:i/>
          <w:szCs w:val="20"/>
          <w:lang w:val="fr" w:eastAsia="en-IE"/>
        </w:rPr>
        <w:t xml:space="preserve">C-314/98, EU:C:2000:557, points 37 à </w:t>
      </w:r>
      <w:r w:rsidR="007140D1">
        <w:rPr>
          <w:rFonts w:ascii="Times New Roman" w:eastAsia="Times New Roman" w:hAnsi="Times New Roman" w:cs="Times New Roman"/>
          <w:b/>
          <w:i/>
          <w:szCs w:val="20"/>
          <w:lang w:val="fr" w:eastAsia="en-IE"/>
        </w:rPr>
        <w:t>39</w:t>
      </w:r>
    </w:p>
    <w:p w14:paraId="3F523EBA" w14:textId="77777777" w:rsidR="007140D1" w:rsidRPr="00577756"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13D30A6" w14:textId="03CD9C68" w:rsidR="007140D1" w:rsidRPr="00577756" w:rsidRDefault="007140D1"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 w:eastAsia="en-IE"/>
        </w:rPr>
      </w:pPr>
      <w:r w:rsidRPr="00577756">
        <w:rPr>
          <w:rFonts w:ascii="Times New Roman" w:eastAsia="Times New Roman" w:hAnsi="Times New Roman" w:cs="Times New Roman"/>
          <w:szCs w:val="20"/>
          <w:lang w:val="fr" w:eastAsia="en-IE"/>
        </w:rPr>
        <w:t xml:space="preserve">Les </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spécifications techniques</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 xml:space="preserve"> doivent faire référence au produit en tant que tel. </w:t>
      </w:r>
      <w:r>
        <w:rPr>
          <w:rFonts w:ascii="Times New Roman" w:eastAsia="Times New Roman" w:hAnsi="Times New Roman" w:cs="Times New Roman"/>
          <w:szCs w:val="20"/>
          <w:lang w:val="fr" w:eastAsia="en-IE"/>
        </w:rPr>
        <w:t>U</w:t>
      </w:r>
      <w:r w:rsidRPr="00577756">
        <w:rPr>
          <w:rFonts w:ascii="Times New Roman" w:eastAsia="Times New Roman" w:hAnsi="Times New Roman" w:cs="Times New Roman"/>
          <w:szCs w:val="20"/>
          <w:lang w:val="fr" w:eastAsia="en-IE"/>
        </w:rPr>
        <w:t xml:space="preserve">n règlement qui fixe les critères permettant de déterminer la date à laquelle un véhicule est réputé avoir été autorisé pour la première fois à circuler sur la voie publique, aux fins de l’établissement d’un certificat d’immatriculation, ne définit aucune caractéristique requise du produit en tant que tel et ne saurait donc être qualifié de </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w:t>
      </w:r>
    </w:p>
    <w:p w14:paraId="33802A4B" w14:textId="77777777" w:rsidR="007140D1" w:rsidRPr="00577756" w:rsidRDefault="007140D1"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 w:eastAsia="en-IE"/>
        </w:rPr>
      </w:pPr>
    </w:p>
    <w:p w14:paraId="56E35EDB" w14:textId="16EBF005" w:rsidR="007140D1"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 w:eastAsia="en-IE"/>
        </w:rPr>
        <w:t>« </w:t>
      </w:r>
      <w:r w:rsidRPr="00577756">
        <w:rPr>
          <w:rFonts w:ascii="Times New Roman" w:eastAsia="Times New Roman" w:hAnsi="Times New Roman" w:cs="Times New Roman"/>
          <w:i/>
          <w:iCs/>
          <w:sz w:val="20"/>
          <w:szCs w:val="16"/>
          <w:lang w:val="fr-BE" w:eastAsia="en-IE"/>
        </w:rPr>
        <w:t xml:space="preserve">37. </w:t>
      </w:r>
      <w:r w:rsidR="00AC368B">
        <w:rPr>
          <w:rFonts w:ascii="Times New Roman" w:eastAsia="Times New Roman" w:hAnsi="Times New Roman" w:cs="Times New Roman"/>
          <w:i/>
          <w:iCs/>
          <w:sz w:val="20"/>
          <w:szCs w:val="16"/>
          <w:lang w:val="fr-BE" w:eastAsia="en-IE"/>
        </w:rPr>
        <w:t>[…]</w:t>
      </w:r>
      <w:r w:rsidRPr="00577756">
        <w:rPr>
          <w:rFonts w:ascii="Times New Roman" w:eastAsia="Times New Roman" w:hAnsi="Times New Roman" w:cs="Times New Roman"/>
          <w:i/>
          <w:iCs/>
          <w:sz w:val="20"/>
          <w:szCs w:val="16"/>
          <w:lang w:val="fr-BE" w:eastAsia="en-IE"/>
        </w:rPr>
        <w:t xml:space="preserve"> des règles qui visent, comme celles en cause au principal, à déterminer la date de la première admission à la circulation d'un véhicule ne constituent pas des spécifications techniques au sens de la directive 83/189 et que, dès lors, elles ne peuvent être qualifiées de règles techniques relevant du champ d'application de cette directive.</w:t>
      </w:r>
    </w:p>
    <w:p w14:paraId="315359B1" w14:textId="77777777" w:rsidR="00AC368B" w:rsidRPr="00577756" w:rsidRDefault="00AC368B"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BBAC8B4" w14:textId="77777777" w:rsidR="007140D1" w:rsidRPr="00577756"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38. En effet, conformément à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de la directive 83/189, est une spécification technique au sens de cette directive, pour ce qui concerne des produits tels ceux en cause au principal, «la spécification qui figure dans un document définissant les caractéristiques requises d'un produit». Les spécifications techniques au sens de la directive 83/189 doivent ainsi se référer au produit en tant que tel, ce qui est par ailleurs confirmé par la liste non exhaustive des spécifications concernées, donnée à titre d'exemple par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de ladite directive.</w:t>
      </w:r>
    </w:p>
    <w:p w14:paraId="77B296BA" w14:textId="77777777" w:rsidR="007140D1" w:rsidRPr="00577756" w:rsidRDefault="007140D1" w:rsidP="00AA4F20">
      <w:pPr>
        <w:widowControl w:val="0"/>
        <w:tabs>
          <w:tab w:val="left" w:pos="403"/>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194D48CC" w14:textId="77777777" w:rsidR="007140D1" w:rsidRPr="00577756"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xml:space="preserve">39. Or, le règlement prévoit des critères pour établir la date à laquelle un véhicule, au sens de la </w:t>
      </w:r>
      <w:proofErr w:type="spellStart"/>
      <w:r w:rsidRPr="00577756">
        <w:rPr>
          <w:rFonts w:ascii="Times New Roman" w:eastAsia="Times New Roman" w:hAnsi="Times New Roman" w:cs="Times New Roman"/>
          <w:i/>
          <w:iCs/>
          <w:sz w:val="20"/>
          <w:szCs w:val="16"/>
          <w:lang w:val="fr-BE" w:eastAsia="en-IE"/>
        </w:rPr>
        <w:t>Wegenverkeerswet</w:t>
      </w:r>
      <w:proofErr w:type="spellEnd"/>
      <w:r w:rsidRPr="00577756">
        <w:rPr>
          <w:rFonts w:ascii="Times New Roman" w:eastAsia="Times New Roman" w:hAnsi="Times New Roman" w:cs="Times New Roman"/>
          <w:i/>
          <w:iCs/>
          <w:sz w:val="20"/>
          <w:szCs w:val="16"/>
          <w:lang w:val="fr-BE" w:eastAsia="en-IE"/>
        </w:rPr>
        <w:t>, est réputé avoir été admis pour la première fois à circuler sur la voie publique, aux fins de l'établissement d'un certificat d'immatriculation. Ce règlement ne définit donc aucune caractéristique requise du produit en tant que tel. »</w:t>
      </w:r>
    </w:p>
    <w:p w14:paraId="3449B244" w14:textId="77777777" w:rsidR="007140D1" w:rsidRDefault="007140D1" w:rsidP="00AA4F20">
      <w:pPr>
        <w:spacing w:after="0" w:line="240" w:lineRule="auto"/>
        <w:rPr>
          <w:lang w:val="fr-BE"/>
        </w:rPr>
      </w:pPr>
    </w:p>
    <w:p w14:paraId="4B91C2A1" w14:textId="082AE533" w:rsidR="007140D1" w:rsidRPr="005777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1" w:history="1">
        <w:r w:rsidR="007140D1" w:rsidRPr="00577756">
          <w:rPr>
            <w:rFonts w:ascii="Times New Roman" w:eastAsia="Times New Roman" w:hAnsi="Times New Roman" w:cs="Times New Roman"/>
            <w:b/>
            <w:i/>
            <w:color w:val="0000FF"/>
            <w:szCs w:val="20"/>
            <w:u w:val="single"/>
            <w:lang w:val="fr" w:eastAsia="en-IE"/>
          </w:rPr>
          <w:t>Arrêt du 16 novembre 2000</w:t>
        </w:r>
      </w:hyperlink>
      <w:r w:rsidR="007140D1" w:rsidRPr="00577756">
        <w:rPr>
          <w:rFonts w:ascii="Times New Roman" w:eastAsia="Times New Roman" w:hAnsi="Times New Roman" w:cs="Times New Roman"/>
          <w:b/>
          <w:i/>
          <w:szCs w:val="20"/>
          <w:lang w:val="fr" w:eastAsia="en-IE"/>
        </w:rPr>
        <w:t xml:space="preserve">, </w:t>
      </w:r>
      <w:proofErr w:type="spellStart"/>
      <w:r w:rsidR="0087132A" w:rsidRPr="00577756">
        <w:rPr>
          <w:rFonts w:ascii="Times New Roman" w:eastAsia="Times New Roman" w:hAnsi="Times New Roman" w:cs="Times New Roman"/>
          <w:b/>
          <w:i/>
          <w:szCs w:val="20"/>
          <w:lang w:val="fr" w:eastAsia="en-IE"/>
        </w:rPr>
        <w:t>Donkersteeg</w:t>
      </w:r>
      <w:proofErr w:type="spellEnd"/>
      <w:r w:rsidR="0087132A" w:rsidRPr="00577756">
        <w:rPr>
          <w:rFonts w:ascii="Times New Roman" w:eastAsia="Times New Roman" w:hAnsi="Times New Roman" w:cs="Times New Roman"/>
          <w:b/>
          <w:i/>
          <w:szCs w:val="20"/>
          <w:lang w:val="fr" w:eastAsia="en-IE"/>
        </w:rPr>
        <w:t xml:space="preserve">, </w:t>
      </w:r>
      <w:r w:rsidR="007140D1" w:rsidRPr="00577756">
        <w:rPr>
          <w:rFonts w:ascii="Times New Roman" w:eastAsia="Times New Roman" w:hAnsi="Times New Roman" w:cs="Times New Roman"/>
          <w:b/>
          <w:i/>
          <w:szCs w:val="20"/>
          <w:lang w:val="fr" w:eastAsia="en-IE"/>
        </w:rPr>
        <w:t>C-37/99, EU:C:2000:636,</w:t>
      </w:r>
      <w:r w:rsidR="007140D1">
        <w:rPr>
          <w:rFonts w:ascii="Times New Roman" w:eastAsia="Times New Roman" w:hAnsi="Times New Roman" w:cs="Times New Roman"/>
          <w:b/>
          <w:i/>
          <w:szCs w:val="20"/>
          <w:lang w:val="fr" w:eastAsia="en-IE"/>
        </w:rPr>
        <w:t xml:space="preserve"> points</w:t>
      </w:r>
      <w:r w:rsidR="007140D1" w:rsidRPr="00577756">
        <w:rPr>
          <w:rFonts w:ascii="Times New Roman" w:eastAsia="Times New Roman" w:hAnsi="Times New Roman" w:cs="Times New Roman"/>
          <w:b/>
          <w:i/>
          <w:szCs w:val="20"/>
          <w:lang w:val="fr" w:eastAsia="en-IE"/>
        </w:rPr>
        <w:t xml:space="preserve"> 3</w:t>
      </w:r>
      <w:r w:rsidR="007140D1">
        <w:rPr>
          <w:rFonts w:ascii="Times New Roman" w:eastAsia="Times New Roman" w:hAnsi="Times New Roman" w:cs="Times New Roman"/>
          <w:b/>
          <w:i/>
          <w:szCs w:val="20"/>
          <w:lang w:val="fr" w:eastAsia="en-IE"/>
        </w:rPr>
        <w:t>0 et 31</w:t>
      </w:r>
    </w:p>
    <w:p w14:paraId="31E47454" w14:textId="77777777" w:rsidR="007140D1" w:rsidRPr="005777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44F8C31" w14:textId="6B4E0EC7" w:rsidR="007140D1" w:rsidRPr="005777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77756">
        <w:rPr>
          <w:rFonts w:ascii="Times New Roman" w:eastAsia="Times New Roman" w:hAnsi="Times New Roman" w:cs="Times New Roman"/>
          <w:szCs w:val="20"/>
          <w:lang w:val="fr" w:eastAsia="en-IE"/>
        </w:rPr>
        <w:t xml:space="preserve">Pour les produits agricoles, est une </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spécification technique</w:t>
      </w:r>
      <w:r w:rsidR="00EE4C2F">
        <w:rPr>
          <w:rFonts w:ascii="Times New Roman" w:eastAsia="Times New Roman" w:hAnsi="Times New Roman" w:cs="Times New Roman"/>
          <w:szCs w:val="20"/>
          <w:lang w:val="fr" w:eastAsia="en-IE"/>
        </w:rPr>
        <w:t> »</w:t>
      </w:r>
      <w:r w:rsidRPr="00577756">
        <w:rPr>
          <w:rFonts w:ascii="Times New Roman" w:eastAsia="Times New Roman" w:hAnsi="Times New Roman" w:cs="Times New Roman"/>
          <w:szCs w:val="20"/>
          <w:lang w:val="fr" w:eastAsia="en-IE"/>
        </w:rPr>
        <w:t xml:space="preserve"> le texte qui définit leurs caractéristiques requises ou leurs méthodes de production</w:t>
      </w:r>
      <w:r>
        <w:rPr>
          <w:rFonts w:ascii="Times New Roman" w:eastAsia="Times New Roman" w:hAnsi="Times New Roman" w:cs="Times New Roman"/>
          <w:szCs w:val="20"/>
          <w:lang w:val="fr" w:eastAsia="en-IE"/>
        </w:rPr>
        <w:t xml:space="preserve">. Une règle établissant des conditions de vaccination du bétail est considérée comme une règle de production et donc comme une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spécification technique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w:t>
      </w:r>
    </w:p>
    <w:p w14:paraId="1AC1E6D4" w14:textId="77777777" w:rsidR="007140D1" w:rsidRPr="005777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1BC1213E" w14:textId="7BF9AE91" w:rsidR="007140D1" w:rsidRPr="005777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xml:space="preserve">« 30. </w:t>
      </w:r>
      <w:r w:rsidR="00AC368B">
        <w:rPr>
          <w:rFonts w:ascii="Times New Roman" w:eastAsia="Times New Roman" w:hAnsi="Times New Roman" w:cs="Times New Roman"/>
          <w:i/>
          <w:iCs/>
          <w:sz w:val="20"/>
          <w:szCs w:val="16"/>
          <w:lang w:val="fr-BE" w:eastAsia="en-IE"/>
        </w:rPr>
        <w:t xml:space="preserve">[…] </w:t>
      </w:r>
      <w:r w:rsidR="00F849FE">
        <w:rPr>
          <w:rFonts w:ascii="Times New Roman" w:eastAsia="Times New Roman" w:hAnsi="Times New Roman" w:cs="Times New Roman"/>
          <w:i/>
          <w:iCs/>
          <w:sz w:val="20"/>
          <w:szCs w:val="16"/>
          <w:lang w:val="fr-BE" w:eastAsia="en-IE"/>
        </w:rPr>
        <w:t xml:space="preserve">conformément </w:t>
      </w:r>
      <w:r w:rsidRPr="00577756">
        <w:rPr>
          <w:rFonts w:ascii="Times New Roman" w:eastAsia="Times New Roman" w:hAnsi="Times New Roman" w:cs="Times New Roman"/>
          <w:i/>
          <w:iCs/>
          <w:sz w:val="20"/>
          <w:szCs w:val="16"/>
          <w:lang w:val="fr-BE" w:eastAsia="en-IE"/>
        </w:rPr>
        <w:t>à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xml:space="preserve">, point 1, de la directive, une «spécification technique» est, en ce qui </w:t>
      </w:r>
      <w:r w:rsidRPr="00577756">
        <w:rPr>
          <w:rFonts w:ascii="Times New Roman" w:eastAsia="Times New Roman" w:hAnsi="Times New Roman" w:cs="Times New Roman"/>
          <w:i/>
          <w:iCs/>
          <w:sz w:val="20"/>
          <w:szCs w:val="16"/>
          <w:lang w:val="fr-BE" w:eastAsia="en-IE"/>
        </w:rPr>
        <w:lastRenderedPageBreak/>
        <w:t>concerne les produits agricoles, la spécification qui figure dans un document définissant les caractéristiques requises du produit ou ses méthodes et procédés de production.</w:t>
      </w:r>
    </w:p>
    <w:p w14:paraId="5B251346" w14:textId="77777777" w:rsidR="007140D1" w:rsidRPr="005777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    </w:t>
      </w:r>
    </w:p>
    <w:p w14:paraId="386156C5" w14:textId="77777777" w:rsidR="007140D1" w:rsidRPr="005777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77756">
        <w:rPr>
          <w:rFonts w:ascii="Times New Roman" w:eastAsia="Times New Roman" w:hAnsi="Times New Roman" w:cs="Times New Roman"/>
          <w:i/>
          <w:iCs/>
          <w:sz w:val="20"/>
          <w:szCs w:val="16"/>
          <w:lang w:val="fr-BE" w:eastAsia="en-IE"/>
        </w:rPr>
        <w:t>31. À cet égard, force est de constater qu'une règle telle que celle qui figure à l'article 2, paragraphe 1, du décret LMA constitue une spécification technique au sens de l'article 1</w:t>
      </w:r>
      <w:r w:rsidRPr="00577756">
        <w:rPr>
          <w:rFonts w:ascii="Times New Roman" w:eastAsia="Times New Roman" w:hAnsi="Times New Roman" w:cs="Times New Roman"/>
          <w:i/>
          <w:iCs/>
          <w:sz w:val="20"/>
          <w:szCs w:val="16"/>
          <w:vertAlign w:val="superscript"/>
          <w:lang w:val="fr-BE" w:eastAsia="en-IE"/>
        </w:rPr>
        <w:t>er</w:t>
      </w:r>
      <w:r w:rsidRPr="00577756">
        <w:rPr>
          <w:rFonts w:ascii="Times New Roman" w:eastAsia="Times New Roman" w:hAnsi="Times New Roman" w:cs="Times New Roman"/>
          <w:i/>
          <w:iCs/>
          <w:sz w:val="20"/>
          <w:szCs w:val="16"/>
          <w:lang w:val="fr-BE" w:eastAsia="en-IE"/>
        </w:rPr>
        <w:t>, point 1, de la directive. En effet, ainsi que le soutient à juste titre la Commission, les règles précises et détaillées en matière de vaccination contre la maladie d'</w:t>
      </w:r>
      <w:proofErr w:type="spellStart"/>
      <w:r w:rsidRPr="00577756">
        <w:rPr>
          <w:rFonts w:ascii="Times New Roman" w:eastAsia="Times New Roman" w:hAnsi="Times New Roman" w:cs="Times New Roman"/>
          <w:i/>
          <w:iCs/>
          <w:sz w:val="20"/>
          <w:szCs w:val="16"/>
          <w:lang w:val="fr-BE" w:eastAsia="en-IE"/>
        </w:rPr>
        <w:t>Aujeszky</w:t>
      </w:r>
      <w:proofErr w:type="spellEnd"/>
      <w:r w:rsidRPr="00577756">
        <w:rPr>
          <w:rFonts w:ascii="Times New Roman" w:eastAsia="Times New Roman" w:hAnsi="Times New Roman" w:cs="Times New Roman"/>
          <w:i/>
          <w:iCs/>
          <w:sz w:val="20"/>
          <w:szCs w:val="16"/>
          <w:lang w:val="fr-BE" w:eastAsia="en-IE"/>
        </w:rPr>
        <w:t xml:space="preserve"> étant liées à la production proprement dite du produit agricole concerné et devant être respectées au cours du cycle de production, ladite règle définit ainsi un «procédé» de la production de ce produit.</w:t>
      </w:r>
      <w:r>
        <w:rPr>
          <w:rFonts w:ascii="Times New Roman" w:eastAsia="Times New Roman" w:hAnsi="Times New Roman" w:cs="Times New Roman"/>
          <w:i/>
          <w:iCs/>
          <w:sz w:val="20"/>
          <w:szCs w:val="16"/>
          <w:lang w:val="fr-BE" w:eastAsia="en-IE"/>
        </w:rPr>
        <w:t> »</w:t>
      </w:r>
    </w:p>
    <w:p w14:paraId="763ADF34" w14:textId="77777777" w:rsidR="007140D1" w:rsidRDefault="007140D1" w:rsidP="00AA4F20">
      <w:pPr>
        <w:spacing w:after="0" w:line="240" w:lineRule="auto"/>
        <w:rPr>
          <w:lang w:val="fr-BE"/>
        </w:rPr>
      </w:pPr>
    </w:p>
    <w:p w14:paraId="6AFAB830" w14:textId="7CBF14B0" w:rsidR="007140D1" w:rsidRPr="007B044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2" w:history="1">
        <w:r w:rsidR="007140D1" w:rsidRPr="007B044C">
          <w:rPr>
            <w:rFonts w:ascii="Times New Roman" w:eastAsia="Times New Roman" w:hAnsi="Times New Roman" w:cs="Times New Roman"/>
            <w:b/>
            <w:i/>
            <w:color w:val="0000FF"/>
            <w:szCs w:val="20"/>
            <w:u w:val="single"/>
            <w:lang w:val="fr" w:eastAsia="en-IE"/>
          </w:rPr>
          <w:t>Arrêt du 8 mars 2001</w:t>
        </w:r>
      </w:hyperlink>
      <w:r w:rsidR="007140D1" w:rsidRPr="007B044C">
        <w:rPr>
          <w:rFonts w:ascii="Times New Roman" w:eastAsia="Times New Roman" w:hAnsi="Times New Roman" w:cs="Times New Roman"/>
          <w:b/>
          <w:i/>
          <w:szCs w:val="20"/>
          <w:lang w:val="fr" w:eastAsia="en-IE"/>
        </w:rPr>
        <w:t xml:space="preserve">, </w:t>
      </w:r>
      <w:r w:rsidR="0087132A" w:rsidRPr="007B044C">
        <w:rPr>
          <w:rFonts w:ascii="Times New Roman" w:eastAsia="Times New Roman" w:hAnsi="Times New Roman" w:cs="Times New Roman"/>
          <w:b/>
          <w:i/>
          <w:szCs w:val="20"/>
          <w:lang w:val="fr" w:eastAsia="en-IE"/>
        </w:rPr>
        <w:t xml:space="preserve">Van der Burg, </w:t>
      </w:r>
      <w:r w:rsidR="007140D1" w:rsidRPr="007B044C">
        <w:rPr>
          <w:rFonts w:ascii="Times New Roman" w:eastAsia="Times New Roman" w:hAnsi="Times New Roman" w:cs="Times New Roman"/>
          <w:b/>
          <w:i/>
          <w:szCs w:val="20"/>
          <w:lang w:val="fr" w:eastAsia="en-IE"/>
        </w:rPr>
        <w:t>C-278/99, EU:C:2001:143, point 20</w:t>
      </w:r>
    </w:p>
    <w:p w14:paraId="2F78EB85" w14:textId="77777777" w:rsidR="007140D1" w:rsidRPr="007B044C"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4CF01E50" w14:textId="4A5AE3B8" w:rsidR="007140D1" w:rsidRPr="007B044C" w:rsidRDefault="007140D1" w:rsidP="00AA4F20">
      <w:pPr>
        <w:widowControl w:val="0"/>
        <w:tabs>
          <w:tab w:val="left" w:pos="461"/>
        </w:tabs>
        <w:autoSpaceDE w:val="0"/>
        <w:autoSpaceDN w:val="0"/>
        <w:spacing w:after="0" w:line="240" w:lineRule="auto"/>
        <w:jc w:val="both"/>
        <w:rPr>
          <w:rFonts w:ascii="Times New Roman" w:eastAsia="Times New Roman" w:hAnsi="Times New Roman" w:cs="Times New Roman"/>
          <w:szCs w:val="20"/>
          <w:lang w:val="fr" w:eastAsia="en-IE"/>
        </w:rPr>
      </w:pPr>
      <w:r w:rsidRPr="007B044C">
        <w:rPr>
          <w:rFonts w:ascii="Times New Roman" w:eastAsia="Times New Roman" w:hAnsi="Times New Roman" w:cs="Times New Roman"/>
          <w:szCs w:val="20"/>
          <w:lang w:val="fr" w:eastAsia="en-IE"/>
        </w:rPr>
        <w:t xml:space="preserve">Un règlement qui se borne à interdire la publicité commerciale </w:t>
      </w:r>
      <w:r w:rsidR="00DA7543">
        <w:rPr>
          <w:rFonts w:ascii="Times New Roman" w:eastAsia="Times New Roman" w:hAnsi="Times New Roman" w:cs="Times New Roman"/>
          <w:szCs w:val="20"/>
          <w:lang w:val="fr" w:eastAsia="en-IE"/>
        </w:rPr>
        <w:t>d’un produit mais ne fixant pas</w:t>
      </w:r>
      <w:r w:rsidRPr="007B044C">
        <w:rPr>
          <w:rFonts w:ascii="Times New Roman" w:eastAsia="Times New Roman" w:hAnsi="Times New Roman" w:cs="Times New Roman"/>
          <w:szCs w:val="20"/>
          <w:lang w:val="fr" w:eastAsia="en-IE"/>
        </w:rPr>
        <w:t xml:space="preserve"> les caractéristiques requises d</w:t>
      </w:r>
      <w:r w:rsidR="00DA7543">
        <w:rPr>
          <w:rFonts w:ascii="Times New Roman" w:eastAsia="Times New Roman" w:hAnsi="Times New Roman" w:cs="Times New Roman"/>
          <w:szCs w:val="20"/>
          <w:lang w:val="fr" w:eastAsia="en-IE"/>
        </w:rPr>
        <w:t xml:space="preserve">e ce </w:t>
      </w:r>
      <w:r w:rsidRPr="007B044C">
        <w:rPr>
          <w:rFonts w:ascii="Times New Roman" w:eastAsia="Times New Roman" w:hAnsi="Times New Roman" w:cs="Times New Roman"/>
          <w:szCs w:val="20"/>
          <w:lang w:val="fr" w:eastAsia="en-IE"/>
        </w:rPr>
        <w:t xml:space="preserve">produit ne constitue pas une </w:t>
      </w:r>
      <w:r w:rsidR="00EE4C2F">
        <w:rPr>
          <w:rFonts w:ascii="Times New Roman" w:eastAsia="Times New Roman" w:hAnsi="Times New Roman" w:cs="Times New Roman"/>
          <w:szCs w:val="20"/>
          <w:lang w:val="fr" w:eastAsia="en-IE"/>
        </w:rPr>
        <w:t>« </w:t>
      </w:r>
      <w:r w:rsidRPr="007B044C">
        <w:rPr>
          <w:rFonts w:ascii="Times New Roman" w:eastAsia="Times New Roman" w:hAnsi="Times New Roman" w:cs="Times New Roman"/>
          <w:szCs w:val="20"/>
          <w:lang w:val="fr" w:eastAsia="en-IE"/>
        </w:rPr>
        <w:t>spécification technique</w:t>
      </w:r>
      <w:r w:rsidR="00EE4C2F">
        <w:rPr>
          <w:rFonts w:ascii="Times New Roman" w:eastAsia="Times New Roman" w:hAnsi="Times New Roman" w:cs="Times New Roman"/>
          <w:szCs w:val="20"/>
          <w:lang w:val="fr" w:eastAsia="en-IE"/>
        </w:rPr>
        <w:t> »</w:t>
      </w:r>
      <w:r w:rsidRPr="007B044C">
        <w:rPr>
          <w:rFonts w:ascii="Times New Roman" w:eastAsia="Times New Roman" w:hAnsi="Times New Roman" w:cs="Times New Roman"/>
          <w:szCs w:val="20"/>
          <w:lang w:val="fr" w:eastAsia="en-IE"/>
        </w:rPr>
        <w:t xml:space="preserve"> et ne saurait donc être considéré comme une </w:t>
      </w:r>
      <w:r w:rsidR="00EE4C2F">
        <w:rPr>
          <w:rFonts w:ascii="Times New Roman" w:eastAsia="Times New Roman" w:hAnsi="Times New Roman" w:cs="Times New Roman"/>
          <w:szCs w:val="20"/>
          <w:lang w:val="fr" w:eastAsia="en-IE"/>
        </w:rPr>
        <w:t>« </w:t>
      </w:r>
      <w:r w:rsidRPr="007B044C">
        <w:rPr>
          <w:rFonts w:ascii="Times New Roman" w:eastAsia="Times New Roman" w:hAnsi="Times New Roman" w:cs="Times New Roman"/>
          <w:szCs w:val="20"/>
          <w:lang w:val="fr" w:eastAsia="en-IE"/>
        </w:rPr>
        <w:t>règle technique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w:t>
      </w:r>
    </w:p>
    <w:p w14:paraId="32C7CA77" w14:textId="77777777" w:rsidR="007140D1" w:rsidRPr="007B044C" w:rsidRDefault="007140D1" w:rsidP="00AA4F20">
      <w:pPr>
        <w:widowControl w:val="0"/>
        <w:tabs>
          <w:tab w:val="left" w:pos="461"/>
        </w:tabs>
        <w:autoSpaceDE w:val="0"/>
        <w:autoSpaceDN w:val="0"/>
        <w:spacing w:after="0" w:line="240" w:lineRule="auto"/>
        <w:jc w:val="both"/>
        <w:rPr>
          <w:rFonts w:ascii="Times New Roman" w:eastAsia="Times New Roman" w:hAnsi="Times New Roman" w:cs="Times New Roman"/>
          <w:szCs w:val="20"/>
          <w:lang w:val="fr" w:eastAsia="en-IE"/>
        </w:rPr>
      </w:pPr>
    </w:p>
    <w:p w14:paraId="35AF042F" w14:textId="20B79DB2" w:rsidR="007140D1" w:rsidRPr="007B044C" w:rsidRDefault="007140D1" w:rsidP="00AA4F20">
      <w:pPr>
        <w:widowControl w:val="0"/>
        <w:tabs>
          <w:tab w:val="left" w:pos="461"/>
        </w:tabs>
        <w:autoSpaceDE w:val="0"/>
        <w:autoSpaceDN w:val="0"/>
        <w:spacing w:after="0" w:line="240" w:lineRule="auto"/>
        <w:ind w:left="567"/>
        <w:jc w:val="both"/>
        <w:rPr>
          <w:rFonts w:ascii="Times New Roman" w:eastAsia="Times New Roman" w:hAnsi="Times New Roman" w:cs="Times New Roman"/>
          <w:szCs w:val="20"/>
          <w:lang w:val="fr-BE" w:eastAsia="en-IE"/>
        </w:rPr>
      </w:pPr>
      <w:r w:rsidRPr="007B044C">
        <w:rPr>
          <w:rFonts w:ascii="Times New Roman" w:eastAsia="Times New Roman" w:hAnsi="Times New Roman" w:cs="Times New Roman"/>
          <w:szCs w:val="20"/>
          <w:lang w:val="fr" w:eastAsia="en-IE"/>
        </w:rPr>
        <w:t>« </w:t>
      </w:r>
      <w:r w:rsidRPr="007B044C">
        <w:rPr>
          <w:rFonts w:ascii="Times New Roman" w:eastAsia="Times New Roman" w:hAnsi="Times New Roman" w:cs="Times New Roman"/>
          <w:i/>
          <w:iCs/>
          <w:sz w:val="20"/>
          <w:szCs w:val="16"/>
          <w:lang w:val="fr-BE" w:eastAsia="en-IE"/>
        </w:rPr>
        <w:t xml:space="preserve">20. </w:t>
      </w:r>
      <w:r w:rsidR="00AC368B">
        <w:rPr>
          <w:rFonts w:ascii="Times New Roman" w:eastAsia="Times New Roman" w:hAnsi="Times New Roman" w:cs="Times New Roman"/>
          <w:i/>
          <w:iCs/>
          <w:sz w:val="20"/>
          <w:szCs w:val="16"/>
          <w:lang w:val="fr-BE" w:eastAsia="en-IE"/>
        </w:rPr>
        <w:t xml:space="preserve">[…] </w:t>
      </w:r>
      <w:r w:rsidRPr="007B044C">
        <w:rPr>
          <w:rFonts w:ascii="Times New Roman" w:eastAsia="Times New Roman" w:hAnsi="Times New Roman" w:cs="Times New Roman"/>
          <w:i/>
          <w:iCs/>
          <w:sz w:val="20"/>
          <w:szCs w:val="16"/>
          <w:lang w:val="fr-BE" w:eastAsia="en-IE"/>
        </w:rPr>
        <w:t>conformément à l'article 1</w:t>
      </w:r>
      <w:r w:rsidRPr="007B044C">
        <w:rPr>
          <w:rFonts w:ascii="Times New Roman" w:eastAsia="Times New Roman" w:hAnsi="Times New Roman" w:cs="Times New Roman"/>
          <w:i/>
          <w:iCs/>
          <w:sz w:val="20"/>
          <w:szCs w:val="16"/>
          <w:vertAlign w:val="superscript"/>
          <w:lang w:val="fr-BE" w:eastAsia="en-IE"/>
        </w:rPr>
        <w:t>er</w:t>
      </w:r>
      <w:r w:rsidRPr="007B044C">
        <w:rPr>
          <w:rFonts w:ascii="Times New Roman" w:eastAsia="Times New Roman" w:hAnsi="Times New Roman" w:cs="Times New Roman"/>
          <w:i/>
          <w:iCs/>
          <w:sz w:val="20"/>
          <w:szCs w:val="16"/>
          <w:lang w:val="fr-BE" w:eastAsia="en-IE"/>
        </w:rPr>
        <w:t xml:space="preserve">, point 1, de la directive 83/189, est une spécification technique au sens de cette directive «la spécification qui figure dans un document définissant les caractéristiques requises d'un produit». Les spécifications techniques au sens de la directive 83/189 doivent ainsi se référer au produit en tant que tel (voir arrêt du 12 octobre 2000, </w:t>
      </w:r>
      <w:proofErr w:type="spellStart"/>
      <w:r w:rsidRPr="007B044C">
        <w:rPr>
          <w:rFonts w:ascii="Times New Roman" w:eastAsia="Times New Roman" w:hAnsi="Times New Roman" w:cs="Times New Roman"/>
          <w:i/>
          <w:iCs/>
          <w:sz w:val="20"/>
          <w:szCs w:val="16"/>
          <w:lang w:val="fr-BE" w:eastAsia="en-IE"/>
        </w:rPr>
        <w:t>Snellers</w:t>
      </w:r>
      <w:proofErr w:type="spellEnd"/>
      <w:r w:rsidRPr="007B044C">
        <w:rPr>
          <w:rFonts w:ascii="Times New Roman" w:eastAsia="Times New Roman" w:hAnsi="Times New Roman" w:cs="Times New Roman"/>
          <w:i/>
          <w:iCs/>
          <w:sz w:val="20"/>
          <w:szCs w:val="16"/>
          <w:lang w:val="fr-BE" w:eastAsia="en-IE"/>
        </w:rPr>
        <w:t>, C-314/98, non encore publié au Recueil, point 38). Or, une réglementation, telle que l'article C.11.1, paragraphe 1, de l'arrêté, qui se limite à prohiber un mode de commercialisation ne fixe pas les caractéristiques requises d'un produit.</w:t>
      </w:r>
      <w:r w:rsidRPr="007B044C">
        <w:rPr>
          <w:rFonts w:ascii="Times New Roman" w:eastAsia="Times New Roman" w:hAnsi="Times New Roman" w:cs="Times New Roman"/>
          <w:sz w:val="20"/>
          <w:szCs w:val="16"/>
          <w:lang w:val="fr-BE" w:eastAsia="en-IE"/>
        </w:rPr>
        <w:t> </w:t>
      </w:r>
      <w:r w:rsidRPr="007B044C">
        <w:rPr>
          <w:rFonts w:ascii="Times New Roman" w:eastAsia="Times New Roman" w:hAnsi="Times New Roman" w:cs="Times New Roman"/>
          <w:szCs w:val="20"/>
          <w:lang w:val="fr-BE" w:eastAsia="en-IE"/>
        </w:rPr>
        <w:t>»</w:t>
      </w:r>
    </w:p>
    <w:p w14:paraId="33B2BC9E" w14:textId="77777777" w:rsidR="007140D1" w:rsidRDefault="007140D1" w:rsidP="00AA4F20">
      <w:pPr>
        <w:spacing w:after="0" w:line="240" w:lineRule="auto"/>
        <w:rPr>
          <w:lang w:val="fr-BE"/>
        </w:rPr>
      </w:pPr>
    </w:p>
    <w:p w14:paraId="6A74C84D" w14:textId="59CB4537" w:rsidR="007140D1" w:rsidRPr="007B044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3" w:history="1">
        <w:r w:rsidR="007140D1" w:rsidRPr="007B044C">
          <w:rPr>
            <w:rFonts w:ascii="Times New Roman" w:eastAsia="Times New Roman" w:hAnsi="Times New Roman" w:cs="Times New Roman"/>
            <w:b/>
            <w:i/>
            <w:color w:val="0000FF"/>
            <w:szCs w:val="20"/>
            <w:u w:val="single"/>
            <w:lang w:val="fr" w:eastAsia="en-IE"/>
          </w:rPr>
          <w:t>Arrêt du 6 juin 2002</w:t>
        </w:r>
      </w:hyperlink>
      <w:r w:rsidR="007140D1" w:rsidRPr="007B044C">
        <w:rPr>
          <w:rFonts w:ascii="Times New Roman" w:eastAsia="Times New Roman" w:hAnsi="Times New Roman" w:cs="Times New Roman"/>
          <w:b/>
          <w:i/>
          <w:szCs w:val="20"/>
          <w:lang w:val="fr" w:eastAsia="en-IE"/>
        </w:rPr>
        <w:t xml:space="preserve">, </w:t>
      </w:r>
      <w:proofErr w:type="spellStart"/>
      <w:r w:rsidR="0087132A" w:rsidRPr="007B044C">
        <w:rPr>
          <w:rFonts w:ascii="Times New Roman" w:eastAsia="Times New Roman" w:hAnsi="Times New Roman" w:cs="Times New Roman"/>
          <w:b/>
          <w:i/>
          <w:szCs w:val="20"/>
          <w:lang w:val="fr" w:eastAsia="en-IE"/>
        </w:rPr>
        <w:t>Sapod</w:t>
      </w:r>
      <w:proofErr w:type="spellEnd"/>
      <w:r w:rsidR="0087132A" w:rsidRPr="007B044C">
        <w:rPr>
          <w:rFonts w:ascii="Times New Roman" w:eastAsia="Times New Roman" w:hAnsi="Times New Roman" w:cs="Times New Roman"/>
          <w:b/>
          <w:i/>
          <w:szCs w:val="20"/>
          <w:lang w:val="fr" w:eastAsia="en-IE"/>
        </w:rPr>
        <w:t xml:space="preserve"> </w:t>
      </w:r>
      <w:proofErr w:type="spellStart"/>
      <w:r w:rsidR="0087132A" w:rsidRPr="007B044C">
        <w:rPr>
          <w:rFonts w:ascii="Times New Roman" w:eastAsia="Times New Roman" w:hAnsi="Times New Roman" w:cs="Times New Roman"/>
          <w:b/>
          <w:i/>
          <w:szCs w:val="20"/>
          <w:lang w:val="fr" w:eastAsia="en-IE"/>
        </w:rPr>
        <w:t>Audic</w:t>
      </w:r>
      <w:proofErr w:type="spellEnd"/>
      <w:r w:rsidR="0087132A" w:rsidRPr="007B044C">
        <w:rPr>
          <w:rFonts w:ascii="Times New Roman" w:eastAsia="Times New Roman" w:hAnsi="Times New Roman" w:cs="Times New Roman"/>
          <w:b/>
          <w:i/>
          <w:szCs w:val="20"/>
          <w:lang w:val="fr" w:eastAsia="en-IE"/>
        </w:rPr>
        <w:t xml:space="preserve">, </w:t>
      </w:r>
      <w:r w:rsidR="007140D1" w:rsidRPr="007B044C">
        <w:rPr>
          <w:rFonts w:ascii="Times New Roman" w:eastAsia="Times New Roman" w:hAnsi="Times New Roman" w:cs="Times New Roman"/>
          <w:b/>
          <w:i/>
          <w:szCs w:val="20"/>
          <w:lang w:val="fr" w:eastAsia="en-IE"/>
        </w:rPr>
        <w:t>C-159/00, EU:C:2002:343, points 30 à 33</w:t>
      </w:r>
    </w:p>
    <w:p w14:paraId="1D353360" w14:textId="77777777" w:rsidR="007140D1" w:rsidRPr="007B044C"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1D00B7F4" w14:textId="4BA0806F" w:rsidR="007140D1" w:rsidRPr="007B044C" w:rsidRDefault="007140D1" w:rsidP="00AA4F20">
      <w:pPr>
        <w:widowControl w:val="0"/>
        <w:tabs>
          <w:tab w:val="left" w:pos="443"/>
        </w:tabs>
        <w:autoSpaceDE w:val="0"/>
        <w:autoSpaceDN w:val="0"/>
        <w:spacing w:after="0" w:line="240" w:lineRule="auto"/>
        <w:jc w:val="both"/>
        <w:rPr>
          <w:rFonts w:ascii="Times New Roman" w:eastAsia="Times New Roman" w:hAnsi="Times New Roman" w:cs="Times New Roman"/>
          <w:szCs w:val="20"/>
          <w:lang w:val="fr" w:eastAsia="en-IE"/>
        </w:rPr>
      </w:pPr>
      <w:r w:rsidRPr="007B044C">
        <w:rPr>
          <w:rFonts w:ascii="Times New Roman" w:eastAsia="Times New Roman" w:hAnsi="Times New Roman" w:cs="Times New Roman"/>
          <w:szCs w:val="20"/>
          <w:lang w:val="fr" w:eastAsia="en-IE"/>
        </w:rPr>
        <w:t xml:space="preserve">Une disposition de droit national prévoyant une obligation d’identification d’un emballage constitue une </w:t>
      </w:r>
      <w:r w:rsidR="008224AE">
        <w:rPr>
          <w:rFonts w:ascii="Times New Roman" w:eastAsia="Times New Roman" w:hAnsi="Times New Roman" w:cs="Times New Roman"/>
          <w:szCs w:val="20"/>
          <w:lang w:val="fr" w:eastAsia="en-IE"/>
        </w:rPr>
        <w:t>« </w:t>
      </w:r>
      <w:r w:rsidRPr="007B044C">
        <w:rPr>
          <w:rFonts w:ascii="Times New Roman" w:eastAsia="Times New Roman" w:hAnsi="Times New Roman" w:cs="Times New Roman"/>
          <w:szCs w:val="20"/>
          <w:lang w:val="fr" w:eastAsia="en-IE"/>
        </w:rPr>
        <w:t>règle technique</w:t>
      </w:r>
      <w:r w:rsidR="008224AE">
        <w:rPr>
          <w:rFonts w:ascii="Times New Roman" w:eastAsia="Times New Roman" w:hAnsi="Times New Roman" w:cs="Times New Roman"/>
          <w:szCs w:val="20"/>
          <w:lang w:val="fr" w:eastAsia="en-IE"/>
        </w:rPr>
        <w:t> »</w:t>
      </w:r>
      <w:r w:rsidRPr="007B044C">
        <w:rPr>
          <w:rFonts w:ascii="Times New Roman" w:eastAsia="Times New Roman" w:hAnsi="Times New Roman" w:cs="Times New Roman"/>
          <w:szCs w:val="20"/>
          <w:lang w:val="fr" w:eastAsia="en-IE"/>
        </w:rPr>
        <w:t xml:space="preserve"> à notifier dans la mesure où elle implique une obligation de marquage ou d’étiquetage de cet emballage.</w:t>
      </w:r>
    </w:p>
    <w:p w14:paraId="3F9DC975" w14:textId="77777777" w:rsidR="007140D1" w:rsidRPr="007B044C" w:rsidRDefault="007140D1" w:rsidP="00AA4F20">
      <w:pPr>
        <w:widowControl w:val="0"/>
        <w:tabs>
          <w:tab w:val="left" w:pos="443"/>
        </w:tabs>
        <w:autoSpaceDE w:val="0"/>
        <w:autoSpaceDN w:val="0"/>
        <w:spacing w:after="0" w:line="240" w:lineRule="auto"/>
        <w:jc w:val="both"/>
        <w:rPr>
          <w:rFonts w:ascii="Times New Roman" w:eastAsia="Times New Roman" w:hAnsi="Times New Roman" w:cs="Times New Roman"/>
          <w:szCs w:val="20"/>
          <w:lang w:val="fr" w:eastAsia="en-IE"/>
        </w:rPr>
      </w:pPr>
    </w:p>
    <w:p w14:paraId="234661BA"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 w:eastAsia="en-IE"/>
        </w:rPr>
        <w:t>« </w:t>
      </w:r>
      <w:r w:rsidRPr="007B044C">
        <w:rPr>
          <w:rFonts w:ascii="Times New Roman" w:eastAsia="Times New Roman" w:hAnsi="Times New Roman" w:cs="Times New Roman"/>
          <w:i/>
          <w:iCs/>
          <w:sz w:val="20"/>
          <w:szCs w:val="16"/>
          <w:lang w:val="fr-BE" w:eastAsia="en-IE"/>
        </w:rPr>
        <w:t>30. Ainsi, l'obligation d'identification des emballages prévue à l'article 4, second alinéa, du décret n° 92-377, dans la mesure où elle ne semble pas entraîner une obligation de marquage ou d'étiquetage de ces emballages, ne paraît pas nécessairement se référer au produit ou à son emballage en tant que tels. Interprétée de la sorte, cette disposition ne fixe dès lors pas les caractéristiques requises d'un produit au sens de l'article 1</w:t>
      </w:r>
      <w:r w:rsidRPr="007B044C">
        <w:rPr>
          <w:rFonts w:ascii="Times New Roman" w:eastAsia="Times New Roman" w:hAnsi="Times New Roman" w:cs="Times New Roman"/>
          <w:i/>
          <w:iCs/>
          <w:sz w:val="20"/>
          <w:szCs w:val="16"/>
          <w:vertAlign w:val="superscript"/>
          <w:lang w:val="fr-BE" w:eastAsia="en-IE"/>
        </w:rPr>
        <w:t>er</w:t>
      </w:r>
      <w:r w:rsidRPr="007B044C">
        <w:rPr>
          <w:rFonts w:ascii="Times New Roman" w:eastAsia="Times New Roman" w:hAnsi="Times New Roman" w:cs="Times New Roman"/>
          <w:i/>
          <w:iCs/>
          <w:sz w:val="20"/>
          <w:szCs w:val="16"/>
          <w:lang w:val="fr-BE" w:eastAsia="en-IE"/>
        </w:rPr>
        <w:t>, point 1, de la directive 83/189 et, partant, ne saurait être qualifiée de spécification technique (voir, notamment, arrêt du 8 mars 2001, Van der Burg, C-278/99, Rec. p. I-2015, point 20).</w:t>
      </w:r>
    </w:p>
    <w:p w14:paraId="5E1FD657"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66EA32C"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BE" w:eastAsia="en-IE"/>
        </w:rPr>
        <w:t>31. Toutefois, il y a lieu de relever que, dans le cadre de la répartition des compétences prévues à l'article 234 CE, c'est à la juridiction de renvoi qu'il incombe d'interpréter le droit national, en l'occurrence l'article 4, second alinéa, du décret n° 92-377.</w:t>
      </w:r>
    </w:p>
    <w:p w14:paraId="5D76811C"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643FCDE"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BE" w:eastAsia="en-IE"/>
        </w:rPr>
        <w:t>32. Il convient dès lors d'envisager également l'hypothèse où, eu égard à l'ensemble des éléments de fait et de droit dont elle a connaissance, la juridiction de renvoi arriverait à la conclusion que l'article 4, second alinéa, du décret n° 92-377 doit être interprété en ce sens qu'il impose aux producteurs une obligation de marquage ou d'étiquetage, bien qu'il ne précise pas quel signe doit être apposé.</w:t>
      </w:r>
    </w:p>
    <w:p w14:paraId="1948A77E"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34E5442" w14:textId="77777777" w:rsidR="007140D1" w:rsidRPr="007B044C" w:rsidRDefault="007140D1" w:rsidP="00AA4F20">
      <w:pPr>
        <w:widowControl w:val="0"/>
        <w:tabs>
          <w:tab w:val="left" w:pos="44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BE" w:eastAsia="en-IE"/>
        </w:rPr>
        <w:t>33. Dans cette hypothèse, force serait de constater qu'il s'agit effectivement d'une spécification technique au sens de la directive 83/189 et donc, l'obligation étant imposée par décret pour la commercialisation de produits dans des emballages sur tout le territoire national, d'une règle technique. »</w:t>
      </w:r>
    </w:p>
    <w:p w14:paraId="6B3BA6A4" w14:textId="77777777" w:rsidR="007140D1" w:rsidRDefault="007140D1" w:rsidP="00AA4F20">
      <w:pPr>
        <w:spacing w:after="0" w:line="240" w:lineRule="auto"/>
        <w:rPr>
          <w:lang w:val="fr-BE"/>
        </w:rPr>
      </w:pPr>
    </w:p>
    <w:p w14:paraId="6C2C5463" w14:textId="59F653B1" w:rsidR="00644D71" w:rsidRPr="00EE5EBC" w:rsidRDefault="00B3389F" w:rsidP="00644D71">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24" w:history="1">
        <w:r w:rsidR="00644D71" w:rsidRPr="00EE5EBC">
          <w:rPr>
            <w:rFonts w:ascii="Times New Roman" w:eastAsia="Times New Roman" w:hAnsi="Times New Roman" w:cs="Times New Roman"/>
            <w:b/>
            <w:i/>
            <w:color w:val="0000FF"/>
            <w:szCs w:val="20"/>
            <w:u w:val="single"/>
            <w:lang w:val="fr-FR" w:eastAsia="en-IE"/>
          </w:rPr>
          <w:t>Arrêt du 8 septembre 2005</w:t>
        </w:r>
      </w:hyperlink>
      <w:r w:rsidR="00644D71" w:rsidRPr="00EE5EBC">
        <w:rPr>
          <w:rFonts w:ascii="Times New Roman" w:eastAsia="Times New Roman" w:hAnsi="Times New Roman" w:cs="Times New Roman"/>
          <w:b/>
          <w:i/>
          <w:szCs w:val="20"/>
          <w:lang w:val="fr-FR" w:eastAsia="en-IE"/>
        </w:rPr>
        <w:t xml:space="preserve">, </w:t>
      </w:r>
      <w:r w:rsidR="0087132A" w:rsidRPr="00EE5EBC">
        <w:rPr>
          <w:rFonts w:ascii="Times New Roman" w:eastAsia="Times New Roman" w:hAnsi="Times New Roman" w:cs="Times New Roman"/>
          <w:b/>
          <w:i/>
          <w:szCs w:val="20"/>
          <w:lang w:val="fr-FR" w:eastAsia="en-IE"/>
        </w:rPr>
        <w:t xml:space="preserve">Commission/Portugal, </w:t>
      </w:r>
      <w:r w:rsidR="00644D71" w:rsidRPr="00EE5EBC">
        <w:rPr>
          <w:rFonts w:ascii="Times New Roman" w:eastAsia="Times New Roman" w:hAnsi="Times New Roman" w:cs="Times New Roman"/>
          <w:b/>
          <w:i/>
          <w:szCs w:val="20"/>
          <w:lang w:val="fr-FR" w:eastAsia="en-IE"/>
        </w:rPr>
        <w:t>C-500/03, EU:C:2005:515, point</w:t>
      </w:r>
      <w:r w:rsidR="00644D71">
        <w:rPr>
          <w:rFonts w:ascii="Times New Roman" w:eastAsia="Times New Roman" w:hAnsi="Times New Roman" w:cs="Times New Roman"/>
          <w:b/>
          <w:i/>
          <w:szCs w:val="20"/>
          <w:lang w:val="fr-FR" w:eastAsia="en-IE"/>
        </w:rPr>
        <w:t xml:space="preserve"> 30</w:t>
      </w:r>
    </w:p>
    <w:p w14:paraId="7BAE47F5" w14:textId="77777777" w:rsidR="00644D71" w:rsidRPr="00EE5EBC" w:rsidRDefault="00644D71" w:rsidP="00644D71">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680B74B8" w14:textId="3748AABF" w:rsidR="00644D71" w:rsidRPr="00EE5EBC" w:rsidRDefault="00644D71" w:rsidP="00644D71">
      <w:pPr>
        <w:widowControl w:val="0"/>
        <w:tabs>
          <w:tab w:val="left" w:pos="467"/>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 xml:space="preserve">Constitue une « spécification technique » la règle établissant </w:t>
      </w:r>
      <w:r w:rsidR="00DA7543">
        <w:rPr>
          <w:rFonts w:ascii="Times New Roman" w:eastAsia="Times New Roman" w:hAnsi="Times New Roman" w:cs="Times New Roman"/>
          <w:szCs w:val="20"/>
          <w:lang w:val="fr-FR" w:eastAsia="en-IE"/>
        </w:rPr>
        <w:t>une</w:t>
      </w:r>
      <w:r>
        <w:rPr>
          <w:rFonts w:ascii="Times New Roman" w:eastAsia="Times New Roman" w:hAnsi="Times New Roman" w:cs="Times New Roman"/>
          <w:szCs w:val="20"/>
          <w:lang w:val="fr-FR" w:eastAsia="en-IE"/>
        </w:rPr>
        <w:t xml:space="preserve"> longueur et </w:t>
      </w:r>
      <w:r w:rsidR="00DA7543">
        <w:rPr>
          <w:rFonts w:ascii="Times New Roman" w:eastAsia="Times New Roman" w:hAnsi="Times New Roman" w:cs="Times New Roman"/>
          <w:szCs w:val="20"/>
          <w:lang w:val="fr-FR" w:eastAsia="en-IE"/>
        </w:rPr>
        <w:t xml:space="preserve">une </w:t>
      </w:r>
      <w:r>
        <w:rPr>
          <w:rFonts w:ascii="Times New Roman" w:eastAsia="Times New Roman" w:hAnsi="Times New Roman" w:cs="Times New Roman"/>
          <w:szCs w:val="20"/>
          <w:lang w:val="fr-FR" w:eastAsia="en-IE"/>
        </w:rPr>
        <w:t xml:space="preserve">hauteur maximales </w:t>
      </w:r>
      <w:r w:rsidR="0023316E">
        <w:rPr>
          <w:rFonts w:ascii="Times New Roman" w:eastAsia="Times New Roman" w:hAnsi="Times New Roman" w:cs="Times New Roman"/>
          <w:szCs w:val="20"/>
          <w:lang w:val="fr-FR" w:eastAsia="en-IE"/>
        </w:rPr>
        <w:t xml:space="preserve">de bateaux de plaisance et en limitant </w:t>
      </w:r>
      <w:r>
        <w:rPr>
          <w:rFonts w:ascii="Times New Roman" w:eastAsia="Times New Roman" w:hAnsi="Times New Roman" w:cs="Times New Roman"/>
          <w:szCs w:val="20"/>
          <w:lang w:val="fr-FR" w:eastAsia="en-IE"/>
        </w:rPr>
        <w:t>la puissance de propulsion</w:t>
      </w:r>
      <w:r w:rsidR="0023316E">
        <w:rPr>
          <w:rFonts w:ascii="Times New Roman" w:eastAsia="Times New Roman" w:hAnsi="Times New Roman" w:cs="Times New Roman"/>
          <w:szCs w:val="20"/>
          <w:lang w:val="fr-FR" w:eastAsia="en-IE"/>
        </w:rPr>
        <w:t>.</w:t>
      </w:r>
    </w:p>
    <w:p w14:paraId="1A899448" w14:textId="77777777" w:rsidR="00644D71" w:rsidRPr="00EE5EBC" w:rsidRDefault="00644D71" w:rsidP="00644D71">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lang w:val="fr-FR" w:eastAsia="en-IE"/>
        </w:rPr>
      </w:pPr>
    </w:p>
    <w:p w14:paraId="01FFCC54" w14:textId="17680F23" w:rsidR="00644D71" w:rsidRPr="00644D71" w:rsidRDefault="00644D71" w:rsidP="00644D71">
      <w:pPr>
        <w:spacing w:after="0" w:line="240" w:lineRule="auto"/>
        <w:ind w:left="567"/>
        <w:jc w:val="both"/>
        <w:rPr>
          <w:lang w:val="fr-BE"/>
        </w:rPr>
      </w:pPr>
      <w:r w:rsidRPr="00EE5EBC">
        <w:rPr>
          <w:rFonts w:ascii="Times New Roman" w:eastAsia="Times New Roman" w:hAnsi="Times New Roman" w:cs="Times New Roman"/>
          <w:i/>
          <w:iCs/>
          <w:sz w:val="20"/>
          <w:szCs w:val="16"/>
          <w:lang w:val="fr-FR" w:eastAsia="en-IE"/>
        </w:rPr>
        <w:t>« </w:t>
      </w:r>
      <w:r>
        <w:rPr>
          <w:rFonts w:ascii="Times New Roman" w:eastAsia="Times New Roman" w:hAnsi="Times New Roman" w:cs="Times New Roman"/>
          <w:i/>
          <w:iCs/>
          <w:sz w:val="20"/>
          <w:szCs w:val="16"/>
          <w:lang w:val="fr-BE" w:eastAsia="en-IE"/>
        </w:rPr>
        <w:t>30</w:t>
      </w:r>
      <w:r w:rsidR="00116D32">
        <w:rPr>
          <w:rFonts w:ascii="Times New Roman" w:eastAsia="Times New Roman" w:hAnsi="Times New Roman" w:cs="Times New Roman"/>
          <w:i/>
          <w:iCs/>
          <w:sz w:val="20"/>
          <w:szCs w:val="16"/>
          <w:lang w:val="fr-BE" w:eastAsia="en-IE"/>
        </w:rPr>
        <w:t>.</w:t>
      </w:r>
      <w:r w:rsidRPr="00644D71">
        <w:rPr>
          <w:rFonts w:ascii="Times New Roman" w:eastAsia="Times New Roman" w:hAnsi="Times New Roman" w:cs="Times New Roman"/>
          <w:i/>
          <w:iCs/>
          <w:sz w:val="20"/>
          <w:szCs w:val="16"/>
          <w:lang w:val="fr-BE" w:eastAsia="en-IE"/>
        </w:rPr>
        <w:t>  Il résulte du libellé de l’article 2, paragraphe 1, de ce règlement que celui-ci contient des spécifications techniques, au sens de l’article 1</w:t>
      </w:r>
      <w:r w:rsidRPr="00644D71">
        <w:rPr>
          <w:rFonts w:ascii="Times New Roman" w:eastAsia="Times New Roman" w:hAnsi="Times New Roman" w:cs="Times New Roman"/>
          <w:i/>
          <w:iCs/>
          <w:sz w:val="20"/>
          <w:szCs w:val="16"/>
          <w:vertAlign w:val="superscript"/>
          <w:lang w:val="fr-BE" w:eastAsia="en-IE"/>
        </w:rPr>
        <w:t>er</w:t>
      </w:r>
      <w:r w:rsidRPr="00644D71">
        <w:rPr>
          <w:rFonts w:ascii="Times New Roman" w:eastAsia="Times New Roman" w:hAnsi="Times New Roman" w:cs="Times New Roman"/>
          <w:i/>
          <w:iCs/>
          <w:sz w:val="20"/>
          <w:szCs w:val="16"/>
          <w:lang w:val="fr-BE" w:eastAsia="en-IE"/>
        </w:rPr>
        <w:t xml:space="preserve">, point 3, de la directive 98/34, qui constituent des règles techniques au sens de cette même directive. En effet, les exigences contenues dans ledit règlement sont relatives aux longueur et hauteur maximales ainsi qu’à la limitation de la puissance de propulsion pour </w:t>
      </w:r>
      <w:r w:rsidRPr="00644D71">
        <w:rPr>
          <w:rFonts w:ascii="Times New Roman" w:eastAsia="Times New Roman" w:hAnsi="Times New Roman" w:cs="Times New Roman"/>
          <w:i/>
          <w:iCs/>
          <w:sz w:val="20"/>
          <w:szCs w:val="16"/>
          <w:lang w:val="fr-BE" w:eastAsia="en-IE"/>
        </w:rPr>
        <w:lastRenderedPageBreak/>
        <w:t>les bateaux de plaisance à moteur servant à la navigation. Ces limitations techniques s’appliquent sur l’ensemble des lagunes d’eaux publiques du service public au Portugal, à l’exception de celles du fleuve Douro.</w:t>
      </w:r>
      <w:r>
        <w:rPr>
          <w:rFonts w:ascii="Times New Roman" w:eastAsia="Times New Roman" w:hAnsi="Times New Roman" w:cs="Times New Roman"/>
          <w:i/>
          <w:iCs/>
          <w:sz w:val="20"/>
          <w:szCs w:val="16"/>
          <w:lang w:val="fr-BE" w:eastAsia="en-IE"/>
        </w:rPr>
        <w:t> »</w:t>
      </w:r>
    </w:p>
    <w:p w14:paraId="54E4E4DA" w14:textId="77777777" w:rsidR="00644D71" w:rsidRDefault="00644D71" w:rsidP="00AA4F20">
      <w:pPr>
        <w:spacing w:after="0" w:line="240" w:lineRule="auto"/>
        <w:rPr>
          <w:lang w:val="fr-BE"/>
        </w:rPr>
      </w:pPr>
    </w:p>
    <w:p w14:paraId="4CC4A259" w14:textId="4DBD5C82" w:rsidR="007140D1" w:rsidRPr="00340D0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5" w:history="1">
        <w:r w:rsidR="007140D1" w:rsidRPr="00340D0C">
          <w:rPr>
            <w:rFonts w:ascii="Times New Roman" w:eastAsia="Times New Roman" w:hAnsi="Times New Roman" w:cs="Times New Roman"/>
            <w:b/>
            <w:i/>
            <w:color w:val="0000FF"/>
            <w:szCs w:val="20"/>
            <w:u w:val="single"/>
            <w:lang w:val="fr" w:eastAsia="en-IE"/>
          </w:rPr>
          <w:t>Arrêt du 8 novembre 2007</w:t>
        </w:r>
      </w:hyperlink>
      <w:r w:rsidR="007140D1" w:rsidRPr="00340D0C">
        <w:rPr>
          <w:rFonts w:ascii="Times New Roman" w:eastAsia="Times New Roman" w:hAnsi="Times New Roman" w:cs="Times New Roman"/>
          <w:b/>
          <w:i/>
          <w:szCs w:val="20"/>
          <w:lang w:val="fr" w:eastAsia="en-IE"/>
        </w:rPr>
        <w:t xml:space="preserve">, </w:t>
      </w:r>
      <w:proofErr w:type="spellStart"/>
      <w:r w:rsidR="0087132A" w:rsidRPr="00340D0C">
        <w:rPr>
          <w:rFonts w:ascii="Times New Roman" w:eastAsia="Times New Roman" w:hAnsi="Times New Roman" w:cs="Times New Roman"/>
          <w:b/>
          <w:i/>
          <w:szCs w:val="20"/>
          <w:lang w:val="fr" w:eastAsia="en-IE"/>
        </w:rPr>
        <w:t>Schwibbert</w:t>
      </w:r>
      <w:proofErr w:type="spellEnd"/>
      <w:r w:rsidR="0087132A">
        <w:rPr>
          <w:rFonts w:ascii="Times New Roman" w:eastAsia="Times New Roman" w:hAnsi="Times New Roman" w:cs="Times New Roman"/>
          <w:b/>
          <w:i/>
          <w:szCs w:val="20"/>
          <w:lang w:val="fr" w:eastAsia="en-IE"/>
        </w:rPr>
        <w:t>,</w:t>
      </w:r>
      <w:r w:rsidR="0087132A" w:rsidRPr="00340D0C">
        <w:rPr>
          <w:rFonts w:ascii="Times New Roman" w:eastAsia="Times New Roman" w:hAnsi="Times New Roman" w:cs="Times New Roman"/>
          <w:b/>
          <w:i/>
          <w:szCs w:val="20"/>
          <w:lang w:val="fr" w:eastAsia="en-IE"/>
        </w:rPr>
        <w:t xml:space="preserve"> </w:t>
      </w:r>
      <w:r w:rsidR="007140D1" w:rsidRPr="00340D0C">
        <w:rPr>
          <w:rFonts w:ascii="Times New Roman" w:eastAsia="Times New Roman" w:hAnsi="Times New Roman" w:cs="Times New Roman"/>
          <w:b/>
          <w:i/>
          <w:szCs w:val="20"/>
          <w:lang w:val="fr" w:eastAsia="en-IE"/>
        </w:rPr>
        <w:t xml:space="preserve">C-20/05, EU:C:2007:652, points </w:t>
      </w:r>
      <w:r w:rsidR="007140D1">
        <w:rPr>
          <w:rFonts w:ascii="Times New Roman" w:eastAsia="Times New Roman" w:hAnsi="Times New Roman" w:cs="Times New Roman"/>
          <w:b/>
          <w:i/>
          <w:szCs w:val="20"/>
          <w:lang w:val="fr" w:eastAsia="en-IE"/>
        </w:rPr>
        <w:t>35 à 37</w:t>
      </w:r>
    </w:p>
    <w:p w14:paraId="2E94FF3C" w14:textId="77777777" w:rsidR="007140D1" w:rsidRPr="00340D0C"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5105E8A" w14:textId="4D85A21F" w:rsidR="007140D1" w:rsidRPr="00340D0C" w:rsidRDefault="007140D1" w:rsidP="00AA4F20">
      <w:pPr>
        <w:widowControl w:val="0"/>
        <w:tabs>
          <w:tab w:val="left" w:pos="429"/>
        </w:tabs>
        <w:autoSpaceDE w:val="0"/>
        <w:autoSpaceDN w:val="0"/>
        <w:spacing w:after="0" w:line="240" w:lineRule="auto"/>
        <w:jc w:val="both"/>
        <w:rPr>
          <w:rFonts w:ascii="Times New Roman" w:eastAsia="Times New Roman" w:hAnsi="Times New Roman" w:cs="Times New Roman"/>
          <w:szCs w:val="20"/>
          <w:lang w:val="fr" w:eastAsia="en-IE"/>
        </w:rPr>
      </w:pPr>
      <w:r w:rsidRPr="00340D0C">
        <w:rPr>
          <w:rFonts w:ascii="Times New Roman" w:eastAsia="Times New Roman" w:hAnsi="Times New Roman" w:cs="Times New Roman"/>
          <w:szCs w:val="20"/>
          <w:lang w:val="fr" w:eastAsia="en-IE"/>
        </w:rPr>
        <w:t xml:space="preserve">Les dispositions nationales instaurant l’obligation d’apposer un signe distinctif sur les produits aux fins de leur commercialisation dans l’État membre concerné constituent une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spécification technique</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car ce sont des prescriptions relatives au marquage et à l’étiquetage d’un produit.</w:t>
      </w:r>
    </w:p>
    <w:p w14:paraId="0007A163" w14:textId="77777777" w:rsidR="007140D1" w:rsidRPr="00340D0C" w:rsidRDefault="007140D1" w:rsidP="00AA4F20">
      <w:pPr>
        <w:widowControl w:val="0"/>
        <w:tabs>
          <w:tab w:val="left" w:pos="429"/>
        </w:tabs>
        <w:autoSpaceDE w:val="0"/>
        <w:autoSpaceDN w:val="0"/>
        <w:spacing w:after="0" w:line="240" w:lineRule="auto"/>
        <w:jc w:val="both"/>
        <w:rPr>
          <w:rFonts w:ascii="Times New Roman" w:eastAsia="Times New Roman" w:hAnsi="Times New Roman" w:cs="Times New Roman"/>
          <w:szCs w:val="20"/>
          <w:lang w:val="fr" w:eastAsia="en-IE"/>
        </w:rPr>
      </w:pPr>
    </w:p>
    <w:p w14:paraId="3FC710DB" w14:textId="7DED55FF" w:rsidR="007140D1" w:rsidRPr="00644D71" w:rsidRDefault="007140D1" w:rsidP="00AA4F20">
      <w:pPr>
        <w:widowControl w:val="0"/>
        <w:tabs>
          <w:tab w:val="left" w:pos="429"/>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340D0C">
        <w:rPr>
          <w:rFonts w:ascii="Times New Roman" w:eastAsia="Times New Roman" w:hAnsi="Times New Roman" w:cs="Times New Roman"/>
          <w:sz w:val="20"/>
          <w:szCs w:val="16"/>
          <w:lang w:val="fr" w:eastAsia="en-IE"/>
        </w:rPr>
        <w:t>« </w:t>
      </w:r>
      <w:r w:rsidRPr="00644D71">
        <w:rPr>
          <w:rFonts w:ascii="Times New Roman" w:eastAsia="Times New Roman" w:hAnsi="Times New Roman" w:cs="Times New Roman"/>
          <w:i/>
          <w:iCs/>
          <w:sz w:val="20"/>
          <w:szCs w:val="16"/>
          <w:lang w:val="fr" w:eastAsia="en-IE"/>
        </w:rPr>
        <w:t>35</w:t>
      </w:r>
      <w:r w:rsidR="00116D32">
        <w:rPr>
          <w:rFonts w:ascii="Times New Roman" w:eastAsia="Times New Roman" w:hAnsi="Times New Roman" w:cs="Times New Roman"/>
          <w:i/>
          <w:iCs/>
          <w:sz w:val="20"/>
          <w:szCs w:val="16"/>
          <w:lang w:val="fr" w:eastAsia="en-IE"/>
        </w:rPr>
        <w:t xml:space="preserve">. </w:t>
      </w:r>
      <w:r w:rsidRPr="00644D71">
        <w:rPr>
          <w:rFonts w:ascii="Times New Roman" w:eastAsia="Times New Roman" w:hAnsi="Times New Roman" w:cs="Times New Roman"/>
          <w:i/>
          <w:iCs/>
          <w:sz w:val="20"/>
          <w:szCs w:val="16"/>
          <w:lang w:val="fr" w:eastAsia="en-IE"/>
        </w:rPr>
        <w:t>Ainsi que la Cour l’a déjà jugé, la notion de</w:t>
      </w:r>
      <w:r w:rsidR="00AC368B" w:rsidRPr="00644D71">
        <w:rPr>
          <w:rFonts w:ascii="Times New Roman" w:eastAsia="Times New Roman" w:hAnsi="Times New Roman" w:cs="Times New Roman"/>
          <w:i/>
          <w:iCs/>
          <w:sz w:val="20"/>
          <w:szCs w:val="16"/>
          <w:lang w:val="fr" w:eastAsia="en-IE"/>
        </w:rPr>
        <w:t xml:space="preserve"> « spécification</w:t>
      </w:r>
      <w:r w:rsidRPr="00644D71">
        <w:rPr>
          <w:rFonts w:ascii="Times New Roman" w:eastAsia="Times New Roman" w:hAnsi="Times New Roman" w:cs="Times New Roman"/>
          <w:i/>
          <w:iCs/>
          <w:sz w:val="20"/>
          <w:szCs w:val="16"/>
          <w:lang w:val="fr" w:eastAsia="en-IE"/>
        </w:rPr>
        <w:t xml:space="preserve"> technique</w:t>
      </w:r>
      <w:r w:rsidR="00AC368B" w:rsidRPr="00644D71">
        <w:rPr>
          <w:rFonts w:ascii="Times New Roman" w:eastAsia="Times New Roman" w:hAnsi="Times New Roman" w:cs="Times New Roman"/>
          <w:i/>
          <w:iCs/>
          <w:sz w:val="20"/>
          <w:szCs w:val="16"/>
          <w:lang w:val="fr" w:eastAsia="en-IE"/>
        </w:rPr>
        <w:t xml:space="preserve"> </w:t>
      </w:r>
      <w:r w:rsidRPr="00644D71">
        <w:rPr>
          <w:rFonts w:ascii="Times New Roman" w:eastAsia="Times New Roman" w:hAnsi="Times New Roman" w:cs="Times New Roman"/>
          <w:i/>
          <w:iCs/>
          <w:sz w:val="20"/>
          <w:szCs w:val="16"/>
          <w:lang w:val="fr" w:eastAsia="en-IE"/>
        </w:rPr>
        <w:t xml:space="preserve">» présuppose que la mesure nationale se réfère nécessairement au produit ou à son emballage en tant que tels et fixe, dès lors, l’une des caractéristiques requises d’un produit (voir, en ce sens, arrêts du 8 mars 2001, van der Burg, C‑278/99, Rec. p. I‑2015, point 20; du 22 janvier 2002, Canal </w:t>
      </w:r>
      <w:proofErr w:type="spellStart"/>
      <w:r w:rsidRPr="00644D71">
        <w:rPr>
          <w:rFonts w:ascii="Times New Roman" w:eastAsia="Times New Roman" w:hAnsi="Times New Roman" w:cs="Times New Roman"/>
          <w:i/>
          <w:iCs/>
          <w:sz w:val="20"/>
          <w:szCs w:val="16"/>
          <w:lang w:val="fr" w:eastAsia="en-IE"/>
        </w:rPr>
        <w:t>Satélite</w:t>
      </w:r>
      <w:proofErr w:type="spellEnd"/>
      <w:r w:rsidRPr="00644D71">
        <w:rPr>
          <w:rFonts w:ascii="Times New Roman" w:eastAsia="Times New Roman" w:hAnsi="Times New Roman" w:cs="Times New Roman"/>
          <w:i/>
          <w:iCs/>
          <w:sz w:val="20"/>
          <w:szCs w:val="16"/>
          <w:lang w:val="fr" w:eastAsia="en-IE"/>
        </w:rPr>
        <w:t xml:space="preserve"> Digital, C‑390/99, Rec. p. I‑607, point 45, ainsi que précités, </w:t>
      </w:r>
      <w:proofErr w:type="spellStart"/>
      <w:r w:rsidRPr="00644D71">
        <w:rPr>
          <w:rFonts w:ascii="Times New Roman" w:eastAsia="Times New Roman" w:hAnsi="Times New Roman" w:cs="Times New Roman"/>
          <w:i/>
          <w:iCs/>
          <w:sz w:val="20"/>
          <w:szCs w:val="16"/>
          <w:lang w:val="fr" w:eastAsia="en-IE"/>
        </w:rPr>
        <w:t>Sapod</w:t>
      </w:r>
      <w:proofErr w:type="spellEnd"/>
      <w:r w:rsidRPr="00644D71">
        <w:rPr>
          <w:rFonts w:ascii="Times New Roman" w:eastAsia="Times New Roman" w:hAnsi="Times New Roman" w:cs="Times New Roman"/>
          <w:i/>
          <w:iCs/>
          <w:sz w:val="20"/>
          <w:szCs w:val="16"/>
          <w:lang w:val="fr" w:eastAsia="en-IE"/>
        </w:rPr>
        <w:t xml:space="preserve"> </w:t>
      </w:r>
      <w:proofErr w:type="spellStart"/>
      <w:r w:rsidRPr="00644D71">
        <w:rPr>
          <w:rFonts w:ascii="Times New Roman" w:eastAsia="Times New Roman" w:hAnsi="Times New Roman" w:cs="Times New Roman"/>
          <w:i/>
          <w:iCs/>
          <w:sz w:val="20"/>
          <w:szCs w:val="16"/>
          <w:lang w:val="fr" w:eastAsia="en-IE"/>
        </w:rPr>
        <w:t>Audic</w:t>
      </w:r>
      <w:proofErr w:type="spellEnd"/>
      <w:r w:rsidRPr="00644D71">
        <w:rPr>
          <w:rFonts w:ascii="Times New Roman" w:eastAsia="Times New Roman" w:hAnsi="Times New Roman" w:cs="Times New Roman"/>
          <w:i/>
          <w:iCs/>
          <w:sz w:val="20"/>
          <w:szCs w:val="16"/>
          <w:lang w:val="fr" w:eastAsia="en-IE"/>
        </w:rPr>
        <w:t>, point 30, et Lindberg, point 57).</w:t>
      </w:r>
    </w:p>
    <w:p w14:paraId="52DE7CBF" w14:textId="77777777" w:rsidR="007140D1" w:rsidRPr="00644D71" w:rsidRDefault="007140D1" w:rsidP="00AA4F20">
      <w:pPr>
        <w:widowControl w:val="0"/>
        <w:tabs>
          <w:tab w:val="left" w:pos="429"/>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3C649509" w14:textId="17075140" w:rsidR="007140D1" w:rsidRPr="00644D71" w:rsidRDefault="007140D1" w:rsidP="00AA4F20">
      <w:pPr>
        <w:widowControl w:val="0"/>
        <w:tabs>
          <w:tab w:val="left" w:pos="429"/>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44D71">
        <w:rPr>
          <w:rFonts w:ascii="Times New Roman" w:eastAsia="Times New Roman" w:hAnsi="Times New Roman" w:cs="Times New Roman"/>
          <w:i/>
          <w:iCs/>
          <w:sz w:val="20"/>
          <w:szCs w:val="16"/>
          <w:lang w:val="fr" w:eastAsia="en-IE"/>
        </w:rPr>
        <w:t>36</w:t>
      </w:r>
      <w:r w:rsidR="00116D32">
        <w:rPr>
          <w:rFonts w:ascii="Times New Roman" w:eastAsia="Times New Roman" w:hAnsi="Times New Roman" w:cs="Times New Roman"/>
          <w:i/>
          <w:iCs/>
          <w:sz w:val="20"/>
          <w:szCs w:val="16"/>
          <w:lang w:val="fr" w:eastAsia="en-IE"/>
        </w:rPr>
        <w:t>.</w:t>
      </w:r>
      <w:r w:rsidRPr="00644D71">
        <w:rPr>
          <w:rFonts w:ascii="Times New Roman" w:eastAsia="Times New Roman" w:hAnsi="Times New Roman" w:cs="Times New Roman"/>
          <w:i/>
          <w:iCs/>
          <w:sz w:val="20"/>
          <w:szCs w:val="16"/>
          <w:lang w:val="fr" w:eastAsia="en-IE"/>
        </w:rPr>
        <w:t xml:space="preserve"> En l’espèce, force est de constater, ainsi que Mme l’avocat général l’a relevé aux points 46 et 48 de ses conclusions, que l’apposition du signe distinctif «SIAE», qui vise à informer les consommateurs et les autorités nationales que les reproductions sont légales, s’effectue sur le support même contenant l’œuvre de l’esprit, donc sur le produit lui-même. Il n’est donc pas exact de soutenir, comme l’ont fait la Società </w:t>
      </w:r>
      <w:proofErr w:type="spellStart"/>
      <w:r w:rsidRPr="00644D71">
        <w:rPr>
          <w:rFonts w:ascii="Times New Roman" w:eastAsia="Times New Roman" w:hAnsi="Times New Roman" w:cs="Times New Roman"/>
          <w:i/>
          <w:iCs/>
          <w:sz w:val="20"/>
          <w:szCs w:val="16"/>
          <w:lang w:val="fr" w:eastAsia="en-IE"/>
        </w:rPr>
        <w:t>Italiana</w:t>
      </w:r>
      <w:proofErr w:type="spellEnd"/>
      <w:r w:rsidRPr="00644D71">
        <w:rPr>
          <w:rFonts w:ascii="Times New Roman" w:eastAsia="Times New Roman" w:hAnsi="Times New Roman" w:cs="Times New Roman"/>
          <w:i/>
          <w:iCs/>
          <w:sz w:val="20"/>
          <w:szCs w:val="16"/>
          <w:lang w:val="fr" w:eastAsia="en-IE"/>
        </w:rPr>
        <w:t xml:space="preserve"> </w:t>
      </w:r>
      <w:proofErr w:type="spellStart"/>
      <w:r w:rsidRPr="00644D71">
        <w:rPr>
          <w:rFonts w:ascii="Times New Roman" w:eastAsia="Times New Roman" w:hAnsi="Times New Roman" w:cs="Times New Roman"/>
          <w:i/>
          <w:iCs/>
          <w:sz w:val="20"/>
          <w:szCs w:val="16"/>
          <w:lang w:val="fr" w:eastAsia="en-IE"/>
        </w:rPr>
        <w:t>degli</w:t>
      </w:r>
      <w:proofErr w:type="spellEnd"/>
      <w:r w:rsidRPr="00644D71">
        <w:rPr>
          <w:rFonts w:ascii="Times New Roman" w:eastAsia="Times New Roman" w:hAnsi="Times New Roman" w:cs="Times New Roman"/>
          <w:i/>
          <w:iCs/>
          <w:sz w:val="20"/>
          <w:szCs w:val="16"/>
          <w:lang w:val="fr" w:eastAsia="en-IE"/>
        </w:rPr>
        <w:t xml:space="preserve"> </w:t>
      </w:r>
      <w:proofErr w:type="spellStart"/>
      <w:r w:rsidRPr="00644D71">
        <w:rPr>
          <w:rFonts w:ascii="Times New Roman" w:eastAsia="Times New Roman" w:hAnsi="Times New Roman" w:cs="Times New Roman"/>
          <w:i/>
          <w:iCs/>
          <w:sz w:val="20"/>
          <w:szCs w:val="16"/>
          <w:lang w:val="fr" w:eastAsia="en-IE"/>
        </w:rPr>
        <w:t>Autori</w:t>
      </w:r>
      <w:proofErr w:type="spellEnd"/>
      <w:r w:rsidRPr="00644D71">
        <w:rPr>
          <w:rFonts w:ascii="Times New Roman" w:eastAsia="Times New Roman" w:hAnsi="Times New Roman" w:cs="Times New Roman"/>
          <w:i/>
          <w:iCs/>
          <w:sz w:val="20"/>
          <w:szCs w:val="16"/>
          <w:lang w:val="fr" w:eastAsia="en-IE"/>
        </w:rPr>
        <w:t xml:space="preserve"> </w:t>
      </w:r>
      <w:proofErr w:type="spellStart"/>
      <w:r w:rsidRPr="00644D71">
        <w:rPr>
          <w:rFonts w:ascii="Times New Roman" w:eastAsia="Times New Roman" w:hAnsi="Times New Roman" w:cs="Times New Roman"/>
          <w:i/>
          <w:iCs/>
          <w:sz w:val="20"/>
          <w:szCs w:val="16"/>
          <w:lang w:val="fr" w:eastAsia="en-IE"/>
        </w:rPr>
        <w:t>ed</w:t>
      </w:r>
      <w:proofErr w:type="spellEnd"/>
      <w:r w:rsidRPr="00644D71">
        <w:rPr>
          <w:rFonts w:ascii="Times New Roman" w:eastAsia="Times New Roman" w:hAnsi="Times New Roman" w:cs="Times New Roman"/>
          <w:i/>
          <w:iCs/>
          <w:sz w:val="20"/>
          <w:szCs w:val="16"/>
          <w:lang w:val="fr" w:eastAsia="en-IE"/>
        </w:rPr>
        <w:t xml:space="preserve"> </w:t>
      </w:r>
      <w:proofErr w:type="spellStart"/>
      <w:r w:rsidRPr="00644D71">
        <w:rPr>
          <w:rFonts w:ascii="Times New Roman" w:eastAsia="Times New Roman" w:hAnsi="Times New Roman" w:cs="Times New Roman"/>
          <w:i/>
          <w:iCs/>
          <w:sz w:val="20"/>
          <w:szCs w:val="16"/>
          <w:lang w:val="fr" w:eastAsia="en-IE"/>
        </w:rPr>
        <w:t>Editori</w:t>
      </w:r>
      <w:proofErr w:type="spellEnd"/>
      <w:r w:rsidRPr="00644D71">
        <w:rPr>
          <w:rFonts w:ascii="Times New Roman" w:eastAsia="Times New Roman" w:hAnsi="Times New Roman" w:cs="Times New Roman"/>
          <w:i/>
          <w:iCs/>
          <w:sz w:val="20"/>
          <w:szCs w:val="16"/>
          <w:lang w:val="fr" w:eastAsia="en-IE"/>
        </w:rPr>
        <w:t xml:space="preserve"> et le gouvernement italien, que ce signe porterait uniquement sur l’œuvre intellectuelle.</w:t>
      </w:r>
    </w:p>
    <w:p w14:paraId="79B65874" w14:textId="77777777" w:rsidR="007140D1" w:rsidRPr="00644D71" w:rsidRDefault="007140D1" w:rsidP="00AA4F20">
      <w:pPr>
        <w:widowControl w:val="0"/>
        <w:tabs>
          <w:tab w:val="left" w:pos="429"/>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636C4057" w14:textId="2BF0CD39" w:rsidR="007140D1" w:rsidRPr="00340D0C" w:rsidRDefault="007140D1" w:rsidP="00AA4F20">
      <w:pPr>
        <w:widowControl w:val="0"/>
        <w:tabs>
          <w:tab w:val="left" w:pos="429"/>
        </w:tabs>
        <w:autoSpaceDE w:val="0"/>
        <w:autoSpaceDN w:val="0"/>
        <w:spacing w:after="0" w:line="240" w:lineRule="auto"/>
        <w:ind w:left="567"/>
        <w:jc w:val="both"/>
        <w:rPr>
          <w:rFonts w:ascii="Times New Roman" w:eastAsia="Times New Roman" w:hAnsi="Times New Roman" w:cs="Times New Roman"/>
          <w:sz w:val="20"/>
          <w:szCs w:val="16"/>
          <w:lang w:val="fr" w:eastAsia="en-IE"/>
        </w:rPr>
      </w:pPr>
      <w:r w:rsidRPr="00644D71">
        <w:rPr>
          <w:rFonts w:ascii="Times New Roman" w:eastAsia="Times New Roman" w:hAnsi="Times New Roman" w:cs="Times New Roman"/>
          <w:i/>
          <w:iCs/>
          <w:sz w:val="20"/>
          <w:szCs w:val="16"/>
          <w:lang w:val="fr" w:eastAsia="en-IE"/>
        </w:rPr>
        <w:t>37</w:t>
      </w:r>
      <w:r w:rsidR="00116D32">
        <w:rPr>
          <w:rFonts w:ascii="Times New Roman" w:eastAsia="Times New Roman" w:hAnsi="Times New Roman" w:cs="Times New Roman"/>
          <w:i/>
          <w:iCs/>
          <w:sz w:val="20"/>
          <w:szCs w:val="16"/>
          <w:lang w:val="fr" w:eastAsia="en-IE"/>
        </w:rPr>
        <w:t xml:space="preserve">. </w:t>
      </w:r>
      <w:r w:rsidRPr="00644D71">
        <w:rPr>
          <w:rFonts w:ascii="Times New Roman" w:eastAsia="Times New Roman" w:hAnsi="Times New Roman" w:cs="Times New Roman"/>
          <w:i/>
          <w:iCs/>
          <w:sz w:val="20"/>
          <w:szCs w:val="16"/>
          <w:lang w:val="fr" w:eastAsia="en-IE"/>
        </w:rPr>
        <w:t>Or, un tel signe distinctif constitue une «spécification technique» au sens de l’article 1er, point 3, de la directive 98/34, car il relève des prescriptions applicables aux produits concernés en ce qui concerne le marquage et l’étiquetage. Partant, dès lors que l’observation de cette spécification est obligatoire de jure pour la commercialisation de ces produits, la dite spécification constitue une «règle technique» au sens de l’article 1er, point 11, premier alinéa, de ladite directive (voir, en ce sens, arrêt du 20 mars 1997, Bic Benelux, C‑13/96, Rec. p. I‑1753, point 23).</w:t>
      </w:r>
      <w:r>
        <w:rPr>
          <w:rFonts w:ascii="Times New Roman" w:eastAsia="Times New Roman" w:hAnsi="Times New Roman" w:cs="Times New Roman"/>
          <w:sz w:val="20"/>
          <w:szCs w:val="16"/>
          <w:lang w:val="fr" w:eastAsia="en-IE"/>
        </w:rPr>
        <w:t> »</w:t>
      </w:r>
    </w:p>
    <w:p w14:paraId="5F9CA89E" w14:textId="77777777" w:rsidR="007140D1" w:rsidRDefault="007140D1" w:rsidP="00AA4F20">
      <w:pPr>
        <w:spacing w:after="0" w:line="240" w:lineRule="auto"/>
        <w:rPr>
          <w:lang w:val="fr"/>
        </w:rPr>
      </w:pPr>
    </w:p>
    <w:p w14:paraId="2AB0B21B" w14:textId="056C255B" w:rsidR="007140D1" w:rsidRPr="00C70A4B" w:rsidRDefault="00B3389F" w:rsidP="00AA4F20">
      <w:pPr>
        <w:widowControl w:val="0"/>
        <w:autoSpaceDE w:val="0"/>
        <w:autoSpaceDN w:val="0"/>
        <w:spacing w:after="0" w:line="240" w:lineRule="auto"/>
        <w:jc w:val="both"/>
        <w:rPr>
          <w:rFonts w:ascii="Times New Roman" w:eastAsia="Times New Roman" w:hAnsi="Times New Roman" w:cs="Times New Roman"/>
          <w:b/>
          <w:i/>
          <w:szCs w:val="20"/>
          <w:lang w:val="fr" w:eastAsia="en-IE"/>
        </w:rPr>
      </w:pPr>
      <w:hyperlink r:id="rId26" w:history="1">
        <w:r w:rsidR="007140D1" w:rsidRPr="00C70A4B">
          <w:rPr>
            <w:rFonts w:ascii="Times New Roman" w:eastAsia="Times New Roman" w:hAnsi="Times New Roman" w:cs="Times New Roman"/>
            <w:b/>
            <w:i/>
            <w:color w:val="0000FF"/>
            <w:szCs w:val="20"/>
            <w:u w:val="single"/>
            <w:lang w:val="fr" w:eastAsia="en-IE"/>
          </w:rPr>
          <w:t>Arrêt du 14 avril 2011</w:t>
        </w:r>
      </w:hyperlink>
      <w:r w:rsidR="007140D1" w:rsidRPr="00C70A4B">
        <w:rPr>
          <w:rFonts w:ascii="Times New Roman" w:eastAsia="Times New Roman" w:hAnsi="Times New Roman" w:cs="Times New Roman"/>
          <w:b/>
          <w:i/>
          <w:szCs w:val="20"/>
          <w:lang w:val="fr" w:eastAsia="en-IE"/>
        </w:rPr>
        <w:t xml:space="preserve">, </w:t>
      </w:r>
      <w:proofErr w:type="spellStart"/>
      <w:r w:rsidR="0087132A" w:rsidRPr="00C70A4B">
        <w:rPr>
          <w:rFonts w:ascii="Times New Roman" w:eastAsia="Times New Roman" w:hAnsi="Times New Roman" w:cs="Times New Roman"/>
          <w:b/>
          <w:i/>
          <w:szCs w:val="20"/>
          <w:lang w:val="fr" w:eastAsia="en-IE"/>
        </w:rPr>
        <w:t>Vlaamse</w:t>
      </w:r>
      <w:proofErr w:type="spellEnd"/>
      <w:r w:rsidR="0087132A" w:rsidRPr="00C70A4B">
        <w:rPr>
          <w:rFonts w:ascii="Times New Roman" w:eastAsia="Times New Roman" w:hAnsi="Times New Roman" w:cs="Times New Roman"/>
          <w:b/>
          <w:i/>
          <w:szCs w:val="20"/>
          <w:lang w:val="fr" w:eastAsia="en-IE"/>
        </w:rPr>
        <w:t xml:space="preserve"> </w:t>
      </w:r>
      <w:proofErr w:type="spellStart"/>
      <w:r w:rsidR="0087132A" w:rsidRPr="00C70A4B">
        <w:rPr>
          <w:rFonts w:ascii="Times New Roman" w:eastAsia="Times New Roman" w:hAnsi="Times New Roman" w:cs="Times New Roman"/>
          <w:b/>
          <w:i/>
          <w:szCs w:val="20"/>
          <w:lang w:val="fr" w:eastAsia="en-IE"/>
        </w:rPr>
        <w:t>Dierenartsenvereniging</w:t>
      </w:r>
      <w:proofErr w:type="spellEnd"/>
      <w:r w:rsidR="0087132A" w:rsidRPr="00C70A4B">
        <w:rPr>
          <w:rFonts w:ascii="Times New Roman" w:eastAsia="Times New Roman" w:hAnsi="Times New Roman" w:cs="Times New Roman"/>
          <w:b/>
          <w:i/>
          <w:szCs w:val="20"/>
          <w:lang w:val="fr" w:eastAsia="en-IE"/>
        </w:rPr>
        <w:t xml:space="preserve"> et Janssens, </w:t>
      </w:r>
      <w:r w:rsidR="007140D1" w:rsidRPr="00C70A4B">
        <w:rPr>
          <w:rFonts w:ascii="Times New Roman" w:eastAsia="Times New Roman" w:hAnsi="Times New Roman" w:cs="Times New Roman"/>
          <w:b/>
          <w:i/>
          <w:szCs w:val="20"/>
          <w:lang w:val="fr" w:eastAsia="en-IE"/>
        </w:rPr>
        <w:t>C-42/10, C-45/10 et C-57/10, EU:C:2011:253, points 68 à 70</w:t>
      </w:r>
    </w:p>
    <w:p w14:paraId="57AD8AA0" w14:textId="77777777" w:rsidR="007140D1" w:rsidRPr="00C70A4B" w:rsidRDefault="007140D1" w:rsidP="00AA4F20">
      <w:pPr>
        <w:widowControl w:val="0"/>
        <w:autoSpaceDE w:val="0"/>
        <w:autoSpaceDN w:val="0"/>
        <w:spacing w:after="0" w:line="240" w:lineRule="auto"/>
        <w:jc w:val="both"/>
        <w:rPr>
          <w:rFonts w:ascii="Times New Roman" w:eastAsia="Times New Roman" w:hAnsi="Times New Roman" w:cs="Times New Roman"/>
          <w:b/>
          <w:i/>
          <w:szCs w:val="20"/>
          <w:lang w:val="fr" w:eastAsia="en-IE"/>
        </w:rPr>
      </w:pPr>
    </w:p>
    <w:p w14:paraId="37AC0DA4" w14:textId="79CB3873" w:rsidR="007140D1" w:rsidRPr="00C70A4B" w:rsidRDefault="007140D1" w:rsidP="00AA4F20">
      <w:pPr>
        <w:widowControl w:val="0"/>
        <w:tabs>
          <w:tab w:val="left" w:pos="431"/>
        </w:tabs>
        <w:autoSpaceDE w:val="0"/>
        <w:autoSpaceDN w:val="0"/>
        <w:spacing w:after="0" w:line="240" w:lineRule="auto"/>
        <w:jc w:val="both"/>
        <w:rPr>
          <w:rFonts w:ascii="Times New Roman" w:eastAsia="Times New Roman" w:hAnsi="Times New Roman" w:cs="Times New Roman"/>
          <w:szCs w:val="20"/>
          <w:lang w:val="fr" w:eastAsia="en-IE"/>
        </w:rPr>
      </w:pPr>
      <w:r w:rsidRPr="00C70A4B">
        <w:rPr>
          <w:rFonts w:ascii="Times New Roman" w:eastAsia="Times New Roman" w:hAnsi="Times New Roman" w:cs="Times New Roman"/>
          <w:szCs w:val="20"/>
          <w:lang w:val="fr" w:eastAsia="en-IE"/>
        </w:rPr>
        <w:t>La directive ne s’applique pas aux passeports pour animaux de compagnie qui ne peuvent être qualifiés de «</w:t>
      </w:r>
      <w:r w:rsidR="008224AE">
        <w:rPr>
          <w:rFonts w:ascii="Times New Roman" w:eastAsia="Times New Roman" w:hAnsi="Times New Roman" w:cs="Times New Roman"/>
          <w:szCs w:val="20"/>
          <w:lang w:val="fr" w:eastAsia="en-IE"/>
        </w:rPr>
        <w:t xml:space="preserve"> </w:t>
      </w:r>
      <w:r w:rsidRPr="00C70A4B">
        <w:rPr>
          <w:rFonts w:ascii="Times New Roman" w:eastAsia="Times New Roman" w:hAnsi="Times New Roman" w:cs="Times New Roman"/>
          <w:szCs w:val="20"/>
          <w:lang w:val="fr" w:eastAsia="en-IE"/>
        </w:rPr>
        <w:t>produits</w:t>
      </w:r>
      <w:r w:rsidR="008224AE">
        <w:rPr>
          <w:rFonts w:ascii="Times New Roman" w:eastAsia="Times New Roman" w:hAnsi="Times New Roman" w:cs="Times New Roman"/>
          <w:szCs w:val="20"/>
          <w:lang w:val="fr" w:eastAsia="en-IE"/>
        </w:rPr>
        <w:t xml:space="preserve"> </w:t>
      </w:r>
      <w:r w:rsidRPr="00C70A4B">
        <w:rPr>
          <w:rFonts w:ascii="Times New Roman" w:eastAsia="Times New Roman" w:hAnsi="Times New Roman" w:cs="Times New Roman"/>
          <w:szCs w:val="20"/>
          <w:lang w:val="fr" w:eastAsia="en-IE"/>
        </w:rPr>
        <w:t xml:space="preserve">» </w:t>
      </w:r>
      <w:r w:rsidR="00AC368B">
        <w:rPr>
          <w:rFonts w:ascii="Times New Roman" w:eastAsia="Times New Roman" w:hAnsi="Times New Roman" w:cs="Times New Roman"/>
          <w:szCs w:val="20"/>
          <w:lang w:val="fr" w:eastAsia="en-IE"/>
        </w:rPr>
        <w:t>car ils</w:t>
      </w:r>
      <w:r w:rsidRPr="00C70A4B">
        <w:rPr>
          <w:rFonts w:ascii="Times New Roman" w:eastAsia="Times New Roman" w:hAnsi="Times New Roman" w:cs="Times New Roman"/>
          <w:szCs w:val="20"/>
          <w:lang w:val="fr" w:eastAsia="en-IE"/>
        </w:rPr>
        <w:t xml:space="preserve"> ne peu</w:t>
      </w:r>
      <w:r w:rsidR="00AC368B">
        <w:rPr>
          <w:rFonts w:ascii="Times New Roman" w:eastAsia="Times New Roman" w:hAnsi="Times New Roman" w:cs="Times New Roman"/>
          <w:szCs w:val="20"/>
          <w:lang w:val="fr" w:eastAsia="en-IE"/>
        </w:rPr>
        <w:t>vent</w:t>
      </w:r>
      <w:r w:rsidRPr="00C70A4B">
        <w:rPr>
          <w:rFonts w:ascii="Times New Roman" w:eastAsia="Times New Roman" w:hAnsi="Times New Roman" w:cs="Times New Roman"/>
          <w:szCs w:val="20"/>
          <w:lang w:val="fr" w:eastAsia="en-IE"/>
        </w:rPr>
        <w:t xml:space="preserve"> pas faire l’objet de transactions commerciales. Les dispositions nationales relatives au passeport pour animaux de compagnie ne constituent donc pas des </w:t>
      </w:r>
      <w:r w:rsidR="008224AE">
        <w:rPr>
          <w:rFonts w:ascii="Times New Roman" w:eastAsia="Times New Roman" w:hAnsi="Times New Roman" w:cs="Times New Roman"/>
          <w:szCs w:val="20"/>
          <w:lang w:val="fr" w:eastAsia="en-IE"/>
        </w:rPr>
        <w:t>« </w:t>
      </w:r>
      <w:r w:rsidRPr="00C70A4B">
        <w:rPr>
          <w:rFonts w:ascii="Times New Roman" w:eastAsia="Times New Roman" w:hAnsi="Times New Roman" w:cs="Times New Roman"/>
          <w:szCs w:val="20"/>
          <w:lang w:val="fr" w:eastAsia="en-IE"/>
        </w:rPr>
        <w:t>règles techniques</w:t>
      </w:r>
      <w:r w:rsidR="008224AE">
        <w:rPr>
          <w:rFonts w:ascii="Times New Roman" w:eastAsia="Times New Roman" w:hAnsi="Times New Roman" w:cs="Times New Roman"/>
          <w:szCs w:val="20"/>
          <w:lang w:val="fr" w:eastAsia="en-IE"/>
        </w:rPr>
        <w:t> »</w:t>
      </w:r>
      <w:r w:rsidRPr="00C70A4B">
        <w:rPr>
          <w:rFonts w:ascii="Times New Roman" w:eastAsia="Times New Roman" w:hAnsi="Times New Roman" w:cs="Times New Roman"/>
          <w:szCs w:val="20"/>
          <w:lang w:val="fr" w:eastAsia="en-IE"/>
        </w:rPr>
        <w:t xml:space="preserve"> qui</w:t>
      </w:r>
      <w:r>
        <w:rPr>
          <w:rFonts w:ascii="Times New Roman" w:eastAsia="Times New Roman" w:hAnsi="Times New Roman" w:cs="Times New Roman"/>
          <w:szCs w:val="20"/>
          <w:lang w:val="fr" w:eastAsia="en-IE"/>
        </w:rPr>
        <w:t xml:space="preserve"> </w:t>
      </w:r>
      <w:r w:rsidRPr="00C70A4B">
        <w:rPr>
          <w:rFonts w:ascii="Times New Roman" w:eastAsia="Times New Roman" w:hAnsi="Times New Roman" w:cs="Times New Roman"/>
          <w:szCs w:val="20"/>
          <w:lang w:val="fr" w:eastAsia="en-IE"/>
        </w:rPr>
        <w:t>doivent être communiquées à la Commission.</w:t>
      </w:r>
    </w:p>
    <w:p w14:paraId="5E942D89" w14:textId="77777777" w:rsidR="007140D1" w:rsidRPr="00C70A4B" w:rsidRDefault="007140D1"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 w:eastAsia="en-IE"/>
        </w:rPr>
      </w:pPr>
    </w:p>
    <w:p w14:paraId="75A3BC41" w14:textId="2A42C93A" w:rsidR="007140D1" w:rsidRPr="00C70A4B"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sz w:val="20"/>
          <w:szCs w:val="16"/>
          <w:lang w:val="fr" w:eastAsia="en-IE"/>
        </w:rPr>
        <w:t>« </w:t>
      </w:r>
      <w:r w:rsidRPr="00C70A4B">
        <w:rPr>
          <w:rFonts w:ascii="Times New Roman" w:eastAsia="Times New Roman" w:hAnsi="Times New Roman" w:cs="Times New Roman"/>
          <w:i/>
          <w:iCs/>
          <w:sz w:val="20"/>
          <w:szCs w:val="16"/>
          <w:lang w:val="fr-BE" w:eastAsia="en-IE"/>
        </w:rPr>
        <w:t>68</w:t>
      </w:r>
      <w:r w:rsidR="00116D32">
        <w:rPr>
          <w:rFonts w:ascii="Times New Roman" w:eastAsia="Times New Roman" w:hAnsi="Times New Roman" w:cs="Times New Roman"/>
          <w:i/>
          <w:iCs/>
          <w:sz w:val="20"/>
          <w:szCs w:val="16"/>
          <w:lang w:val="fr-BE" w:eastAsia="en-IE"/>
        </w:rPr>
        <w:t xml:space="preserve">. </w:t>
      </w:r>
      <w:r w:rsidR="00AC368B">
        <w:rPr>
          <w:rFonts w:ascii="Times New Roman" w:eastAsia="Times New Roman" w:hAnsi="Times New Roman" w:cs="Times New Roman"/>
          <w:i/>
          <w:iCs/>
          <w:sz w:val="20"/>
          <w:szCs w:val="16"/>
          <w:lang w:val="fr-BE" w:eastAsia="en-IE"/>
        </w:rPr>
        <w:t>[…]</w:t>
      </w:r>
      <w:r w:rsidRPr="00C70A4B">
        <w:rPr>
          <w:rFonts w:ascii="Times New Roman" w:eastAsia="Times New Roman" w:hAnsi="Times New Roman" w:cs="Times New Roman"/>
          <w:i/>
          <w:iCs/>
          <w:sz w:val="20"/>
          <w:szCs w:val="16"/>
          <w:lang w:val="fr-BE" w:eastAsia="en-IE"/>
        </w:rPr>
        <w:t xml:space="preserve"> la Cour a eu l’occasion de préciser que seuls relèvent du champ d’application de la libre circulation des marchandises les produits appréciables en argent et susceptibles, comme tels, de former l’objet de transactions commerciales (voir en ce sens, notamment, arrêts du 10 décembre 1968, Commission/Italie, 7/68, Rec. p. 617, 626, et du 26 octobre 2006, Commission/Grèce, C</w:t>
      </w:r>
      <w:r w:rsidRPr="00C70A4B">
        <w:rPr>
          <w:rFonts w:ascii="Times New Roman" w:eastAsia="Times New Roman" w:hAnsi="Times New Roman" w:cs="Times New Roman"/>
          <w:i/>
          <w:iCs/>
          <w:sz w:val="20"/>
          <w:szCs w:val="16"/>
          <w:lang w:val="fr-BE" w:eastAsia="en-IE"/>
        </w:rPr>
        <w:noBreakHyphen/>
        <w:t>65/05, Rec. p. I</w:t>
      </w:r>
      <w:r w:rsidRPr="00C70A4B">
        <w:rPr>
          <w:rFonts w:ascii="Times New Roman" w:eastAsia="Times New Roman" w:hAnsi="Times New Roman" w:cs="Times New Roman"/>
          <w:i/>
          <w:iCs/>
          <w:sz w:val="20"/>
          <w:szCs w:val="16"/>
          <w:lang w:val="fr-BE" w:eastAsia="en-IE"/>
        </w:rPr>
        <w:noBreakHyphen/>
        <w:t>10341, points 23 à 25).</w:t>
      </w:r>
    </w:p>
    <w:p w14:paraId="257A0180" w14:textId="77777777" w:rsidR="007140D1" w:rsidRPr="00C70A4B"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49856F4" w14:textId="0CF1A5F4" w:rsidR="007140D1" w:rsidRPr="00C70A4B"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t>69</w:t>
      </w:r>
      <w:r w:rsidR="00116D32">
        <w:rPr>
          <w:rFonts w:ascii="Times New Roman" w:eastAsia="Times New Roman" w:hAnsi="Times New Roman" w:cs="Times New Roman"/>
          <w:i/>
          <w:iCs/>
          <w:sz w:val="20"/>
          <w:szCs w:val="16"/>
          <w:lang w:val="fr-BE" w:eastAsia="en-IE"/>
        </w:rPr>
        <w:t xml:space="preserve">. </w:t>
      </w:r>
      <w:r w:rsidRPr="00C70A4B">
        <w:rPr>
          <w:rFonts w:ascii="Times New Roman" w:eastAsia="Times New Roman" w:hAnsi="Times New Roman" w:cs="Times New Roman"/>
          <w:i/>
          <w:iCs/>
          <w:sz w:val="20"/>
          <w:szCs w:val="16"/>
          <w:lang w:val="fr-BE" w:eastAsia="en-IE"/>
        </w:rPr>
        <w:t>Or, il est constant que les passeports pour animaux de compagnie, dès lors qu’ils sont revêtus du numéro unique et identifient un animal spécifique, ne sauraient faire, en tant que tels, l’objet de transactions commerciales.</w:t>
      </w:r>
    </w:p>
    <w:p w14:paraId="734CA51B" w14:textId="77777777" w:rsidR="007140D1" w:rsidRPr="00C70A4B"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E66EE2C" w14:textId="7B2128F5" w:rsidR="007140D1" w:rsidRPr="00C70A4B" w:rsidRDefault="007140D1"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t>70</w:t>
      </w:r>
      <w:r w:rsidR="00116D32">
        <w:rPr>
          <w:rFonts w:ascii="Times New Roman" w:eastAsia="Times New Roman" w:hAnsi="Times New Roman" w:cs="Times New Roman"/>
          <w:i/>
          <w:iCs/>
          <w:sz w:val="20"/>
          <w:szCs w:val="16"/>
          <w:lang w:val="fr-BE" w:eastAsia="en-IE"/>
        </w:rPr>
        <w:t>.</w:t>
      </w:r>
      <w:r w:rsidRPr="00C70A4B">
        <w:rPr>
          <w:rFonts w:ascii="Times New Roman" w:eastAsia="Times New Roman" w:hAnsi="Times New Roman" w:cs="Times New Roman"/>
          <w:i/>
          <w:iCs/>
          <w:sz w:val="20"/>
          <w:szCs w:val="16"/>
          <w:lang w:val="fr-BE" w:eastAsia="en-IE"/>
        </w:rPr>
        <w:t xml:space="preserve"> Il est donc exclu que lesdits passeports puissent être qualifiés de «marchandise», au sens de la jurisprudence de la Cour, et que la directive 98/34 leur soit applicable. Par conséquent, des spécifications, telles que celles prévues par la réglementation belge en cause au principal, ne sauraient être qualifiées de spécifications techniques devant faire l’objet, conformément à l’article 8 de cette directive, d’une communication préalable à la Commission et, à défaut, être laissées inappliquées par le juge national (voir, en ce sens, arrêt du 8 novembre 2007, </w:t>
      </w:r>
      <w:proofErr w:type="spellStart"/>
      <w:r w:rsidRPr="00C70A4B">
        <w:rPr>
          <w:rFonts w:ascii="Times New Roman" w:eastAsia="Times New Roman" w:hAnsi="Times New Roman" w:cs="Times New Roman"/>
          <w:i/>
          <w:iCs/>
          <w:sz w:val="20"/>
          <w:szCs w:val="16"/>
          <w:lang w:val="fr-BE" w:eastAsia="en-IE"/>
        </w:rPr>
        <w:t>Schwibbert</w:t>
      </w:r>
      <w:proofErr w:type="spellEnd"/>
      <w:r w:rsidRPr="00C70A4B">
        <w:rPr>
          <w:rFonts w:ascii="Times New Roman" w:eastAsia="Times New Roman" w:hAnsi="Times New Roman" w:cs="Times New Roman"/>
          <w:i/>
          <w:iCs/>
          <w:sz w:val="20"/>
          <w:szCs w:val="16"/>
          <w:lang w:val="fr-BE" w:eastAsia="en-IE"/>
        </w:rPr>
        <w:t>, C</w:t>
      </w:r>
      <w:r w:rsidRPr="00C70A4B">
        <w:rPr>
          <w:rFonts w:ascii="Times New Roman" w:eastAsia="Times New Roman" w:hAnsi="Times New Roman" w:cs="Times New Roman"/>
          <w:i/>
          <w:iCs/>
          <w:sz w:val="20"/>
          <w:szCs w:val="16"/>
          <w:lang w:val="fr-BE" w:eastAsia="en-IE"/>
        </w:rPr>
        <w:noBreakHyphen/>
        <w:t>20/05, Rec. p. I</w:t>
      </w:r>
      <w:r w:rsidRPr="00C70A4B">
        <w:rPr>
          <w:rFonts w:ascii="Times New Roman" w:eastAsia="Times New Roman" w:hAnsi="Times New Roman" w:cs="Times New Roman"/>
          <w:i/>
          <w:iCs/>
          <w:sz w:val="20"/>
          <w:szCs w:val="16"/>
          <w:lang w:val="fr-BE" w:eastAsia="en-IE"/>
        </w:rPr>
        <w:noBreakHyphen/>
        <w:t>9447, points 33 et 44 ainsi que jurisprudence citée).» </w:t>
      </w:r>
    </w:p>
    <w:p w14:paraId="4E263449" w14:textId="77777777" w:rsidR="007140D1" w:rsidRDefault="007140D1" w:rsidP="00AA4F20">
      <w:pPr>
        <w:spacing w:after="0" w:line="240" w:lineRule="auto"/>
        <w:rPr>
          <w:lang w:val="fr-BE"/>
        </w:rPr>
      </w:pPr>
    </w:p>
    <w:p w14:paraId="2162ABC2" w14:textId="305CD523" w:rsidR="007140D1" w:rsidRPr="00C70A4B"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7" w:history="1">
        <w:r w:rsidR="007140D1" w:rsidRPr="00C70A4B">
          <w:rPr>
            <w:rFonts w:ascii="Times New Roman" w:eastAsia="Times New Roman" w:hAnsi="Times New Roman" w:cs="Times New Roman"/>
            <w:b/>
            <w:i/>
            <w:color w:val="0000FF"/>
            <w:szCs w:val="20"/>
            <w:u w:val="single"/>
            <w:lang w:val="fr" w:eastAsia="en-IE"/>
          </w:rPr>
          <w:t>Arrêt du 9 juin 2011</w:t>
        </w:r>
      </w:hyperlink>
      <w:r w:rsidR="007140D1" w:rsidRPr="00C70A4B">
        <w:rPr>
          <w:rFonts w:ascii="Times New Roman" w:eastAsia="Times New Roman" w:hAnsi="Times New Roman" w:cs="Times New Roman"/>
          <w:b/>
          <w:i/>
          <w:szCs w:val="20"/>
          <w:lang w:val="fr" w:eastAsia="en-IE"/>
        </w:rPr>
        <w:t xml:space="preserve">, </w:t>
      </w:r>
      <w:r w:rsidR="0087132A" w:rsidRPr="00C70A4B">
        <w:rPr>
          <w:rFonts w:ascii="Times New Roman" w:eastAsia="Times New Roman" w:hAnsi="Times New Roman" w:cs="Times New Roman"/>
          <w:b/>
          <w:i/>
          <w:szCs w:val="20"/>
          <w:lang w:val="fr" w:eastAsia="en-IE"/>
        </w:rPr>
        <w:t xml:space="preserve">Intercommunale </w:t>
      </w:r>
      <w:proofErr w:type="spellStart"/>
      <w:r w:rsidR="0087132A" w:rsidRPr="00C70A4B">
        <w:rPr>
          <w:rFonts w:ascii="Times New Roman" w:eastAsia="Times New Roman" w:hAnsi="Times New Roman" w:cs="Times New Roman"/>
          <w:b/>
          <w:i/>
          <w:szCs w:val="20"/>
          <w:lang w:val="fr" w:eastAsia="en-IE"/>
        </w:rPr>
        <w:t>Intermosane</w:t>
      </w:r>
      <w:proofErr w:type="spellEnd"/>
      <w:r w:rsidR="0087132A" w:rsidRPr="00C70A4B">
        <w:rPr>
          <w:rFonts w:ascii="Times New Roman" w:eastAsia="Times New Roman" w:hAnsi="Times New Roman" w:cs="Times New Roman"/>
          <w:b/>
          <w:i/>
          <w:szCs w:val="20"/>
          <w:lang w:val="fr" w:eastAsia="en-IE"/>
        </w:rPr>
        <w:t xml:space="preserve"> et Fédération de l’industrie et du gaz, </w:t>
      </w:r>
      <w:r w:rsidR="007140D1" w:rsidRPr="00C70A4B">
        <w:rPr>
          <w:rFonts w:ascii="Times New Roman" w:eastAsia="Times New Roman" w:hAnsi="Times New Roman" w:cs="Times New Roman"/>
          <w:b/>
          <w:i/>
          <w:szCs w:val="20"/>
          <w:lang w:val="fr" w:eastAsia="en-IE"/>
        </w:rPr>
        <w:t>C-361/10,</w:t>
      </w:r>
      <w:r w:rsidR="0087132A" w:rsidRPr="0087132A">
        <w:rPr>
          <w:rFonts w:ascii="Open Sans" w:hAnsi="Open Sans" w:cs="Open Sans"/>
          <w:color w:val="666666"/>
          <w:sz w:val="18"/>
          <w:szCs w:val="18"/>
          <w:lang w:val="fr-BE"/>
        </w:rPr>
        <w:t xml:space="preserve"> </w:t>
      </w:r>
      <w:r w:rsidR="0087132A" w:rsidRPr="0087132A">
        <w:rPr>
          <w:rFonts w:ascii="Times New Roman" w:eastAsia="Times New Roman" w:hAnsi="Times New Roman" w:cs="Times New Roman"/>
          <w:b/>
          <w:i/>
          <w:szCs w:val="20"/>
          <w:lang w:val="fr-BE" w:eastAsia="en-IE"/>
        </w:rPr>
        <w:t>EU:C:2011:382,</w:t>
      </w:r>
      <w:r w:rsidR="007140D1" w:rsidRPr="00C70A4B">
        <w:rPr>
          <w:rFonts w:ascii="Times New Roman" w:eastAsia="Times New Roman" w:hAnsi="Times New Roman" w:cs="Times New Roman"/>
          <w:b/>
          <w:i/>
          <w:szCs w:val="20"/>
          <w:lang w:val="fr" w:eastAsia="en-IE"/>
        </w:rPr>
        <w:t xml:space="preserve"> points 1</w:t>
      </w:r>
      <w:r w:rsidR="007140D1">
        <w:rPr>
          <w:rFonts w:ascii="Times New Roman" w:eastAsia="Times New Roman" w:hAnsi="Times New Roman" w:cs="Times New Roman"/>
          <w:b/>
          <w:i/>
          <w:szCs w:val="20"/>
          <w:lang w:val="fr" w:eastAsia="en-IE"/>
        </w:rPr>
        <w:t>4</w:t>
      </w:r>
      <w:r w:rsidR="007140D1" w:rsidRPr="00C70A4B">
        <w:rPr>
          <w:rFonts w:ascii="Times New Roman" w:eastAsia="Times New Roman" w:hAnsi="Times New Roman" w:cs="Times New Roman"/>
          <w:b/>
          <w:i/>
          <w:szCs w:val="20"/>
          <w:lang w:val="fr" w:eastAsia="en-IE"/>
        </w:rPr>
        <w:t xml:space="preserve"> à </w:t>
      </w:r>
      <w:r w:rsidR="007140D1">
        <w:rPr>
          <w:rFonts w:ascii="Times New Roman" w:eastAsia="Times New Roman" w:hAnsi="Times New Roman" w:cs="Times New Roman"/>
          <w:b/>
          <w:i/>
          <w:szCs w:val="20"/>
          <w:lang w:val="fr" w:eastAsia="en-IE"/>
        </w:rPr>
        <w:t>18</w:t>
      </w:r>
    </w:p>
    <w:p w14:paraId="61640877" w14:textId="77777777" w:rsidR="007140D1" w:rsidRPr="00C70A4B" w:rsidRDefault="007140D1" w:rsidP="00AA4F20">
      <w:pPr>
        <w:widowControl w:val="0"/>
        <w:autoSpaceDE w:val="0"/>
        <w:autoSpaceDN w:val="0"/>
        <w:spacing w:after="0" w:line="240" w:lineRule="auto"/>
        <w:jc w:val="both"/>
        <w:rPr>
          <w:rFonts w:ascii="Times New Roman" w:eastAsia="Times New Roman" w:hAnsi="Times New Roman" w:cs="Times New Roman"/>
          <w:b/>
          <w:i/>
          <w:szCs w:val="20"/>
          <w:lang w:val="fr" w:eastAsia="en-IE"/>
        </w:rPr>
      </w:pPr>
    </w:p>
    <w:p w14:paraId="55A5B903" w14:textId="04419688" w:rsidR="007140D1" w:rsidRPr="00C70A4B" w:rsidRDefault="007140D1" w:rsidP="00AA4F20">
      <w:pPr>
        <w:widowControl w:val="0"/>
        <w:autoSpaceDE w:val="0"/>
        <w:autoSpaceDN w:val="0"/>
        <w:spacing w:after="0" w:line="240" w:lineRule="auto"/>
        <w:jc w:val="both"/>
        <w:rPr>
          <w:rFonts w:ascii="Times New Roman" w:eastAsia="Times New Roman" w:hAnsi="Times New Roman" w:cs="Times New Roman"/>
          <w:bCs/>
          <w:iCs/>
          <w:szCs w:val="20"/>
          <w:lang w:val="fr" w:eastAsia="en-IE"/>
        </w:rPr>
      </w:pPr>
      <w:r w:rsidRPr="00C70A4B">
        <w:rPr>
          <w:rFonts w:ascii="Times New Roman" w:eastAsia="Times New Roman" w:hAnsi="Times New Roman" w:cs="Times New Roman"/>
          <w:bCs/>
          <w:iCs/>
          <w:szCs w:val="20"/>
          <w:lang w:val="fr" w:eastAsia="en-IE"/>
        </w:rPr>
        <w:t xml:space="preserve">Les dispositions nationales qui établissent des exigences minimales pour la réalisation d'installations électriques et la sécurité des travailleurs ne constituent pas des « spécifications techniques » </w:t>
      </w:r>
      <w:r>
        <w:rPr>
          <w:rFonts w:ascii="Times New Roman" w:eastAsia="Times New Roman" w:hAnsi="Times New Roman" w:cs="Times New Roman"/>
          <w:bCs/>
          <w:iCs/>
          <w:szCs w:val="20"/>
          <w:lang w:val="fr" w:eastAsia="en-IE"/>
        </w:rPr>
        <w:t xml:space="preserve">car </w:t>
      </w:r>
      <w:r w:rsidRPr="00C70A4B">
        <w:rPr>
          <w:rFonts w:ascii="Times New Roman" w:eastAsia="Times New Roman" w:hAnsi="Times New Roman" w:cs="Times New Roman"/>
          <w:bCs/>
          <w:iCs/>
          <w:szCs w:val="20"/>
          <w:lang w:val="fr" w:eastAsia="en-IE"/>
        </w:rPr>
        <w:t xml:space="preserve">elles fixent des objectifs généraux de sécurité et de protection sans se référer directement à un produit ou à son emballage ni en définir les caractéristiques. </w:t>
      </w:r>
    </w:p>
    <w:p w14:paraId="51B784A0" w14:textId="77777777" w:rsidR="007140D1" w:rsidRPr="00C70A4B" w:rsidRDefault="007140D1" w:rsidP="00AA4F20">
      <w:pPr>
        <w:widowControl w:val="0"/>
        <w:autoSpaceDE w:val="0"/>
        <w:autoSpaceDN w:val="0"/>
        <w:spacing w:after="0" w:line="240" w:lineRule="auto"/>
        <w:jc w:val="both"/>
        <w:rPr>
          <w:rFonts w:ascii="Times New Roman" w:eastAsia="Times New Roman" w:hAnsi="Times New Roman" w:cs="Times New Roman"/>
          <w:b/>
          <w:i/>
          <w:szCs w:val="20"/>
          <w:lang w:val="fr" w:eastAsia="en-IE"/>
        </w:rPr>
      </w:pPr>
    </w:p>
    <w:p w14:paraId="0867D47B" w14:textId="40E1C7ED"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C70A4B">
        <w:rPr>
          <w:rFonts w:ascii="Times New Roman" w:eastAsia="Times New Roman" w:hAnsi="Times New Roman" w:cs="Times New Roman"/>
          <w:bCs/>
          <w:i/>
          <w:sz w:val="20"/>
          <w:szCs w:val="16"/>
          <w:lang w:val="fr" w:eastAsia="en-IE"/>
        </w:rPr>
        <w:t>« </w:t>
      </w:r>
      <w:bookmarkStart w:id="10" w:name="point14"/>
      <w:r w:rsidRPr="00C70A4B">
        <w:rPr>
          <w:rFonts w:ascii="Times New Roman" w:eastAsia="Times New Roman" w:hAnsi="Times New Roman" w:cs="Times New Roman"/>
          <w:bCs/>
          <w:i/>
          <w:sz w:val="20"/>
          <w:szCs w:val="16"/>
          <w:lang w:val="fr-BE" w:eastAsia="en-IE"/>
        </w:rPr>
        <w:t>14</w:t>
      </w:r>
      <w:bookmarkEnd w:id="10"/>
      <w:r w:rsidR="00116D32">
        <w:rPr>
          <w:rFonts w:ascii="Times New Roman" w:eastAsia="Times New Roman" w:hAnsi="Times New Roman" w:cs="Times New Roman"/>
          <w:bCs/>
          <w:i/>
          <w:sz w:val="20"/>
          <w:szCs w:val="16"/>
          <w:lang w:val="fr-BE" w:eastAsia="en-IE"/>
        </w:rPr>
        <w:t xml:space="preserve">. </w:t>
      </w:r>
      <w:r w:rsidR="00AC368B">
        <w:rPr>
          <w:rFonts w:ascii="Times New Roman" w:eastAsia="Times New Roman" w:hAnsi="Times New Roman" w:cs="Times New Roman"/>
          <w:bCs/>
          <w:i/>
          <w:sz w:val="20"/>
          <w:szCs w:val="16"/>
          <w:lang w:val="fr-BE" w:eastAsia="en-IE"/>
        </w:rPr>
        <w:t>[…]</w:t>
      </w:r>
      <w:r w:rsidRPr="00C70A4B">
        <w:rPr>
          <w:rFonts w:ascii="Times New Roman" w:eastAsia="Times New Roman" w:hAnsi="Times New Roman" w:cs="Times New Roman"/>
          <w:bCs/>
          <w:i/>
          <w:sz w:val="20"/>
          <w:szCs w:val="16"/>
          <w:lang w:val="fr-BE" w:eastAsia="en-IE"/>
        </w:rPr>
        <w:t xml:space="preserve"> il y a lieu de vérifier si les dispositions nationales en cause au principal relèvent de la première catégorie de règles techniques visée à l’article 1</w:t>
      </w:r>
      <w:r w:rsidRPr="00C70A4B">
        <w:rPr>
          <w:rFonts w:ascii="Times New Roman" w:eastAsia="Times New Roman" w:hAnsi="Times New Roman" w:cs="Times New Roman"/>
          <w:bCs/>
          <w:i/>
          <w:sz w:val="20"/>
          <w:szCs w:val="16"/>
          <w:vertAlign w:val="superscript"/>
          <w:lang w:val="fr-BE" w:eastAsia="en-IE"/>
        </w:rPr>
        <w:t>er</w:t>
      </w:r>
      <w:r w:rsidRPr="00C70A4B">
        <w:rPr>
          <w:rFonts w:ascii="Times New Roman" w:eastAsia="Times New Roman" w:hAnsi="Times New Roman" w:cs="Times New Roman"/>
          <w:bCs/>
          <w:i/>
          <w:sz w:val="20"/>
          <w:szCs w:val="16"/>
          <w:lang w:val="fr-BE" w:eastAsia="en-IE"/>
        </w:rPr>
        <w:t>, point 11, de la directive 98/34, c’est-à-dire de la notion de «spécification technique».</w:t>
      </w:r>
    </w:p>
    <w:p w14:paraId="124F2ACF" w14:textId="77777777"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0229FC8D" w14:textId="430E98E1"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11" w:name="point15"/>
      <w:r w:rsidRPr="00C70A4B">
        <w:rPr>
          <w:rFonts w:ascii="Times New Roman" w:eastAsia="Times New Roman" w:hAnsi="Times New Roman" w:cs="Times New Roman"/>
          <w:bCs/>
          <w:i/>
          <w:sz w:val="20"/>
          <w:szCs w:val="16"/>
          <w:lang w:val="fr-BE" w:eastAsia="en-IE"/>
        </w:rPr>
        <w:t>15</w:t>
      </w:r>
      <w:bookmarkEnd w:id="11"/>
      <w:r w:rsidR="00116D32">
        <w:rPr>
          <w:rFonts w:ascii="Times New Roman" w:eastAsia="Times New Roman" w:hAnsi="Times New Roman" w:cs="Times New Roman"/>
          <w:bCs/>
          <w:i/>
          <w:sz w:val="20"/>
          <w:szCs w:val="16"/>
          <w:lang w:val="fr-BE" w:eastAsia="en-IE"/>
        </w:rPr>
        <w:t>.</w:t>
      </w:r>
      <w:r w:rsidRPr="00C70A4B">
        <w:rPr>
          <w:rFonts w:ascii="Times New Roman" w:eastAsia="Times New Roman" w:hAnsi="Times New Roman" w:cs="Times New Roman"/>
          <w:bCs/>
          <w:i/>
          <w:sz w:val="20"/>
          <w:szCs w:val="16"/>
          <w:lang w:val="fr-BE" w:eastAsia="en-IE"/>
        </w:rPr>
        <w:t> Il résulte de la jurisprudence que cette notion, qui est définie audit article 1</w:t>
      </w:r>
      <w:r w:rsidRPr="00C70A4B">
        <w:rPr>
          <w:rFonts w:ascii="Times New Roman" w:eastAsia="Times New Roman" w:hAnsi="Times New Roman" w:cs="Times New Roman"/>
          <w:bCs/>
          <w:i/>
          <w:sz w:val="20"/>
          <w:szCs w:val="16"/>
          <w:vertAlign w:val="superscript"/>
          <w:lang w:val="fr-BE" w:eastAsia="en-IE"/>
        </w:rPr>
        <w:t>er</w:t>
      </w:r>
      <w:r w:rsidRPr="00C70A4B">
        <w:rPr>
          <w:rFonts w:ascii="Times New Roman" w:eastAsia="Times New Roman" w:hAnsi="Times New Roman" w:cs="Times New Roman"/>
          <w:bCs/>
          <w:i/>
          <w:sz w:val="20"/>
          <w:szCs w:val="16"/>
          <w:lang w:val="fr-BE" w:eastAsia="en-IE"/>
        </w:rPr>
        <w:t xml:space="preserve">, point 3, présuppose que la mesure nationale se réfère nécessairement au produit ou à son emballage en tant que tels et fixe, dès lors, l’une des caractéristiques requises d’un produit (voir arrêt </w:t>
      </w:r>
      <w:proofErr w:type="spellStart"/>
      <w:r w:rsidRPr="00C70A4B">
        <w:rPr>
          <w:rFonts w:ascii="Times New Roman" w:eastAsia="Times New Roman" w:hAnsi="Times New Roman" w:cs="Times New Roman"/>
          <w:bCs/>
          <w:i/>
          <w:sz w:val="20"/>
          <w:szCs w:val="16"/>
          <w:lang w:val="fr-BE" w:eastAsia="en-IE"/>
        </w:rPr>
        <w:t>Schwibbert</w:t>
      </w:r>
      <w:proofErr w:type="spellEnd"/>
      <w:r w:rsidRPr="00C70A4B">
        <w:rPr>
          <w:rFonts w:ascii="Times New Roman" w:eastAsia="Times New Roman" w:hAnsi="Times New Roman" w:cs="Times New Roman"/>
          <w:bCs/>
          <w:i/>
          <w:sz w:val="20"/>
          <w:szCs w:val="16"/>
          <w:lang w:val="fr-BE" w:eastAsia="en-IE"/>
        </w:rPr>
        <w:t>, précité, point 35 et jurisprudence citée).</w:t>
      </w:r>
    </w:p>
    <w:p w14:paraId="1FCA6D4A" w14:textId="77777777"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33CF6EFA" w14:textId="373B9BB8"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12" w:name="point16"/>
      <w:r w:rsidRPr="00C70A4B">
        <w:rPr>
          <w:rFonts w:ascii="Times New Roman" w:eastAsia="Times New Roman" w:hAnsi="Times New Roman" w:cs="Times New Roman"/>
          <w:bCs/>
          <w:i/>
          <w:sz w:val="20"/>
          <w:szCs w:val="16"/>
          <w:lang w:val="fr-BE" w:eastAsia="en-IE"/>
        </w:rPr>
        <w:t>16</w:t>
      </w:r>
      <w:bookmarkEnd w:id="12"/>
      <w:r w:rsidR="00116D32">
        <w:rPr>
          <w:rFonts w:ascii="Times New Roman" w:eastAsia="Times New Roman" w:hAnsi="Times New Roman" w:cs="Times New Roman"/>
          <w:bCs/>
          <w:i/>
          <w:sz w:val="20"/>
          <w:szCs w:val="16"/>
          <w:lang w:val="fr-BE" w:eastAsia="en-IE"/>
        </w:rPr>
        <w:t>.</w:t>
      </w:r>
      <w:r w:rsidRPr="00C70A4B">
        <w:rPr>
          <w:rFonts w:ascii="Times New Roman" w:eastAsia="Times New Roman" w:hAnsi="Times New Roman" w:cs="Times New Roman"/>
          <w:bCs/>
          <w:i/>
          <w:sz w:val="20"/>
          <w:szCs w:val="16"/>
          <w:lang w:val="fr-BE" w:eastAsia="en-IE"/>
        </w:rPr>
        <w:t> S’agissant des dispositions nationales en cause au principal, il y a lieu de relever que les prescriptions minimales relatives à la réalisation de certaines installations électriques prévues par ces dispositions visent à assurer la sécurité de ces installations afin de protéger les travailleurs utilisant celles-ci.</w:t>
      </w:r>
    </w:p>
    <w:p w14:paraId="37E1350D" w14:textId="77777777"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55BD1175" w14:textId="5D76FE1B"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13" w:name="point17"/>
      <w:r w:rsidRPr="00C70A4B">
        <w:rPr>
          <w:rFonts w:ascii="Times New Roman" w:eastAsia="Times New Roman" w:hAnsi="Times New Roman" w:cs="Times New Roman"/>
          <w:bCs/>
          <w:i/>
          <w:sz w:val="20"/>
          <w:szCs w:val="16"/>
          <w:lang w:val="fr-BE" w:eastAsia="en-IE"/>
        </w:rPr>
        <w:t>17</w:t>
      </w:r>
      <w:bookmarkEnd w:id="13"/>
      <w:r w:rsidR="00116D32">
        <w:rPr>
          <w:rFonts w:ascii="Times New Roman" w:eastAsia="Times New Roman" w:hAnsi="Times New Roman" w:cs="Times New Roman"/>
          <w:bCs/>
          <w:i/>
          <w:sz w:val="20"/>
          <w:szCs w:val="16"/>
          <w:lang w:val="fr-BE" w:eastAsia="en-IE"/>
        </w:rPr>
        <w:t xml:space="preserve">. </w:t>
      </w:r>
      <w:r w:rsidRPr="00C70A4B">
        <w:rPr>
          <w:rFonts w:ascii="Times New Roman" w:eastAsia="Times New Roman" w:hAnsi="Times New Roman" w:cs="Times New Roman"/>
          <w:bCs/>
          <w:i/>
          <w:sz w:val="20"/>
          <w:szCs w:val="16"/>
          <w:lang w:val="fr-BE" w:eastAsia="en-IE"/>
        </w:rPr>
        <w:t>Or, force est de constater que ces prescriptions minimales comportent des exigences et des objectifs généraux en matière de sécurité et de protection, sans se référer nécessairement au produit concerné ou à son emballage en tant que tels et, dès lors, sans fixer les caractéristiques de ce produit.</w:t>
      </w:r>
    </w:p>
    <w:p w14:paraId="51539842" w14:textId="77777777" w:rsidR="007140D1" w:rsidRPr="00C70A4B"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0F050541" w14:textId="6D5D3647" w:rsidR="007140D1" w:rsidRDefault="007140D1"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14" w:name="point18"/>
      <w:r w:rsidRPr="00C70A4B">
        <w:rPr>
          <w:rFonts w:ascii="Times New Roman" w:eastAsia="Times New Roman" w:hAnsi="Times New Roman" w:cs="Times New Roman"/>
          <w:bCs/>
          <w:i/>
          <w:sz w:val="20"/>
          <w:szCs w:val="16"/>
          <w:lang w:val="fr-BE" w:eastAsia="en-IE"/>
        </w:rPr>
        <w:t>18</w:t>
      </w:r>
      <w:bookmarkEnd w:id="14"/>
      <w:r w:rsidR="00116D32">
        <w:rPr>
          <w:rFonts w:ascii="Times New Roman" w:eastAsia="Times New Roman" w:hAnsi="Times New Roman" w:cs="Times New Roman"/>
          <w:bCs/>
          <w:i/>
          <w:sz w:val="20"/>
          <w:szCs w:val="16"/>
          <w:lang w:val="fr-BE" w:eastAsia="en-IE"/>
        </w:rPr>
        <w:t xml:space="preserve">. </w:t>
      </w:r>
      <w:r w:rsidRPr="00C70A4B">
        <w:rPr>
          <w:rFonts w:ascii="Times New Roman" w:eastAsia="Times New Roman" w:hAnsi="Times New Roman" w:cs="Times New Roman"/>
          <w:bCs/>
          <w:i/>
          <w:sz w:val="20"/>
          <w:szCs w:val="16"/>
          <w:lang w:val="fr-BE" w:eastAsia="en-IE"/>
        </w:rPr>
        <w:t>Par conséquent, les dispositions nationales en cause au principal ne contiennent pas de spécifications techniques au sens de la directive 98/34.</w:t>
      </w:r>
      <w:r>
        <w:rPr>
          <w:rFonts w:ascii="Times New Roman" w:eastAsia="Times New Roman" w:hAnsi="Times New Roman" w:cs="Times New Roman"/>
          <w:bCs/>
          <w:i/>
          <w:sz w:val="20"/>
          <w:szCs w:val="16"/>
          <w:lang w:val="fr-BE" w:eastAsia="en-IE"/>
        </w:rPr>
        <w:t> »</w:t>
      </w:r>
    </w:p>
    <w:p w14:paraId="53242B1C" w14:textId="77777777" w:rsidR="00690AF6" w:rsidRDefault="00690AF6" w:rsidP="00690AF6">
      <w:pPr>
        <w:widowControl w:val="0"/>
        <w:autoSpaceDE w:val="0"/>
        <w:autoSpaceDN w:val="0"/>
        <w:spacing w:after="0" w:line="240" w:lineRule="auto"/>
        <w:jc w:val="both"/>
        <w:rPr>
          <w:rFonts w:ascii="Times New Roman" w:eastAsia="Times New Roman" w:hAnsi="Times New Roman" w:cs="Times New Roman"/>
          <w:bCs/>
          <w:i/>
          <w:sz w:val="20"/>
          <w:szCs w:val="16"/>
          <w:lang w:val="fr-BE" w:eastAsia="en-IE"/>
        </w:rPr>
      </w:pPr>
    </w:p>
    <w:p w14:paraId="0D9DF1FB" w14:textId="4FCF53F1" w:rsidR="00690AF6" w:rsidRPr="00C70A4B" w:rsidRDefault="00B3389F" w:rsidP="00690AF6">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8" w:history="1">
        <w:r w:rsidR="00690AF6" w:rsidRPr="00C70A4B">
          <w:rPr>
            <w:rFonts w:ascii="Times New Roman" w:eastAsia="Times New Roman" w:hAnsi="Times New Roman" w:cs="Times New Roman"/>
            <w:b/>
            <w:i/>
            <w:color w:val="0000FF"/>
            <w:szCs w:val="20"/>
            <w:u w:val="single"/>
            <w:lang w:val="fr" w:eastAsia="en-IE"/>
          </w:rPr>
          <w:t>Arrêt du 19 juillet 2012</w:t>
        </w:r>
      </w:hyperlink>
      <w:r w:rsidR="00690AF6" w:rsidRPr="00C70A4B">
        <w:rPr>
          <w:rFonts w:ascii="Times New Roman" w:eastAsia="Times New Roman" w:hAnsi="Times New Roman" w:cs="Times New Roman"/>
          <w:b/>
          <w:i/>
          <w:szCs w:val="20"/>
          <w:lang w:val="fr" w:eastAsia="en-IE"/>
        </w:rPr>
        <w:t xml:space="preserve">, </w:t>
      </w:r>
      <w:r w:rsidR="0087132A" w:rsidRPr="00C70A4B">
        <w:rPr>
          <w:rFonts w:ascii="Times New Roman" w:eastAsia="Times New Roman" w:hAnsi="Times New Roman" w:cs="Times New Roman"/>
          <w:b/>
          <w:i/>
          <w:szCs w:val="20"/>
          <w:lang w:val="fr" w:eastAsia="en-IE"/>
        </w:rPr>
        <w:t xml:space="preserve">Fortuna e.a., </w:t>
      </w:r>
      <w:r w:rsidR="00690AF6" w:rsidRPr="00C70A4B">
        <w:rPr>
          <w:rFonts w:ascii="Times New Roman" w:eastAsia="Times New Roman" w:hAnsi="Times New Roman" w:cs="Times New Roman"/>
          <w:b/>
          <w:i/>
          <w:szCs w:val="20"/>
          <w:lang w:val="fr" w:eastAsia="en-IE"/>
        </w:rPr>
        <w:t xml:space="preserve">C-213/11, C-214/11 et C-217/11, EU:C:2012:495, points </w:t>
      </w:r>
      <w:r w:rsidR="00690AF6">
        <w:rPr>
          <w:rFonts w:ascii="Times New Roman" w:eastAsia="Times New Roman" w:hAnsi="Times New Roman" w:cs="Times New Roman"/>
          <w:b/>
          <w:i/>
          <w:szCs w:val="20"/>
          <w:lang w:val="fr" w:eastAsia="en-IE"/>
        </w:rPr>
        <w:t>28 à 30</w:t>
      </w:r>
    </w:p>
    <w:p w14:paraId="7F58DA6F" w14:textId="77777777" w:rsidR="00690AF6" w:rsidRPr="00C70A4B" w:rsidRDefault="00690AF6" w:rsidP="00690AF6">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EC0D3A1" w14:textId="063D77B4" w:rsidR="00690AF6" w:rsidRPr="00C70A4B" w:rsidRDefault="00690AF6" w:rsidP="00690AF6">
      <w:pPr>
        <w:widowControl w:val="0"/>
        <w:tabs>
          <w:tab w:val="left" w:pos="451"/>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w:t>
      </w:r>
      <w:r w:rsidRPr="00C70A4B">
        <w:rPr>
          <w:rFonts w:ascii="Times New Roman" w:eastAsia="Times New Roman" w:hAnsi="Times New Roman" w:cs="Times New Roman"/>
          <w:szCs w:val="20"/>
          <w:lang w:val="fr" w:eastAsia="en-IE"/>
        </w:rPr>
        <w:t xml:space="preserve">es dispositions nationales restreignant l’exploitation de jeux sur des machines à faible prix en dehors des casinos </w:t>
      </w:r>
      <w:r>
        <w:rPr>
          <w:rFonts w:ascii="Times New Roman" w:eastAsia="Times New Roman" w:hAnsi="Times New Roman" w:cs="Times New Roman"/>
          <w:szCs w:val="20"/>
          <w:lang w:val="fr" w:eastAsia="en-IE"/>
        </w:rPr>
        <w:t xml:space="preserve">ne sont pas des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règles techniques</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car elles ne se réfèrent pas aux caractéristiques des appareils de jeux ou à leur emballage.</w:t>
      </w:r>
    </w:p>
    <w:p w14:paraId="16839258" w14:textId="77777777" w:rsidR="00690AF6" w:rsidRPr="00C70A4B" w:rsidRDefault="00690AF6" w:rsidP="00690AF6">
      <w:pPr>
        <w:widowControl w:val="0"/>
        <w:tabs>
          <w:tab w:val="left" w:pos="451"/>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7EB7D978" w14:textId="37FC2257" w:rsidR="00690AF6" w:rsidRPr="00690AF6" w:rsidRDefault="00690AF6" w:rsidP="00690AF6">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t>« </w:t>
      </w:r>
      <w:r w:rsidRPr="00690AF6">
        <w:rPr>
          <w:rFonts w:ascii="Times New Roman" w:eastAsia="Times New Roman" w:hAnsi="Times New Roman" w:cs="Times New Roman"/>
          <w:i/>
          <w:iCs/>
          <w:sz w:val="20"/>
          <w:szCs w:val="16"/>
          <w:lang w:val="fr-BE" w:eastAsia="en-IE"/>
        </w:rPr>
        <w:t>28</w:t>
      </w:r>
      <w:r w:rsidR="00116D32">
        <w:rPr>
          <w:rFonts w:ascii="Times New Roman" w:eastAsia="Times New Roman" w:hAnsi="Times New Roman" w:cs="Times New Roman"/>
          <w:i/>
          <w:iCs/>
          <w:sz w:val="20"/>
          <w:szCs w:val="16"/>
          <w:lang w:val="fr-BE" w:eastAsia="en-IE"/>
        </w:rPr>
        <w:t xml:space="preserve">. </w:t>
      </w:r>
      <w:r>
        <w:rPr>
          <w:rFonts w:ascii="Times New Roman" w:eastAsia="Times New Roman" w:hAnsi="Times New Roman" w:cs="Times New Roman"/>
          <w:i/>
          <w:iCs/>
          <w:sz w:val="20"/>
          <w:szCs w:val="16"/>
          <w:lang w:val="fr-BE" w:eastAsia="en-IE"/>
        </w:rPr>
        <w:t>[…]</w:t>
      </w:r>
      <w:r w:rsidRPr="00690AF6">
        <w:rPr>
          <w:rFonts w:ascii="Times New Roman" w:eastAsia="Times New Roman" w:hAnsi="Times New Roman" w:cs="Times New Roman"/>
          <w:i/>
          <w:iCs/>
          <w:sz w:val="20"/>
          <w:szCs w:val="16"/>
          <w:lang w:val="fr-BE" w:eastAsia="en-IE"/>
        </w:rPr>
        <w:t xml:space="preserve"> pour qu’une mesure nationale relève de la première catégorie de règles techniques visée à l’article 1er, point 11, de la directive 98/34, c’est-à-dire de la notion de «spécification technique», cette mesure doit se référer nécessairement au produit ou à son emballage en tant que tels et fixer, dès lors, l’une des caractéristiques requises d’un produit (voir arrêt Intercommunale </w:t>
      </w:r>
      <w:proofErr w:type="spellStart"/>
      <w:r w:rsidRPr="00690AF6">
        <w:rPr>
          <w:rFonts w:ascii="Times New Roman" w:eastAsia="Times New Roman" w:hAnsi="Times New Roman" w:cs="Times New Roman"/>
          <w:i/>
          <w:iCs/>
          <w:sz w:val="20"/>
          <w:szCs w:val="16"/>
          <w:lang w:val="fr-BE" w:eastAsia="en-IE"/>
        </w:rPr>
        <w:t>Intermosane</w:t>
      </w:r>
      <w:proofErr w:type="spellEnd"/>
      <w:r w:rsidRPr="00690AF6">
        <w:rPr>
          <w:rFonts w:ascii="Times New Roman" w:eastAsia="Times New Roman" w:hAnsi="Times New Roman" w:cs="Times New Roman"/>
          <w:i/>
          <w:iCs/>
          <w:sz w:val="20"/>
          <w:szCs w:val="16"/>
          <w:lang w:val="fr-BE" w:eastAsia="en-IE"/>
        </w:rPr>
        <w:t xml:space="preserve"> et Fédération de l’industrie et du gaz, précité, point 15).</w:t>
      </w:r>
    </w:p>
    <w:p w14:paraId="6E1EC52E" w14:textId="77777777" w:rsidR="00690AF6" w:rsidRPr="00690AF6" w:rsidRDefault="00690AF6" w:rsidP="00690AF6">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D7F67D4" w14:textId="75927EAA" w:rsidR="00690AF6" w:rsidRPr="00690AF6" w:rsidRDefault="00690AF6" w:rsidP="00690AF6">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90AF6">
        <w:rPr>
          <w:rFonts w:ascii="Times New Roman" w:eastAsia="Times New Roman" w:hAnsi="Times New Roman" w:cs="Times New Roman"/>
          <w:i/>
          <w:iCs/>
          <w:sz w:val="20"/>
          <w:szCs w:val="16"/>
          <w:lang w:val="fr-BE" w:eastAsia="en-IE"/>
        </w:rPr>
        <w:t>29</w:t>
      </w:r>
      <w:r w:rsidR="00116D32">
        <w:rPr>
          <w:rFonts w:ascii="Times New Roman" w:eastAsia="Times New Roman" w:hAnsi="Times New Roman" w:cs="Times New Roman"/>
          <w:i/>
          <w:iCs/>
          <w:sz w:val="20"/>
          <w:szCs w:val="16"/>
          <w:lang w:val="fr-BE" w:eastAsia="en-IE"/>
        </w:rPr>
        <w:t xml:space="preserve">. </w:t>
      </w:r>
      <w:r w:rsidRPr="00690AF6">
        <w:rPr>
          <w:rFonts w:ascii="Times New Roman" w:eastAsia="Times New Roman" w:hAnsi="Times New Roman" w:cs="Times New Roman"/>
          <w:i/>
          <w:iCs/>
          <w:sz w:val="20"/>
          <w:szCs w:val="16"/>
          <w:lang w:val="fr-BE" w:eastAsia="en-IE"/>
        </w:rPr>
        <w:t>Or, il suffit de constater que les dispositions transitoires de la loi sur les jeux de hasard portent sur les autorisations d’exercer l’activité de jeux automatisés à gains limités. Elles ne se réfèrent pas aux appareils de jeux à gains limités ou à leur emballage en tant que tels, et, dès lors, ne fixent pas les caractéristiques de ceux-ci.</w:t>
      </w:r>
    </w:p>
    <w:p w14:paraId="0BBEFC12" w14:textId="77777777" w:rsidR="00690AF6" w:rsidRPr="00690AF6" w:rsidRDefault="00690AF6" w:rsidP="00690AF6">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7456E1D" w14:textId="3541EC1E" w:rsidR="00690AF6" w:rsidRDefault="00690AF6" w:rsidP="00690AF6">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690AF6">
        <w:rPr>
          <w:rFonts w:ascii="Times New Roman" w:eastAsia="Times New Roman" w:hAnsi="Times New Roman" w:cs="Times New Roman"/>
          <w:i/>
          <w:iCs/>
          <w:sz w:val="20"/>
          <w:szCs w:val="16"/>
          <w:lang w:val="fr-BE" w:eastAsia="en-IE"/>
        </w:rPr>
        <w:t>30</w:t>
      </w:r>
      <w:r w:rsidR="00116D32">
        <w:rPr>
          <w:rFonts w:ascii="Times New Roman" w:eastAsia="Times New Roman" w:hAnsi="Times New Roman" w:cs="Times New Roman"/>
          <w:i/>
          <w:iCs/>
          <w:sz w:val="20"/>
          <w:szCs w:val="16"/>
          <w:lang w:val="fr-BE" w:eastAsia="en-IE"/>
        </w:rPr>
        <w:t xml:space="preserve">. </w:t>
      </w:r>
      <w:r w:rsidRPr="00690AF6">
        <w:rPr>
          <w:rFonts w:ascii="Times New Roman" w:eastAsia="Times New Roman" w:hAnsi="Times New Roman" w:cs="Times New Roman"/>
          <w:i/>
          <w:iCs/>
          <w:sz w:val="20"/>
          <w:szCs w:val="16"/>
          <w:lang w:val="fr-BE" w:eastAsia="en-IE"/>
        </w:rPr>
        <w:t>Par conséquent, les dispositions nationales en cause au principal ne contiennent pas de spécifications techniques au sens de la directive 98/34.</w:t>
      </w:r>
      <w:r>
        <w:rPr>
          <w:rFonts w:ascii="Times New Roman" w:eastAsia="Times New Roman" w:hAnsi="Times New Roman" w:cs="Times New Roman"/>
          <w:i/>
          <w:iCs/>
          <w:sz w:val="20"/>
          <w:szCs w:val="16"/>
          <w:lang w:val="fr-BE" w:eastAsia="en-IE"/>
        </w:rPr>
        <w:t> »</w:t>
      </w:r>
    </w:p>
    <w:p w14:paraId="3EBC2D49" w14:textId="77777777" w:rsidR="000B320E" w:rsidRDefault="000B320E" w:rsidP="000B320E">
      <w:pPr>
        <w:widowControl w:val="0"/>
        <w:autoSpaceDE w:val="0"/>
        <w:autoSpaceDN w:val="0"/>
        <w:spacing w:after="0" w:line="240" w:lineRule="auto"/>
        <w:jc w:val="both"/>
        <w:rPr>
          <w:rFonts w:ascii="Times New Roman" w:eastAsia="Times New Roman" w:hAnsi="Times New Roman" w:cs="Times New Roman"/>
          <w:bCs/>
          <w:i/>
          <w:sz w:val="20"/>
          <w:szCs w:val="16"/>
          <w:lang w:val="fr-BE" w:eastAsia="en-IE"/>
        </w:rPr>
      </w:pPr>
    </w:p>
    <w:p w14:paraId="0EFD42F6" w14:textId="576FD6E1" w:rsidR="000B320E" w:rsidRPr="00E60C42" w:rsidRDefault="00B3389F" w:rsidP="000B320E">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29" w:history="1">
        <w:r w:rsidR="000B320E" w:rsidRPr="00E60C42">
          <w:rPr>
            <w:rFonts w:ascii="Times New Roman" w:eastAsia="Times New Roman" w:hAnsi="Times New Roman" w:cs="Times New Roman"/>
            <w:b/>
            <w:i/>
            <w:color w:val="0000FF"/>
            <w:szCs w:val="20"/>
            <w:u w:val="single"/>
            <w:lang w:val="fr" w:eastAsia="en-IE"/>
          </w:rPr>
          <w:t>Arrêt du 10 juillet 2014,</w:t>
        </w:r>
      </w:hyperlink>
      <w:r w:rsidR="000B320E"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Ivansson</w:t>
      </w:r>
      <w:proofErr w:type="spellEnd"/>
      <w:r w:rsidR="00437A3E" w:rsidRPr="00E60C42">
        <w:rPr>
          <w:rFonts w:ascii="Times New Roman" w:eastAsia="Times New Roman" w:hAnsi="Times New Roman" w:cs="Times New Roman"/>
          <w:b/>
          <w:i/>
          <w:szCs w:val="20"/>
          <w:lang w:val="fr" w:eastAsia="en-IE"/>
        </w:rPr>
        <w:t xml:space="preserve"> e.a</w:t>
      </w:r>
      <w:r w:rsidR="00437A3E">
        <w:rPr>
          <w:rFonts w:ascii="Times New Roman" w:eastAsia="Times New Roman" w:hAnsi="Times New Roman" w:cs="Times New Roman"/>
          <w:b/>
          <w:i/>
          <w:szCs w:val="20"/>
          <w:lang w:val="fr" w:eastAsia="en-IE"/>
        </w:rPr>
        <w:t>.</w:t>
      </w:r>
      <w:r w:rsidR="00437A3E" w:rsidRPr="00E60C42">
        <w:rPr>
          <w:rFonts w:ascii="Times New Roman" w:eastAsia="Times New Roman" w:hAnsi="Times New Roman" w:cs="Times New Roman"/>
          <w:sz w:val="25"/>
          <w:szCs w:val="20"/>
          <w:lang w:val="fr" w:eastAsia="en-IE"/>
        </w:rPr>
        <w:t>,</w:t>
      </w:r>
      <w:r w:rsidR="00437A3E" w:rsidRPr="00E60C42">
        <w:rPr>
          <w:rFonts w:ascii="Times New Roman" w:eastAsia="Times New Roman" w:hAnsi="Times New Roman" w:cs="Times New Roman"/>
          <w:b/>
          <w:i/>
          <w:szCs w:val="20"/>
          <w:lang w:val="fr" w:eastAsia="en-IE"/>
        </w:rPr>
        <w:t xml:space="preserve"> </w:t>
      </w:r>
      <w:r w:rsidR="000B320E" w:rsidRPr="00E60C42">
        <w:rPr>
          <w:rFonts w:ascii="Times New Roman" w:eastAsia="Times New Roman" w:hAnsi="Times New Roman" w:cs="Times New Roman"/>
          <w:b/>
          <w:i/>
          <w:szCs w:val="20"/>
          <w:lang w:val="fr" w:eastAsia="en-IE"/>
        </w:rPr>
        <w:t xml:space="preserve">C-307/13, EU:C:2014:2058, points </w:t>
      </w:r>
      <w:r w:rsidR="000B320E">
        <w:rPr>
          <w:rFonts w:ascii="Times New Roman" w:eastAsia="Times New Roman" w:hAnsi="Times New Roman" w:cs="Times New Roman"/>
          <w:b/>
          <w:i/>
          <w:szCs w:val="20"/>
          <w:lang w:val="fr" w:eastAsia="en-IE"/>
        </w:rPr>
        <w:t>19 à 23</w:t>
      </w:r>
    </w:p>
    <w:p w14:paraId="24FE8ED1" w14:textId="77777777" w:rsidR="000B320E" w:rsidRPr="00E60C42" w:rsidRDefault="000B320E" w:rsidP="000B320E">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11E84DB" w14:textId="55808FC5" w:rsidR="00690AF6" w:rsidRPr="00690AF6" w:rsidRDefault="000B320E" w:rsidP="00690AF6">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lang w:val="fr" w:eastAsia="en-IE"/>
        </w:rPr>
      </w:pPr>
      <w:r w:rsidRPr="00E60C42">
        <w:rPr>
          <w:rFonts w:ascii="Times New Roman" w:eastAsia="Times New Roman" w:hAnsi="Times New Roman" w:cs="Times New Roman"/>
          <w:szCs w:val="20"/>
          <w:lang w:val="fr" w:eastAsia="en-IE"/>
        </w:rPr>
        <w:t>Une r</w:t>
      </w:r>
      <w:r>
        <w:rPr>
          <w:rFonts w:ascii="Times New Roman" w:eastAsia="Times New Roman" w:hAnsi="Times New Roman" w:cs="Times New Roman"/>
          <w:szCs w:val="20"/>
          <w:lang w:val="fr" w:eastAsia="en-IE"/>
        </w:rPr>
        <w:t>ègle établissant un objectif général de confort de</w:t>
      </w:r>
      <w:r w:rsidR="00690AF6">
        <w:rPr>
          <w:rFonts w:ascii="Times New Roman" w:eastAsia="Times New Roman" w:hAnsi="Times New Roman" w:cs="Times New Roman"/>
          <w:szCs w:val="20"/>
          <w:lang w:val="fr" w:eastAsia="en-IE"/>
        </w:rPr>
        <w:t xml:space="preserve"> la</w:t>
      </w:r>
      <w:r>
        <w:rPr>
          <w:rFonts w:ascii="Times New Roman" w:eastAsia="Times New Roman" w:hAnsi="Times New Roman" w:cs="Times New Roman"/>
          <w:szCs w:val="20"/>
          <w:lang w:val="fr" w:eastAsia="en-IE"/>
        </w:rPr>
        <w:t xml:space="preserve"> volaille </w:t>
      </w:r>
      <w:r w:rsidR="00690AF6">
        <w:rPr>
          <w:rFonts w:ascii="Times New Roman" w:eastAsia="Times New Roman" w:hAnsi="Times New Roman" w:cs="Times New Roman"/>
          <w:szCs w:val="20"/>
          <w:lang w:val="fr" w:eastAsia="en-IE"/>
        </w:rPr>
        <w:t xml:space="preserve">et de qualités des infrastructures d’élevage </w:t>
      </w:r>
      <w:r>
        <w:rPr>
          <w:rFonts w:ascii="Times New Roman" w:eastAsia="Times New Roman" w:hAnsi="Times New Roman" w:cs="Times New Roman"/>
          <w:szCs w:val="20"/>
          <w:lang w:val="fr" w:eastAsia="en-IE"/>
        </w:rPr>
        <w:t xml:space="preserve">n’est pas une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spécification technique</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parce qu’elle n’établit pas les caractéristiques du produit et qu’elle </w:t>
      </w:r>
      <w:r w:rsidR="00690AF6">
        <w:rPr>
          <w:rFonts w:ascii="Times New Roman" w:eastAsia="Times New Roman" w:hAnsi="Times New Roman" w:cs="Times New Roman"/>
          <w:szCs w:val="20"/>
          <w:lang w:val="fr" w:eastAsia="en-IE"/>
        </w:rPr>
        <w:t>n’est pas assez précise pour définir une méthode de production.</w:t>
      </w:r>
      <w:r>
        <w:rPr>
          <w:rFonts w:ascii="Times New Roman" w:eastAsia="Times New Roman" w:hAnsi="Times New Roman" w:cs="Times New Roman"/>
          <w:szCs w:val="20"/>
          <w:lang w:val="fr" w:eastAsia="en-IE"/>
        </w:rPr>
        <w:t xml:space="preserve"> </w:t>
      </w:r>
    </w:p>
    <w:p w14:paraId="79465955" w14:textId="77777777" w:rsid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177786DF" w14:textId="12FB400C"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Pr>
          <w:rFonts w:ascii="Times New Roman" w:eastAsia="Times New Roman" w:hAnsi="Times New Roman" w:cs="Times New Roman"/>
          <w:bCs/>
          <w:i/>
          <w:sz w:val="20"/>
          <w:szCs w:val="16"/>
          <w:lang w:val="fr-BE" w:eastAsia="en-IE"/>
        </w:rPr>
        <w:t>« </w:t>
      </w:r>
      <w:r w:rsidRPr="000B320E">
        <w:rPr>
          <w:rFonts w:ascii="Times New Roman" w:eastAsia="Times New Roman" w:hAnsi="Times New Roman" w:cs="Times New Roman"/>
          <w:bCs/>
          <w:i/>
          <w:sz w:val="20"/>
          <w:szCs w:val="16"/>
          <w:lang w:val="fr-BE" w:eastAsia="en-IE"/>
        </w:rPr>
        <w:t>19</w:t>
      </w:r>
      <w:r w:rsidR="00116D32">
        <w:rPr>
          <w:rFonts w:ascii="Times New Roman" w:eastAsia="Times New Roman" w:hAnsi="Times New Roman" w:cs="Times New Roman"/>
          <w:bCs/>
          <w:i/>
          <w:sz w:val="20"/>
          <w:szCs w:val="16"/>
          <w:lang w:val="fr-BE" w:eastAsia="en-IE"/>
        </w:rPr>
        <w:t xml:space="preserve">. </w:t>
      </w:r>
      <w:r>
        <w:rPr>
          <w:rFonts w:ascii="Times New Roman" w:eastAsia="Times New Roman" w:hAnsi="Times New Roman" w:cs="Times New Roman"/>
          <w:bCs/>
          <w:i/>
          <w:sz w:val="20"/>
          <w:szCs w:val="16"/>
          <w:lang w:val="fr-BE" w:eastAsia="en-IE"/>
        </w:rPr>
        <w:t>[…]</w:t>
      </w:r>
      <w:r w:rsidRPr="000B320E">
        <w:rPr>
          <w:rFonts w:ascii="Times New Roman" w:eastAsia="Times New Roman" w:hAnsi="Times New Roman" w:cs="Times New Roman"/>
          <w:bCs/>
          <w:i/>
          <w:sz w:val="20"/>
          <w:szCs w:val="16"/>
          <w:lang w:val="fr-BE" w:eastAsia="en-IE"/>
        </w:rPr>
        <w:t xml:space="preserve"> selon la jurisprudence, cette notion </w:t>
      </w:r>
      <w:r>
        <w:rPr>
          <w:rFonts w:ascii="Times New Roman" w:eastAsia="Times New Roman" w:hAnsi="Times New Roman" w:cs="Times New Roman"/>
          <w:bCs/>
          <w:i/>
          <w:sz w:val="20"/>
          <w:szCs w:val="16"/>
          <w:lang w:val="fr-BE" w:eastAsia="en-IE"/>
        </w:rPr>
        <w:t xml:space="preserve">[de « spécification technique »] </w:t>
      </w:r>
      <w:r w:rsidRPr="000B320E">
        <w:rPr>
          <w:rFonts w:ascii="Times New Roman" w:eastAsia="Times New Roman" w:hAnsi="Times New Roman" w:cs="Times New Roman"/>
          <w:bCs/>
          <w:i/>
          <w:sz w:val="20"/>
          <w:szCs w:val="16"/>
          <w:lang w:val="fr-BE" w:eastAsia="en-IE"/>
        </w:rPr>
        <w:t>présuppose que la mesure nationale se réfère nécessairement au produit ou à son emballage en tant que tels et fixe, dès lors, l’une des caractéristiques requises d’un produit (voir, en ce sens, arrêt Fortuna e.a., EU:C:2012:495, point 28).</w:t>
      </w:r>
    </w:p>
    <w:p w14:paraId="5F7DD15B" w14:textId="77777777"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78D580AC" w14:textId="33E705C4"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0B320E">
        <w:rPr>
          <w:rFonts w:ascii="Times New Roman" w:eastAsia="Times New Roman" w:hAnsi="Times New Roman" w:cs="Times New Roman"/>
          <w:bCs/>
          <w:i/>
          <w:sz w:val="20"/>
          <w:szCs w:val="16"/>
          <w:lang w:val="fr-BE" w:eastAsia="en-IE"/>
        </w:rPr>
        <w:t>20</w:t>
      </w:r>
      <w:r w:rsidR="00116D32">
        <w:rPr>
          <w:rFonts w:ascii="Times New Roman" w:eastAsia="Times New Roman" w:hAnsi="Times New Roman" w:cs="Times New Roman"/>
          <w:bCs/>
          <w:i/>
          <w:sz w:val="20"/>
          <w:szCs w:val="16"/>
          <w:lang w:val="fr-BE" w:eastAsia="en-IE"/>
        </w:rPr>
        <w:t xml:space="preserve">. </w:t>
      </w:r>
      <w:r w:rsidRPr="000B320E">
        <w:rPr>
          <w:rFonts w:ascii="Times New Roman" w:eastAsia="Times New Roman" w:hAnsi="Times New Roman" w:cs="Times New Roman"/>
          <w:bCs/>
          <w:i/>
          <w:sz w:val="20"/>
          <w:szCs w:val="16"/>
          <w:lang w:val="fr-BE" w:eastAsia="en-IE"/>
        </w:rPr>
        <w:t xml:space="preserve">En outre, s’agissant des produits agricoles, la Cour a indiqué que la notion de «spécification </w:t>
      </w:r>
      <w:r w:rsidRPr="000B320E">
        <w:rPr>
          <w:rFonts w:ascii="Times New Roman" w:eastAsia="Times New Roman" w:hAnsi="Times New Roman" w:cs="Times New Roman"/>
          <w:bCs/>
          <w:i/>
          <w:sz w:val="20"/>
          <w:szCs w:val="16"/>
          <w:lang w:val="fr-BE" w:eastAsia="en-IE"/>
        </w:rPr>
        <w:lastRenderedPageBreak/>
        <w:t xml:space="preserve">technique» désigne la spécification qui figure dans un document définissant les caractéristiques du produit ou ses méthodes et procédés de production (voir, en ce sens, arrêt </w:t>
      </w:r>
      <w:proofErr w:type="spellStart"/>
      <w:r w:rsidRPr="000B320E">
        <w:rPr>
          <w:rFonts w:ascii="Times New Roman" w:eastAsia="Times New Roman" w:hAnsi="Times New Roman" w:cs="Times New Roman"/>
          <w:bCs/>
          <w:i/>
          <w:sz w:val="20"/>
          <w:szCs w:val="16"/>
          <w:lang w:val="fr-BE" w:eastAsia="en-IE"/>
        </w:rPr>
        <w:t>Donkersteeg</w:t>
      </w:r>
      <w:proofErr w:type="spellEnd"/>
      <w:r w:rsidRPr="000B320E">
        <w:rPr>
          <w:rFonts w:ascii="Times New Roman" w:eastAsia="Times New Roman" w:hAnsi="Times New Roman" w:cs="Times New Roman"/>
          <w:bCs/>
          <w:i/>
          <w:sz w:val="20"/>
          <w:szCs w:val="16"/>
          <w:lang w:val="fr-BE" w:eastAsia="en-IE"/>
        </w:rPr>
        <w:t>, C‑37/99, EU:C:2000:636, point 30).</w:t>
      </w:r>
    </w:p>
    <w:p w14:paraId="31B646EA" w14:textId="77777777"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38CB3F5F" w14:textId="1F1F2CC3"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0B320E">
        <w:rPr>
          <w:rFonts w:ascii="Times New Roman" w:eastAsia="Times New Roman" w:hAnsi="Times New Roman" w:cs="Times New Roman"/>
          <w:bCs/>
          <w:i/>
          <w:sz w:val="20"/>
          <w:szCs w:val="16"/>
          <w:lang w:val="fr-BE" w:eastAsia="en-IE"/>
        </w:rPr>
        <w:t>21</w:t>
      </w:r>
      <w:r w:rsidR="00116D32">
        <w:rPr>
          <w:rFonts w:ascii="Times New Roman" w:eastAsia="Times New Roman" w:hAnsi="Times New Roman" w:cs="Times New Roman"/>
          <w:bCs/>
          <w:i/>
          <w:sz w:val="20"/>
          <w:szCs w:val="16"/>
          <w:lang w:val="fr-BE" w:eastAsia="en-IE"/>
        </w:rPr>
        <w:t xml:space="preserve">. </w:t>
      </w:r>
      <w:r w:rsidRPr="000B320E">
        <w:rPr>
          <w:rFonts w:ascii="Times New Roman" w:eastAsia="Times New Roman" w:hAnsi="Times New Roman" w:cs="Times New Roman"/>
          <w:bCs/>
          <w:i/>
          <w:sz w:val="20"/>
          <w:szCs w:val="16"/>
          <w:lang w:val="fr-BE" w:eastAsia="en-IE"/>
        </w:rPr>
        <w:t>Or, il convient de constater, d’une part, que si l’article 9 du décret (1988:539) concerne le confort et la qualité des infrastructures où sont élevées les poules pondeuses, à savoir les cages aménagées, cette disposition ne définit cependant pas, ainsi que l’a relevé le gouvernement polonais, les caractéristiques que doivent présenter les produits en cause au principal.</w:t>
      </w:r>
    </w:p>
    <w:p w14:paraId="684AFA79" w14:textId="77777777"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1F77E16E" w14:textId="7E396494"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0B320E">
        <w:rPr>
          <w:rFonts w:ascii="Times New Roman" w:eastAsia="Times New Roman" w:hAnsi="Times New Roman" w:cs="Times New Roman"/>
          <w:bCs/>
          <w:i/>
          <w:sz w:val="20"/>
          <w:szCs w:val="16"/>
          <w:lang w:val="fr-BE" w:eastAsia="en-IE"/>
        </w:rPr>
        <w:t>22</w:t>
      </w:r>
      <w:r w:rsidR="00116D32">
        <w:rPr>
          <w:rFonts w:ascii="Times New Roman" w:eastAsia="Times New Roman" w:hAnsi="Times New Roman" w:cs="Times New Roman"/>
          <w:bCs/>
          <w:i/>
          <w:sz w:val="20"/>
          <w:szCs w:val="16"/>
          <w:lang w:val="fr-BE" w:eastAsia="en-IE"/>
        </w:rPr>
        <w:t>.</w:t>
      </w:r>
      <w:r w:rsidRPr="000B320E">
        <w:rPr>
          <w:rFonts w:ascii="Times New Roman" w:eastAsia="Times New Roman" w:hAnsi="Times New Roman" w:cs="Times New Roman"/>
          <w:bCs/>
          <w:i/>
          <w:sz w:val="20"/>
          <w:szCs w:val="16"/>
          <w:lang w:val="fr-BE" w:eastAsia="en-IE"/>
        </w:rPr>
        <w:t xml:space="preserve"> D’autre part, à supposer qu’il puisse être considéré que cette disposition porte sur une méthode de production en ce qu’elle vise, comme indiqué au point précédent, l’élevage des poules pondeuses au sein de cages aménagées, il y a toutefois lieu de relever que ladite disposition se contente de mentionner de façon générale l’exigence de l’existence de nids, de perchoirs et de bains de poussière au sein de ces infrastructures sans pour autant déterminer spécifiquement les divers aspects de ce mode d’élevage. En effet, l’article 9 du décret (1988:539) ne comporte aucune indication relative, à titre d’exemple, à la dimension, au nombre, à la température, à l’entretien, au fonctionnement desdits aménagements en termes d’exposition des poules pondeuses à la lumière ou encore aux équipements d’alimentation et d’abreuvement. En l’absence de toute précision contenue dans l’article 9 du décret (1988:539), celui-ci ne saurait dès lors être considéré comme définissant une méthode ou un procédé de production.</w:t>
      </w:r>
    </w:p>
    <w:p w14:paraId="550FFAE6" w14:textId="77777777" w:rsidR="000B320E" w:rsidRPr="000B320E" w:rsidRDefault="000B320E" w:rsidP="000B320E">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745CA63F" w14:textId="6303F3E4" w:rsidR="007140D1" w:rsidRPr="00690AF6" w:rsidRDefault="000B320E" w:rsidP="00690AF6">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r w:rsidRPr="000B320E">
        <w:rPr>
          <w:rFonts w:ascii="Times New Roman" w:eastAsia="Times New Roman" w:hAnsi="Times New Roman" w:cs="Times New Roman"/>
          <w:bCs/>
          <w:i/>
          <w:sz w:val="20"/>
          <w:szCs w:val="16"/>
          <w:lang w:val="fr-BE" w:eastAsia="en-IE"/>
        </w:rPr>
        <w:t>23</w:t>
      </w:r>
      <w:r w:rsidR="00116D32">
        <w:rPr>
          <w:rFonts w:ascii="Times New Roman" w:eastAsia="Times New Roman" w:hAnsi="Times New Roman" w:cs="Times New Roman"/>
          <w:bCs/>
          <w:i/>
          <w:sz w:val="20"/>
          <w:szCs w:val="16"/>
          <w:lang w:val="fr-BE" w:eastAsia="en-IE"/>
        </w:rPr>
        <w:t xml:space="preserve">. </w:t>
      </w:r>
      <w:r w:rsidRPr="000B320E">
        <w:rPr>
          <w:rFonts w:ascii="Times New Roman" w:eastAsia="Times New Roman" w:hAnsi="Times New Roman" w:cs="Times New Roman"/>
          <w:bCs/>
          <w:i/>
          <w:sz w:val="20"/>
          <w:szCs w:val="16"/>
          <w:lang w:val="fr-BE" w:eastAsia="en-IE"/>
        </w:rPr>
        <w:t xml:space="preserve">Par ailleurs, il est à noter que, en indiquant que «les modes d’élevage doivent tendre à maintenir à un niveau bas la mortalité et les troubles du comportement chez les poules» sans autre indication, l’article 9, premier alinéa, du décret (1988:539) se contente d’énoncer un objectif général en matière de bien-être des poules pondeuses, sans préciser concrètement sa mise en œuvre ni se référer nécessairement au produit concerné et, dès lors, sans fixer les caractéristiques de ce dernier (voir, par analogie, arrêt Intercommunale </w:t>
      </w:r>
      <w:proofErr w:type="spellStart"/>
      <w:r w:rsidRPr="000B320E">
        <w:rPr>
          <w:rFonts w:ascii="Times New Roman" w:eastAsia="Times New Roman" w:hAnsi="Times New Roman" w:cs="Times New Roman"/>
          <w:bCs/>
          <w:i/>
          <w:sz w:val="20"/>
          <w:szCs w:val="16"/>
          <w:lang w:val="fr-BE" w:eastAsia="en-IE"/>
        </w:rPr>
        <w:t>Intermosane</w:t>
      </w:r>
      <w:proofErr w:type="spellEnd"/>
      <w:r w:rsidRPr="000B320E">
        <w:rPr>
          <w:rFonts w:ascii="Times New Roman" w:eastAsia="Times New Roman" w:hAnsi="Times New Roman" w:cs="Times New Roman"/>
          <w:bCs/>
          <w:i/>
          <w:sz w:val="20"/>
          <w:szCs w:val="16"/>
          <w:lang w:val="fr-BE" w:eastAsia="en-IE"/>
        </w:rPr>
        <w:t xml:space="preserve"> et Fédération de l’industrie et du gaz, C‑361/10, EU:C:2011:382, point 17).</w:t>
      </w:r>
      <w:r>
        <w:rPr>
          <w:rFonts w:ascii="Times New Roman" w:eastAsia="Times New Roman" w:hAnsi="Times New Roman" w:cs="Times New Roman"/>
          <w:bCs/>
          <w:i/>
          <w:sz w:val="20"/>
          <w:szCs w:val="16"/>
          <w:lang w:val="fr-BE" w:eastAsia="en-IE"/>
        </w:rPr>
        <w:t>»</w:t>
      </w:r>
    </w:p>
    <w:p w14:paraId="670DA886" w14:textId="77777777" w:rsidR="00AC368B" w:rsidRDefault="00AC368B" w:rsidP="00AA4F20">
      <w:pPr>
        <w:spacing w:after="0" w:line="240" w:lineRule="auto"/>
        <w:rPr>
          <w:lang w:val="fr-BE"/>
        </w:rPr>
      </w:pPr>
    </w:p>
    <w:p w14:paraId="0E8770E2" w14:textId="72AB3A9F" w:rsidR="007140D1" w:rsidRPr="005116E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0" w:history="1">
        <w:r w:rsidR="007140D1" w:rsidRPr="005116EF">
          <w:rPr>
            <w:rFonts w:ascii="Times New Roman" w:eastAsia="Times New Roman" w:hAnsi="Times New Roman" w:cs="Times New Roman"/>
            <w:b/>
            <w:i/>
            <w:color w:val="0000FF"/>
            <w:szCs w:val="20"/>
            <w:u w:val="single"/>
            <w:lang w:val="fr" w:eastAsia="en-IE"/>
          </w:rPr>
          <w:t>Arrêt du 27 octobre 2016</w:t>
        </w:r>
      </w:hyperlink>
      <w:r w:rsidR="007140D1" w:rsidRPr="005116EF">
        <w:rPr>
          <w:rFonts w:ascii="Times New Roman" w:eastAsia="Times New Roman" w:hAnsi="Times New Roman" w:cs="Times New Roman"/>
          <w:b/>
          <w:i/>
          <w:szCs w:val="20"/>
          <w:lang w:val="fr" w:eastAsia="en-IE"/>
        </w:rPr>
        <w:t xml:space="preserve">, </w:t>
      </w:r>
      <w:r w:rsidR="00437A3E" w:rsidRPr="005116EF">
        <w:rPr>
          <w:rFonts w:ascii="Times New Roman" w:eastAsia="Times New Roman" w:hAnsi="Times New Roman" w:cs="Times New Roman"/>
          <w:b/>
          <w:i/>
          <w:szCs w:val="20"/>
          <w:lang w:val="fr" w:eastAsia="en-IE"/>
        </w:rPr>
        <w:t xml:space="preserve">James Elliott Construction, </w:t>
      </w:r>
      <w:r w:rsidR="007140D1" w:rsidRPr="005116EF">
        <w:rPr>
          <w:rFonts w:ascii="Times New Roman" w:eastAsia="Times New Roman" w:hAnsi="Times New Roman" w:cs="Times New Roman"/>
          <w:b/>
          <w:i/>
          <w:szCs w:val="20"/>
          <w:lang w:val="fr" w:eastAsia="en-IE"/>
        </w:rPr>
        <w:t xml:space="preserve">C-613/14, EU:C:2016:821, point </w:t>
      </w:r>
      <w:r w:rsidR="007140D1">
        <w:rPr>
          <w:rFonts w:ascii="Times New Roman" w:eastAsia="Times New Roman" w:hAnsi="Times New Roman" w:cs="Times New Roman"/>
          <w:b/>
          <w:i/>
          <w:szCs w:val="20"/>
          <w:lang w:val="fr" w:eastAsia="en-IE"/>
        </w:rPr>
        <w:t>67</w:t>
      </w:r>
    </w:p>
    <w:p w14:paraId="7D023ECD" w14:textId="77777777" w:rsidR="007140D1" w:rsidRPr="005116EF"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A304139" w14:textId="5C097582" w:rsidR="007140D1" w:rsidRPr="005116EF" w:rsidRDefault="007140D1" w:rsidP="00AA4F20">
      <w:pPr>
        <w:widowControl w:val="0"/>
        <w:tabs>
          <w:tab w:val="left" w:pos="430"/>
        </w:tabs>
        <w:autoSpaceDE w:val="0"/>
        <w:autoSpaceDN w:val="0"/>
        <w:spacing w:after="0" w:line="240" w:lineRule="auto"/>
        <w:jc w:val="both"/>
        <w:rPr>
          <w:rFonts w:ascii="Times New Roman" w:eastAsia="Times New Roman" w:hAnsi="Times New Roman" w:cs="Times New Roman"/>
          <w:szCs w:val="20"/>
          <w:lang w:val="fr" w:eastAsia="en-IE"/>
        </w:rPr>
      </w:pPr>
      <w:r w:rsidRPr="005116EF">
        <w:rPr>
          <w:rFonts w:ascii="Times New Roman" w:eastAsia="Times New Roman" w:hAnsi="Times New Roman" w:cs="Times New Roman"/>
          <w:szCs w:val="20"/>
          <w:lang w:val="fr" w:eastAsia="en-IE"/>
        </w:rPr>
        <w:t>Des dispositions nationales énonçant</w:t>
      </w:r>
      <w:r w:rsidR="00690AF6">
        <w:rPr>
          <w:rFonts w:ascii="Times New Roman" w:eastAsia="Times New Roman" w:hAnsi="Times New Roman" w:cs="Times New Roman"/>
          <w:szCs w:val="20"/>
          <w:lang w:val="fr" w:eastAsia="en-IE"/>
        </w:rPr>
        <w:t xml:space="preserve"> </w:t>
      </w:r>
      <w:r w:rsidRPr="005116EF">
        <w:rPr>
          <w:rFonts w:ascii="Times New Roman" w:eastAsia="Times New Roman" w:hAnsi="Times New Roman" w:cs="Times New Roman"/>
          <w:szCs w:val="20"/>
          <w:lang w:val="fr" w:eastAsia="en-IE"/>
        </w:rPr>
        <w:t>des conditions contractuelles implicites concernant la qualité marchande et l’aptitude à l’usage ou la qualité de produits vendus, ne constituent pas des «</w:t>
      </w:r>
      <w:r>
        <w:rPr>
          <w:rFonts w:ascii="Times New Roman" w:eastAsia="Times New Roman" w:hAnsi="Times New Roman" w:cs="Times New Roman"/>
          <w:szCs w:val="20"/>
          <w:lang w:val="fr" w:eastAsia="en-IE"/>
        </w:rPr>
        <w:t xml:space="preserve"> spécifications techniques » car elles ne se réfèrent pas </w:t>
      </w:r>
      <w:r w:rsidR="00AC368B">
        <w:rPr>
          <w:rFonts w:ascii="Times New Roman" w:eastAsia="Times New Roman" w:hAnsi="Times New Roman" w:cs="Times New Roman"/>
          <w:szCs w:val="20"/>
          <w:lang w:val="fr" w:eastAsia="en-IE"/>
        </w:rPr>
        <w:t>aux caractéristiques</w:t>
      </w:r>
      <w:r>
        <w:rPr>
          <w:rFonts w:ascii="Times New Roman" w:eastAsia="Times New Roman" w:hAnsi="Times New Roman" w:cs="Times New Roman"/>
          <w:szCs w:val="20"/>
          <w:lang w:val="fr" w:eastAsia="en-IE"/>
        </w:rPr>
        <w:t xml:space="preserve"> du produit ou de son emballage.</w:t>
      </w:r>
    </w:p>
    <w:p w14:paraId="08430033" w14:textId="77777777" w:rsidR="007140D1" w:rsidRPr="005116EF" w:rsidRDefault="007140D1" w:rsidP="00AA4F20">
      <w:pPr>
        <w:widowControl w:val="0"/>
        <w:tabs>
          <w:tab w:val="left" w:pos="430"/>
        </w:tabs>
        <w:autoSpaceDE w:val="0"/>
        <w:autoSpaceDN w:val="0"/>
        <w:spacing w:after="0" w:line="240" w:lineRule="auto"/>
        <w:jc w:val="both"/>
        <w:rPr>
          <w:rFonts w:ascii="Times New Roman" w:eastAsia="Times New Roman" w:hAnsi="Times New Roman" w:cs="Times New Roman"/>
          <w:szCs w:val="20"/>
          <w:lang w:val="fr" w:eastAsia="en-IE"/>
        </w:rPr>
      </w:pPr>
    </w:p>
    <w:p w14:paraId="0D6B6BDD" w14:textId="706F95F2" w:rsidR="007140D1" w:rsidRPr="00756188" w:rsidRDefault="007140D1"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116EF">
        <w:rPr>
          <w:rFonts w:ascii="Times New Roman" w:eastAsia="Times New Roman" w:hAnsi="Times New Roman" w:cs="Times New Roman"/>
          <w:i/>
          <w:iCs/>
          <w:sz w:val="20"/>
          <w:szCs w:val="16"/>
          <w:lang w:val="fr" w:eastAsia="en-IE"/>
        </w:rPr>
        <w:t>« </w:t>
      </w:r>
      <w:bookmarkStart w:id="15" w:name="point67"/>
      <w:r w:rsidRPr="005116EF">
        <w:rPr>
          <w:rFonts w:ascii="Times New Roman" w:eastAsia="Times New Roman" w:hAnsi="Times New Roman" w:cs="Times New Roman"/>
          <w:i/>
          <w:iCs/>
          <w:sz w:val="20"/>
          <w:szCs w:val="16"/>
          <w:lang w:val="fr-BE" w:eastAsia="en-IE"/>
        </w:rPr>
        <w:t>67</w:t>
      </w:r>
      <w:bookmarkEnd w:id="15"/>
      <w:r w:rsidR="00116D32">
        <w:rPr>
          <w:rFonts w:ascii="Times New Roman" w:eastAsia="Times New Roman" w:hAnsi="Times New Roman" w:cs="Times New Roman"/>
          <w:i/>
          <w:iCs/>
          <w:sz w:val="20"/>
          <w:szCs w:val="16"/>
          <w:lang w:val="fr-BE" w:eastAsia="en-IE"/>
        </w:rPr>
        <w:t>.</w:t>
      </w:r>
      <w:r w:rsidRPr="005116EF">
        <w:rPr>
          <w:rFonts w:ascii="Times New Roman" w:eastAsia="Times New Roman" w:hAnsi="Times New Roman" w:cs="Times New Roman"/>
          <w:i/>
          <w:iCs/>
          <w:sz w:val="20"/>
          <w:szCs w:val="16"/>
          <w:lang w:val="fr-BE" w:eastAsia="en-IE"/>
        </w:rPr>
        <w:t> </w:t>
      </w:r>
      <w:r w:rsidR="00724C8A">
        <w:rPr>
          <w:rFonts w:ascii="Times New Roman" w:eastAsia="Times New Roman" w:hAnsi="Times New Roman" w:cs="Times New Roman"/>
          <w:i/>
          <w:iCs/>
          <w:sz w:val="20"/>
          <w:szCs w:val="16"/>
          <w:lang w:val="fr-BE" w:eastAsia="en-IE"/>
        </w:rPr>
        <w:t>[…]</w:t>
      </w:r>
      <w:r w:rsidRPr="005116EF">
        <w:rPr>
          <w:rFonts w:ascii="Times New Roman" w:eastAsia="Times New Roman" w:hAnsi="Times New Roman" w:cs="Times New Roman"/>
          <w:i/>
          <w:iCs/>
          <w:sz w:val="20"/>
          <w:szCs w:val="16"/>
          <w:lang w:val="fr-BE" w:eastAsia="en-IE"/>
        </w:rPr>
        <w:t xml:space="preserve"> il apparaît, premièrement, que des dispositions telles que celles en cause au principal soit par elles-mêmes, soit telles qu’interprétées par les juridictions irlandaises ne relèvent pas de la notion de « spécification technique » au sens de l’article 1</w:t>
      </w:r>
      <w:r w:rsidRPr="005116EF">
        <w:rPr>
          <w:rFonts w:ascii="Times New Roman" w:eastAsia="Times New Roman" w:hAnsi="Times New Roman" w:cs="Times New Roman"/>
          <w:i/>
          <w:iCs/>
          <w:sz w:val="20"/>
          <w:szCs w:val="16"/>
          <w:vertAlign w:val="superscript"/>
          <w:lang w:val="fr-BE" w:eastAsia="en-IE"/>
        </w:rPr>
        <w:t>er</w:t>
      </w:r>
      <w:r w:rsidRPr="005116EF">
        <w:rPr>
          <w:rFonts w:ascii="Times New Roman" w:eastAsia="Times New Roman" w:hAnsi="Times New Roman" w:cs="Times New Roman"/>
          <w:i/>
          <w:iCs/>
          <w:sz w:val="20"/>
          <w:szCs w:val="16"/>
          <w:lang w:val="fr-BE" w:eastAsia="en-IE"/>
        </w:rPr>
        <w:t xml:space="preserve">, point 3, de la directive 98/34. En effet, cette notion vise exclusivement les mesures nationales qui se réfèrent au produit ou à son emballage en tant que tels et fixent, dès lors, l’une des caractéristiques requises d’un produit (arrêt du 10 juillet 2014, </w:t>
      </w:r>
      <w:proofErr w:type="spellStart"/>
      <w:r w:rsidRPr="005116EF">
        <w:rPr>
          <w:rFonts w:ascii="Times New Roman" w:eastAsia="Times New Roman" w:hAnsi="Times New Roman" w:cs="Times New Roman"/>
          <w:i/>
          <w:iCs/>
          <w:sz w:val="20"/>
          <w:szCs w:val="16"/>
          <w:lang w:val="fr-BE" w:eastAsia="en-IE"/>
        </w:rPr>
        <w:t>Ivansson</w:t>
      </w:r>
      <w:proofErr w:type="spellEnd"/>
      <w:r w:rsidRPr="005116EF">
        <w:rPr>
          <w:rFonts w:ascii="Times New Roman" w:eastAsia="Times New Roman" w:hAnsi="Times New Roman" w:cs="Times New Roman"/>
          <w:i/>
          <w:iCs/>
          <w:sz w:val="20"/>
          <w:szCs w:val="16"/>
          <w:lang w:val="fr-BE" w:eastAsia="en-IE"/>
        </w:rPr>
        <w:t xml:space="preserve"> e.a., C</w:t>
      </w:r>
      <w:r w:rsidRPr="005116EF">
        <w:rPr>
          <w:rFonts w:ascii="Times New Roman" w:eastAsia="Times New Roman" w:hAnsi="Times New Roman" w:cs="Times New Roman"/>
          <w:i/>
          <w:iCs/>
          <w:sz w:val="20"/>
          <w:szCs w:val="16"/>
          <w:lang w:val="fr-BE" w:eastAsia="en-IE"/>
        </w:rPr>
        <w:noBreakHyphen/>
        <w:t>307/13, EU:C:2014:2058, point 19 ainsi que jurisprudence citée). Or, tel n’est manifestement pas le cas d’une exigence s’appliquant, sauf volonté contraire des parties, de manière générale à la vente de tout produit.</w:t>
      </w:r>
      <w:r>
        <w:rPr>
          <w:rFonts w:ascii="Times New Roman" w:eastAsia="Times New Roman" w:hAnsi="Times New Roman" w:cs="Times New Roman"/>
          <w:i/>
          <w:iCs/>
          <w:sz w:val="20"/>
          <w:szCs w:val="16"/>
          <w:lang w:val="fr-BE" w:eastAsia="en-IE"/>
        </w:rPr>
        <w:t> »</w:t>
      </w:r>
    </w:p>
    <w:p w14:paraId="573B0740" w14:textId="77777777" w:rsidR="007140D1" w:rsidRDefault="007140D1" w:rsidP="00AA4F20">
      <w:pPr>
        <w:spacing w:after="0" w:line="240" w:lineRule="auto"/>
        <w:rPr>
          <w:lang w:val="fr-BE"/>
        </w:rPr>
      </w:pPr>
    </w:p>
    <w:p w14:paraId="67A343FB" w14:textId="71016558" w:rsidR="007140D1" w:rsidRPr="00756188"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1" w:history="1">
        <w:r w:rsidR="007140D1" w:rsidRPr="00756188">
          <w:rPr>
            <w:rFonts w:ascii="Times New Roman" w:eastAsia="Times New Roman" w:hAnsi="Times New Roman" w:cs="Times New Roman"/>
            <w:b/>
            <w:i/>
            <w:color w:val="0000FF"/>
            <w:szCs w:val="20"/>
            <w:u w:val="single"/>
            <w:lang w:val="fr" w:eastAsia="en-IE"/>
          </w:rPr>
          <w:t>Arrêt du 1 février 2017</w:t>
        </w:r>
      </w:hyperlink>
      <w:r w:rsidR="007140D1" w:rsidRPr="00756188">
        <w:rPr>
          <w:rFonts w:ascii="Times New Roman" w:eastAsia="Times New Roman" w:hAnsi="Times New Roman" w:cs="Times New Roman"/>
          <w:b/>
          <w:i/>
          <w:szCs w:val="20"/>
          <w:lang w:val="fr" w:eastAsia="en-IE"/>
        </w:rPr>
        <w:t xml:space="preserve">, </w:t>
      </w:r>
      <w:proofErr w:type="spellStart"/>
      <w:r w:rsidR="00437A3E" w:rsidRPr="00756188">
        <w:rPr>
          <w:rFonts w:ascii="Times New Roman" w:eastAsia="Times New Roman" w:hAnsi="Times New Roman" w:cs="Times New Roman"/>
          <w:b/>
          <w:i/>
          <w:szCs w:val="20"/>
          <w:lang w:val="fr" w:eastAsia="en-IE"/>
        </w:rPr>
        <w:t>Município</w:t>
      </w:r>
      <w:proofErr w:type="spellEnd"/>
      <w:r w:rsidR="00437A3E" w:rsidRPr="00756188">
        <w:rPr>
          <w:rFonts w:ascii="Times New Roman" w:eastAsia="Times New Roman" w:hAnsi="Times New Roman" w:cs="Times New Roman"/>
          <w:b/>
          <w:i/>
          <w:szCs w:val="20"/>
          <w:lang w:val="fr" w:eastAsia="en-IE"/>
        </w:rPr>
        <w:t xml:space="preserve"> de </w:t>
      </w:r>
      <w:proofErr w:type="spellStart"/>
      <w:r w:rsidR="00437A3E" w:rsidRPr="00756188">
        <w:rPr>
          <w:rFonts w:ascii="Times New Roman" w:eastAsia="Times New Roman" w:hAnsi="Times New Roman" w:cs="Times New Roman"/>
          <w:b/>
          <w:i/>
          <w:szCs w:val="20"/>
          <w:lang w:val="fr" w:eastAsia="en-IE"/>
        </w:rPr>
        <w:t>Palmela</w:t>
      </w:r>
      <w:proofErr w:type="spellEnd"/>
      <w:r w:rsidR="00437A3E" w:rsidRPr="00756188">
        <w:rPr>
          <w:rFonts w:ascii="Times New Roman" w:eastAsia="Times New Roman" w:hAnsi="Times New Roman" w:cs="Times New Roman"/>
          <w:b/>
          <w:i/>
          <w:szCs w:val="20"/>
          <w:lang w:val="fr" w:eastAsia="en-IE"/>
        </w:rPr>
        <w:t xml:space="preserve">, </w:t>
      </w:r>
      <w:r w:rsidR="007140D1" w:rsidRPr="00756188">
        <w:rPr>
          <w:rFonts w:ascii="Times New Roman" w:eastAsia="Times New Roman" w:hAnsi="Times New Roman" w:cs="Times New Roman"/>
          <w:b/>
          <w:i/>
          <w:szCs w:val="20"/>
          <w:lang w:val="fr" w:eastAsia="en-IE"/>
        </w:rPr>
        <w:t>C-144/16, EU:C:2017:76, point</w:t>
      </w:r>
      <w:r w:rsidR="007140D1">
        <w:rPr>
          <w:rFonts w:ascii="Times New Roman" w:eastAsia="Times New Roman" w:hAnsi="Times New Roman" w:cs="Times New Roman"/>
          <w:b/>
          <w:i/>
          <w:szCs w:val="20"/>
          <w:lang w:val="fr" w:eastAsia="en-IE"/>
        </w:rPr>
        <w:t xml:space="preserve"> 30</w:t>
      </w:r>
    </w:p>
    <w:p w14:paraId="7D73D2E4" w14:textId="77777777" w:rsidR="007140D1" w:rsidRPr="00756188" w:rsidRDefault="007140D1" w:rsidP="00AA4F20">
      <w:pPr>
        <w:widowControl w:val="0"/>
        <w:tabs>
          <w:tab w:val="left" w:pos="396"/>
          <w:tab w:val="left" w:pos="435"/>
        </w:tabs>
        <w:autoSpaceDE w:val="0"/>
        <w:autoSpaceDN w:val="0"/>
        <w:spacing w:after="0" w:line="240" w:lineRule="auto"/>
        <w:jc w:val="both"/>
        <w:rPr>
          <w:rFonts w:ascii="Times New Roman" w:eastAsia="Times New Roman" w:hAnsi="Times New Roman" w:cs="Times New Roman"/>
          <w:szCs w:val="20"/>
          <w:lang w:val="fr" w:eastAsia="en-IE"/>
        </w:rPr>
      </w:pPr>
    </w:p>
    <w:p w14:paraId="5F6E7C72" w14:textId="25FB1873" w:rsidR="007140D1" w:rsidRPr="00756188" w:rsidRDefault="007140D1"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r w:rsidRPr="00756188">
        <w:rPr>
          <w:rFonts w:ascii="Times New Roman" w:eastAsia="Times New Roman" w:hAnsi="Times New Roman" w:cs="Times New Roman"/>
          <w:szCs w:val="20"/>
          <w:lang w:val="fr" w:eastAsia="en-IE"/>
        </w:rPr>
        <w:t xml:space="preserve">Un règlement imposant d’afficher, </w:t>
      </w:r>
      <w:r w:rsidR="00690AF6">
        <w:rPr>
          <w:rFonts w:ascii="Times New Roman" w:eastAsia="Times New Roman" w:hAnsi="Times New Roman" w:cs="Times New Roman"/>
          <w:szCs w:val="20"/>
          <w:lang w:val="fr" w:eastAsia="en-IE"/>
        </w:rPr>
        <w:t>dans une</w:t>
      </w:r>
      <w:r w:rsidRPr="00756188">
        <w:rPr>
          <w:rFonts w:ascii="Times New Roman" w:eastAsia="Times New Roman" w:hAnsi="Times New Roman" w:cs="Times New Roman"/>
          <w:szCs w:val="20"/>
          <w:lang w:val="fr" w:eastAsia="en-IE"/>
        </w:rPr>
        <w:t xml:space="preserve"> zone de jeux et de loisirs, des informations sur la capacité maximale de cette zone ne constitue pas une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spécification technique</w:t>
      </w:r>
      <w:r w:rsidR="008224AE">
        <w:rPr>
          <w:rFonts w:ascii="Times New Roman" w:eastAsia="Times New Roman" w:hAnsi="Times New Roman" w:cs="Times New Roman"/>
          <w:szCs w:val="20"/>
          <w:lang w:val="fr" w:eastAsia="en-IE"/>
        </w:rPr>
        <w:t> »</w:t>
      </w:r>
      <w:r w:rsidR="00690AF6">
        <w:rPr>
          <w:rFonts w:ascii="Times New Roman" w:eastAsia="Times New Roman" w:hAnsi="Times New Roman" w:cs="Times New Roman"/>
          <w:szCs w:val="20"/>
          <w:lang w:val="fr" w:eastAsia="en-IE"/>
        </w:rPr>
        <w:t xml:space="preserve"> car </w:t>
      </w:r>
      <w:r w:rsidR="00724C8A">
        <w:rPr>
          <w:rFonts w:ascii="Times New Roman" w:eastAsia="Times New Roman" w:hAnsi="Times New Roman" w:cs="Times New Roman"/>
          <w:szCs w:val="20"/>
          <w:lang w:val="fr" w:eastAsia="en-IE"/>
        </w:rPr>
        <w:t>il ne fixe pas les caractéristiques d’un produit.</w:t>
      </w:r>
    </w:p>
    <w:p w14:paraId="2CA918ED" w14:textId="77777777" w:rsidR="007140D1" w:rsidRPr="00756188" w:rsidRDefault="007140D1"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i/>
          <w:iCs/>
          <w:sz w:val="20"/>
          <w:szCs w:val="16"/>
          <w:lang w:val="fr" w:eastAsia="en-IE"/>
        </w:rPr>
      </w:pPr>
    </w:p>
    <w:p w14:paraId="6E2E0B12" w14:textId="204FDA33" w:rsidR="007140D1" w:rsidRPr="005116EF" w:rsidRDefault="007140D1" w:rsidP="00AA4F20">
      <w:pPr>
        <w:widowControl w:val="0"/>
        <w:autoSpaceDE w:val="0"/>
        <w:autoSpaceDN w:val="0"/>
        <w:spacing w:after="0" w:line="240" w:lineRule="auto"/>
        <w:ind w:left="567" w:firstLine="142"/>
        <w:jc w:val="both"/>
        <w:rPr>
          <w:rFonts w:ascii="Times New Roman" w:eastAsia="Times New Roman" w:hAnsi="Times New Roman" w:cs="Times New Roman"/>
          <w:i/>
          <w:iCs/>
          <w:sz w:val="20"/>
          <w:szCs w:val="16"/>
          <w:lang w:val="fr-BE" w:eastAsia="en-IE"/>
        </w:rPr>
      </w:pPr>
      <w:r w:rsidRPr="00756188">
        <w:rPr>
          <w:rFonts w:ascii="Times New Roman" w:eastAsia="Times New Roman" w:hAnsi="Times New Roman" w:cs="Times New Roman"/>
          <w:i/>
          <w:iCs/>
          <w:sz w:val="20"/>
          <w:szCs w:val="16"/>
          <w:lang w:val="fr" w:eastAsia="en-IE"/>
        </w:rPr>
        <w:t>« </w:t>
      </w:r>
      <w:bookmarkStart w:id="16" w:name="point30"/>
      <w:r w:rsidRPr="00756188">
        <w:rPr>
          <w:rFonts w:ascii="Times New Roman" w:eastAsia="Times New Roman" w:hAnsi="Times New Roman" w:cs="Times New Roman"/>
          <w:i/>
          <w:iCs/>
          <w:sz w:val="20"/>
          <w:szCs w:val="16"/>
          <w:lang w:val="fr-BE" w:eastAsia="en-IE"/>
        </w:rPr>
        <w:t>30</w:t>
      </w:r>
      <w:bookmarkEnd w:id="16"/>
      <w:r w:rsidR="00116D32">
        <w:rPr>
          <w:rFonts w:ascii="Times New Roman" w:eastAsia="Times New Roman" w:hAnsi="Times New Roman" w:cs="Times New Roman"/>
          <w:i/>
          <w:iCs/>
          <w:sz w:val="20"/>
          <w:szCs w:val="16"/>
          <w:lang w:val="fr-BE" w:eastAsia="en-IE"/>
        </w:rPr>
        <w:t>.</w:t>
      </w:r>
      <w:r w:rsidRPr="00756188">
        <w:rPr>
          <w:rFonts w:ascii="Times New Roman" w:eastAsia="Times New Roman" w:hAnsi="Times New Roman" w:cs="Times New Roman"/>
          <w:i/>
          <w:iCs/>
          <w:sz w:val="20"/>
          <w:szCs w:val="16"/>
          <w:lang w:val="fr-BE" w:eastAsia="en-IE"/>
        </w:rPr>
        <w:t> </w:t>
      </w:r>
      <w:r w:rsidR="00724C8A">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une telle disposition ne relève pas de la catégorie des spécifications techniques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xml:space="preserve">, point 3, de la directive 98/34, dans la mesure où il est constant que les dispositions qui prescrivent des exigences et des objectifs généraux en matière de sécurité et de protection, sans se référer nécessairement au produit concerné ou à son emballage en tant que tels et, dès lors, sans fixer les caractéristiques de ce produit, ne constituent pas des spécifications techniques (voir, en ce sens, arrêt du 9 juin 2011, Intercommunale </w:t>
      </w:r>
      <w:proofErr w:type="spellStart"/>
      <w:r w:rsidRPr="00756188">
        <w:rPr>
          <w:rFonts w:ascii="Times New Roman" w:eastAsia="Times New Roman" w:hAnsi="Times New Roman" w:cs="Times New Roman"/>
          <w:i/>
          <w:iCs/>
          <w:sz w:val="20"/>
          <w:szCs w:val="16"/>
          <w:lang w:val="fr-BE" w:eastAsia="en-IE"/>
        </w:rPr>
        <w:t>Intermosane</w:t>
      </w:r>
      <w:proofErr w:type="spellEnd"/>
      <w:r w:rsidRPr="00756188">
        <w:rPr>
          <w:rFonts w:ascii="Times New Roman" w:eastAsia="Times New Roman" w:hAnsi="Times New Roman" w:cs="Times New Roman"/>
          <w:i/>
          <w:iCs/>
          <w:sz w:val="20"/>
          <w:szCs w:val="16"/>
          <w:lang w:val="fr-BE" w:eastAsia="en-IE"/>
        </w:rPr>
        <w:t xml:space="preserve"> et Fédération de l’industrie et du gaz, C</w:t>
      </w:r>
      <w:r w:rsidRPr="00756188">
        <w:rPr>
          <w:rFonts w:ascii="Times New Roman" w:eastAsia="Times New Roman" w:hAnsi="Times New Roman" w:cs="Times New Roman"/>
          <w:i/>
          <w:iCs/>
          <w:sz w:val="20"/>
          <w:szCs w:val="16"/>
          <w:lang w:val="fr-BE" w:eastAsia="en-IE"/>
        </w:rPr>
        <w:noBreakHyphen/>
        <w:t>361/10, EU:C:2011:382, points 17 et 18).</w:t>
      </w:r>
      <w:r>
        <w:rPr>
          <w:rFonts w:ascii="Times New Roman" w:eastAsia="Times New Roman" w:hAnsi="Times New Roman" w:cs="Times New Roman"/>
          <w:i/>
          <w:iCs/>
          <w:sz w:val="20"/>
          <w:szCs w:val="16"/>
          <w:lang w:val="fr-BE" w:eastAsia="en-IE"/>
        </w:rPr>
        <w:t> »</w:t>
      </w:r>
    </w:p>
    <w:p w14:paraId="01BA6AE3" w14:textId="77777777" w:rsidR="007140D1" w:rsidRDefault="007140D1" w:rsidP="00AA4F20">
      <w:pPr>
        <w:spacing w:after="0" w:line="240" w:lineRule="auto"/>
        <w:rPr>
          <w:lang w:val="fr-BE"/>
        </w:rPr>
      </w:pPr>
    </w:p>
    <w:p w14:paraId="38445E3C" w14:textId="47C7684E" w:rsidR="007140D1" w:rsidRPr="00756188"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2" w:history="1">
        <w:r w:rsidR="007140D1" w:rsidRPr="00756188">
          <w:rPr>
            <w:rFonts w:ascii="Times New Roman" w:eastAsia="Times New Roman" w:hAnsi="Times New Roman" w:cs="Times New Roman"/>
            <w:b/>
            <w:i/>
            <w:color w:val="0000FF"/>
            <w:szCs w:val="20"/>
            <w:u w:val="single"/>
            <w:lang w:val="fr" w:eastAsia="en-IE"/>
          </w:rPr>
          <w:t>Arrêt du 26 septembre 2018</w:t>
        </w:r>
      </w:hyperlink>
      <w:r w:rsidR="007140D1" w:rsidRPr="00756188">
        <w:rPr>
          <w:rFonts w:ascii="Times New Roman" w:eastAsia="Times New Roman" w:hAnsi="Times New Roman" w:cs="Times New Roman"/>
          <w:b/>
          <w:i/>
          <w:szCs w:val="20"/>
          <w:lang w:val="fr" w:eastAsia="en-IE"/>
        </w:rPr>
        <w:t xml:space="preserve">, </w:t>
      </w:r>
      <w:r w:rsidR="00437A3E" w:rsidRPr="00756188">
        <w:rPr>
          <w:rFonts w:ascii="Times New Roman" w:eastAsia="Times New Roman" w:hAnsi="Times New Roman" w:cs="Times New Roman"/>
          <w:b/>
          <w:i/>
          <w:szCs w:val="20"/>
          <w:lang w:val="fr" w:eastAsia="en-IE"/>
        </w:rPr>
        <w:t xml:space="preserve">Van </w:t>
      </w:r>
      <w:proofErr w:type="spellStart"/>
      <w:r w:rsidR="00437A3E" w:rsidRPr="00756188">
        <w:rPr>
          <w:rFonts w:ascii="Times New Roman" w:eastAsia="Times New Roman" w:hAnsi="Times New Roman" w:cs="Times New Roman"/>
          <w:b/>
          <w:i/>
          <w:szCs w:val="20"/>
          <w:lang w:val="fr" w:eastAsia="en-IE"/>
        </w:rPr>
        <w:t>Gennip</w:t>
      </w:r>
      <w:proofErr w:type="spellEnd"/>
      <w:r w:rsidR="00437A3E" w:rsidRPr="00756188">
        <w:rPr>
          <w:rFonts w:ascii="Times New Roman" w:eastAsia="Times New Roman" w:hAnsi="Times New Roman" w:cs="Times New Roman"/>
          <w:b/>
          <w:i/>
          <w:szCs w:val="20"/>
          <w:lang w:val="fr" w:eastAsia="en-IE"/>
        </w:rPr>
        <w:t xml:space="preserve"> e.a., </w:t>
      </w:r>
      <w:r w:rsidR="007140D1" w:rsidRPr="00756188">
        <w:rPr>
          <w:rFonts w:ascii="Times New Roman" w:eastAsia="Times New Roman" w:hAnsi="Times New Roman" w:cs="Times New Roman"/>
          <w:b/>
          <w:i/>
          <w:szCs w:val="20"/>
          <w:lang w:val="fr" w:eastAsia="en-IE"/>
        </w:rPr>
        <w:t>C-137/17, EU:C:</w:t>
      </w:r>
      <w:r w:rsidR="007140D1" w:rsidRPr="00756188">
        <w:rPr>
          <w:rFonts w:ascii="Times New Roman" w:eastAsia="Times New Roman" w:hAnsi="Times New Roman" w:cs="Times New Roman"/>
          <w:b/>
          <w:i/>
          <w:spacing w:val="-1"/>
          <w:szCs w:val="20"/>
          <w:lang w:val="fr" w:eastAsia="en-IE"/>
        </w:rPr>
        <w:t xml:space="preserve"> </w:t>
      </w:r>
      <w:r w:rsidR="007140D1" w:rsidRPr="00756188">
        <w:rPr>
          <w:rFonts w:ascii="Times New Roman" w:eastAsia="Times New Roman" w:hAnsi="Times New Roman" w:cs="Times New Roman"/>
          <w:b/>
          <w:i/>
          <w:spacing w:val="-2"/>
          <w:szCs w:val="20"/>
          <w:lang w:val="fr" w:eastAsia="en-IE"/>
        </w:rPr>
        <w:t>2018:771</w:t>
      </w:r>
      <w:r w:rsidR="007140D1" w:rsidRPr="00756188">
        <w:rPr>
          <w:rFonts w:ascii="Times New Roman" w:eastAsia="Times New Roman" w:hAnsi="Times New Roman" w:cs="Times New Roman"/>
          <w:b/>
          <w:i/>
          <w:szCs w:val="20"/>
          <w:lang w:val="fr" w:eastAsia="en-IE"/>
        </w:rPr>
        <w:t xml:space="preserve">, point </w:t>
      </w:r>
      <w:r w:rsidR="007140D1">
        <w:rPr>
          <w:rFonts w:ascii="Times New Roman" w:eastAsia="Times New Roman" w:hAnsi="Times New Roman" w:cs="Times New Roman"/>
          <w:b/>
          <w:i/>
          <w:szCs w:val="20"/>
          <w:lang w:val="fr" w:eastAsia="en-IE"/>
        </w:rPr>
        <w:t>38</w:t>
      </w:r>
    </w:p>
    <w:p w14:paraId="31DFE4E9" w14:textId="77777777" w:rsidR="007140D1" w:rsidRPr="00756188"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755D9290" w14:textId="49FB0851" w:rsidR="007140D1" w:rsidRPr="00756188" w:rsidRDefault="007140D1" w:rsidP="00AA4F20">
      <w:pPr>
        <w:widowControl w:val="0"/>
        <w:tabs>
          <w:tab w:val="left" w:pos="404"/>
        </w:tabs>
        <w:autoSpaceDE w:val="0"/>
        <w:autoSpaceDN w:val="0"/>
        <w:spacing w:after="0" w:line="240" w:lineRule="auto"/>
        <w:jc w:val="both"/>
        <w:rPr>
          <w:rFonts w:ascii="Times New Roman" w:eastAsia="Times New Roman" w:hAnsi="Times New Roman" w:cs="Times New Roman"/>
          <w:szCs w:val="20"/>
          <w:lang w:val="fr" w:eastAsia="en-IE"/>
        </w:rPr>
      </w:pPr>
      <w:r w:rsidRPr="00756188">
        <w:rPr>
          <w:rFonts w:ascii="Times New Roman" w:eastAsia="Times New Roman" w:hAnsi="Times New Roman" w:cs="Times New Roman"/>
          <w:szCs w:val="20"/>
          <w:lang w:val="fr" w:eastAsia="en-IE"/>
        </w:rPr>
        <w:t>Les dispositions nationales subordonnant la commercialisation des produits à la condition que l’acheteur soit en possession d’une autorisation ne relèvent pas de la notion de «</w:t>
      </w:r>
      <w:r w:rsidR="00724C8A">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spécification technique »</w:t>
      </w:r>
      <w:r w:rsidR="00724C8A">
        <w:rPr>
          <w:rFonts w:ascii="Times New Roman" w:eastAsia="Times New Roman" w:hAnsi="Times New Roman" w:cs="Times New Roman"/>
          <w:szCs w:val="20"/>
          <w:lang w:val="fr" w:eastAsia="en-IE"/>
        </w:rPr>
        <w:t xml:space="preserve"> car </w:t>
      </w:r>
      <w:r w:rsidR="003B39B7">
        <w:rPr>
          <w:rFonts w:ascii="Times New Roman" w:eastAsia="Times New Roman" w:hAnsi="Times New Roman" w:cs="Times New Roman"/>
          <w:szCs w:val="20"/>
          <w:lang w:val="fr" w:eastAsia="en-IE"/>
        </w:rPr>
        <w:t>elles ne se réfèrent pas au produit ou à son emballage.</w:t>
      </w:r>
    </w:p>
    <w:p w14:paraId="21CC88F0" w14:textId="77777777" w:rsidR="007140D1" w:rsidRPr="00756188" w:rsidRDefault="007140D1" w:rsidP="00AA4F20">
      <w:pPr>
        <w:widowControl w:val="0"/>
        <w:tabs>
          <w:tab w:val="left" w:pos="404"/>
        </w:tabs>
        <w:autoSpaceDE w:val="0"/>
        <w:autoSpaceDN w:val="0"/>
        <w:spacing w:after="0" w:line="240" w:lineRule="auto"/>
        <w:jc w:val="both"/>
        <w:rPr>
          <w:rFonts w:ascii="Times New Roman" w:eastAsia="Times New Roman" w:hAnsi="Times New Roman" w:cs="Times New Roman"/>
          <w:szCs w:val="20"/>
          <w:lang w:val="fr" w:eastAsia="en-IE"/>
        </w:rPr>
      </w:pPr>
    </w:p>
    <w:p w14:paraId="3EAE24F2" w14:textId="513DE239" w:rsidR="007140D1" w:rsidRDefault="007140D1"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56188">
        <w:rPr>
          <w:rFonts w:ascii="Times New Roman" w:eastAsia="Times New Roman" w:hAnsi="Times New Roman" w:cs="Times New Roman"/>
          <w:i/>
          <w:iCs/>
          <w:sz w:val="20"/>
          <w:szCs w:val="16"/>
          <w:lang w:val="fr" w:eastAsia="en-IE"/>
        </w:rPr>
        <w:t>« </w:t>
      </w:r>
      <w:bookmarkStart w:id="17" w:name="point38"/>
      <w:r w:rsidRPr="00756188">
        <w:rPr>
          <w:rFonts w:ascii="Times New Roman" w:eastAsia="Times New Roman" w:hAnsi="Times New Roman" w:cs="Times New Roman"/>
          <w:i/>
          <w:iCs/>
          <w:sz w:val="20"/>
          <w:szCs w:val="16"/>
          <w:lang w:val="fr-BE" w:eastAsia="en-IE"/>
        </w:rPr>
        <w:t>38</w:t>
      </w:r>
      <w:bookmarkEnd w:id="17"/>
      <w:r w:rsidR="00116D32">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 xml:space="preserve">Concernant, en premier lieu, la notion de « spécification technique », il convient de rappeler que celle-ci présuppose que la mesure nationale se réfère nécessairement au produit ou à son emballage en tant que tels et fixe dès lors l’une des caractéristiques requises d’un produit, telles que les dimensions, la dénomination de vente, l’étiquetage ou le marquage (arrêt du 10 juillet 2014, </w:t>
      </w:r>
      <w:proofErr w:type="spellStart"/>
      <w:r w:rsidRPr="00756188">
        <w:rPr>
          <w:rFonts w:ascii="Times New Roman" w:eastAsia="Times New Roman" w:hAnsi="Times New Roman" w:cs="Times New Roman"/>
          <w:i/>
          <w:iCs/>
          <w:sz w:val="20"/>
          <w:szCs w:val="16"/>
          <w:lang w:val="fr-BE" w:eastAsia="en-IE"/>
        </w:rPr>
        <w:t>Ivansson</w:t>
      </w:r>
      <w:proofErr w:type="spellEnd"/>
      <w:r w:rsidRPr="00756188">
        <w:rPr>
          <w:rFonts w:ascii="Times New Roman" w:eastAsia="Times New Roman" w:hAnsi="Times New Roman" w:cs="Times New Roman"/>
          <w:i/>
          <w:iCs/>
          <w:sz w:val="20"/>
          <w:szCs w:val="16"/>
          <w:lang w:val="fr-BE" w:eastAsia="en-IE"/>
        </w:rPr>
        <w:t xml:space="preserve"> e.a., C</w:t>
      </w:r>
      <w:r w:rsidRPr="00756188">
        <w:rPr>
          <w:rFonts w:ascii="Times New Roman" w:eastAsia="Times New Roman" w:hAnsi="Times New Roman" w:cs="Times New Roman"/>
          <w:i/>
          <w:iCs/>
          <w:sz w:val="20"/>
          <w:szCs w:val="16"/>
          <w:lang w:val="fr-BE" w:eastAsia="en-IE"/>
        </w:rPr>
        <w:noBreakHyphen/>
        <w:t>307/13, EU:C:2014:2058, point 19 ainsi que jurisprudence citée). Or, ainsi que l’a relevé M. l’avocat général au point 74 de ses conclusions, la réglementation belge ne se réfère pas aux articles pyrotechniques ou à leur emballage en tant que tels, de sorte que cette réglementation ne fixe pas l’une des caractéristiques requises de ces produits. Partant, ladite réglementation ne constitue pas une « spécification technique »,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3, de la directive 98/34.</w:t>
      </w:r>
      <w:r w:rsidR="003B39B7">
        <w:rPr>
          <w:rFonts w:ascii="Times New Roman" w:eastAsia="Times New Roman" w:hAnsi="Times New Roman" w:cs="Times New Roman"/>
          <w:i/>
          <w:iCs/>
          <w:sz w:val="20"/>
          <w:szCs w:val="16"/>
          <w:lang w:val="fr-BE" w:eastAsia="en-IE"/>
        </w:rPr>
        <w:t> »</w:t>
      </w:r>
    </w:p>
    <w:p w14:paraId="23FCE75B" w14:textId="77777777" w:rsidR="007140D1" w:rsidRDefault="007140D1" w:rsidP="00AA4F20">
      <w:pPr>
        <w:spacing w:after="0" w:line="240" w:lineRule="auto"/>
        <w:rPr>
          <w:lang w:val="fr-BE"/>
        </w:rPr>
      </w:pPr>
    </w:p>
    <w:p w14:paraId="11018791" w14:textId="5199F71B" w:rsidR="007140D1" w:rsidRPr="00C544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3" w:anchor="ctx1" w:history="1">
        <w:r w:rsidR="007140D1" w:rsidRPr="00C54456">
          <w:rPr>
            <w:rFonts w:ascii="Times New Roman" w:eastAsia="Times New Roman" w:hAnsi="Times New Roman" w:cs="Times New Roman"/>
            <w:b/>
            <w:i/>
            <w:color w:val="0000FF"/>
            <w:szCs w:val="20"/>
            <w:u w:val="single"/>
            <w:lang w:val="fr" w:eastAsia="en-IE"/>
          </w:rPr>
          <w:t>Arrêt du 28 mai 2020</w:t>
        </w:r>
      </w:hyperlink>
      <w:r w:rsidR="007140D1" w:rsidRPr="00C54456">
        <w:rPr>
          <w:rFonts w:ascii="Times New Roman" w:eastAsia="Times New Roman" w:hAnsi="Times New Roman" w:cs="Times New Roman"/>
          <w:b/>
          <w:i/>
          <w:szCs w:val="20"/>
          <w:lang w:val="fr" w:eastAsia="en-IE"/>
        </w:rPr>
        <w:t xml:space="preserve">, </w:t>
      </w:r>
      <w:r w:rsidR="00437A3E" w:rsidRPr="00C54456">
        <w:rPr>
          <w:rFonts w:ascii="Times New Roman" w:eastAsia="Times New Roman" w:hAnsi="Times New Roman" w:cs="Times New Roman"/>
          <w:b/>
          <w:i/>
          <w:szCs w:val="20"/>
          <w:lang w:val="fr" w:eastAsia="en-IE"/>
        </w:rPr>
        <w:t>ECO-WIND Construction</w:t>
      </w:r>
      <w:r w:rsidR="00437A3E">
        <w:rPr>
          <w:rFonts w:ascii="Times New Roman" w:eastAsia="Times New Roman" w:hAnsi="Times New Roman" w:cs="Times New Roman"/>
          <w:b/>
          <w:i/>
          <w:szCs w:val="20"/>
          <w:lang w:val="fr" w:eastAsia="en-IE"/>
        </w:rPr>
        <w:t>,</w:t>
      </w:r>
      <w:r w:rsidR="00437A3E" w:rsidRPr="00C54456">
        <w:rPr>
          <w:rFonts w:ascii="Times New Roman" w:eastAsia="Times New Roman" w:hAnsi="Times New Roman" w:cs="Times New Roman"/>
          <w:b/>
          <w:i/>
          <w:szCs w:val="20"/>
          <w:lang w:val="fr" w:eastAsia="en-IE"/>
        </w:rPr>
        <w:t xml:space="preserve"> </w:t>
      </w:r>
      <w:r w:rsidR="007140D1" w:rsidRPr="00C54456">
        <w:rPr>
          <w:rFonts w:ascii="Times New Roman" w:eastAsia="Times New Roman" w:hAnsi="Times New Roman" w:cs="Times New Roman"/>
          <w:b/>
          <w:i/>
          <w:szCs w:val="20"/>
          <w:lang w:val="fr" w:eastAsia="en-IE"/>
        </w:rPr>
        <w:t xml:space="preserve">C-727/17, EU:C:2020:393, points </w:t>
      </w:r>
      <w:r w:rsidR="007140D1">
        <w:rPr>
          <w:rFonts w:ascii="Times New Roman" w:eastAsia="Times New Roman" w:hAnsi="Times New Roman" w:cs="Times New Roman"/>
          <w:b/>
          <w:i/>
          <w:szCs w:val="20"/>
          <w:lang w:val="fr" w:eastAsia="en-IE"/>
        </w:rPr>
        <w:t>36 et 37</w:t>
      </w:r>
    </w:p>
    <w:p w14:paraId="02BA84B2" w14:textId="77777777" w:rsidR="007140D1" w:rsidRPr="00C544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48814AEC" w14:textId="22A23390" w:rsidR="007140D1" w:rsidRPr="00C544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C54456">
        <w:rPr>
          <w:rFonts w:ascii="Times New Roman" w:eastAsia="Times New Roman" w:hAnsi="Times New Roman" w:cs="Times New Roman"/>
          <w:szCs w:val="20"/>
          <w:lang w:val="fr" w:eastAsia="en-IE"/>
        </w:rPr>
        <w:t xml:space="preserve">Une réglementation imposant une distance minimale pour l’installation d’éoliennes ne constitue pas une </w:t>
      </w:r>
      <w:r w:rsidR="008224AE">
        <w:rPr>
          <w:rFonts w:ascii="Times New Roman" w:eastAsia="Times New Roman" w:hAnsi="Times New Roman" w:cs="Times New Roman"/>
          <w:szCs w:val="20"/>
          <w:lang w:val="fr" w:eastAsia="en-IE"/>
        </w:rPr>
        <w:t>« </w:t>
      </w:r>
      <w:r w:rsidRPr="00C54456">
        <w:rPr>
          <w:rFonts w:ascii="Times New Roman" w:eastAsia="Times New Roman" w:hAnsi="Times New Roman" w:cs="Times New Roman"/>
          <w:szCs w:val="20"/>
          <w:lang w:val="fr" w:eastAsia="en-IE"/>
        </w:rPr>
        <w:t>spécification technique</w:t>
      </w:r>
      <w:r w:rsidR="008224AE">
        <w:rPr>
          <w:rFonts w:ascii="Times New Roman" w:eastAsia="Times New Roman" w:hAnsi="Times New Roman" w:cs="Times New Roman"/>
          <w:szCs w:val="20"/>
          <w:lang w:val="fr" w:eastAsia="en-IE"/>
        </w:rPr>
        <w:t> »</w:t>
      </w:r>
      <w:r w:rsidRPr="00C54456">
        <w:rPr>
          <w:rFonts w:ascii="Times New Roman" w:eastAsia="Times New Roman" w:hAnsi="Times New Roman" w:cs="Times New Roman"/>
          <w:szCs w:val="20"/>
          <w:lang w:val="fr" w:eastAsia="en-IE"/>
        </w:rPr>
        <w:t xml:space="preserve">, car elle ne fixe pas une caractéristique du produit lui-même. </w:t>
      </w:r>
    </w:p>
    <w:p w14:paraId="23242AA9" w14:textId="77777777" w:rsidR="007140D1" w:rsidRPr="00C54456" w:rsidRDefault="007140D1"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3D856797" w14:textId="05623B7D" w:rsidR="007140D1" w:rsidRPr="00C544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bookmarkStart w:id="18" w:name="point36"/>
      <w:r w:rsidRPr="00C54456">
        <w:rPr>
          <w:rFonts w:ascii="Times New Roman" w:eastAsia="Times New Roman" w:hAnsi="Times New Roman" w:cs="Times New Roman"/>
          <w:i/>
          <w:iCs/>
          <w:sz w:val="20"/>
          <w:szCs w:val="20"/>
          <w:lang w:val="fr-BE" w:eastAsia="en-IE"/>
        </w:rPr>
        <w:t>« 36</w:t>
      </w:r>
      <w:bookmarkEnd w:id="18"/>
      <w:r w:rsidR="00116D32">
        <w:rPr>
          <w:rFonts w:ascii="Times New Roman" w:eastAsia="Times New Roman" w:hAnsi="Times New Roman" w:cs="Times New Roman"/>
          <w:i/>
          <w:iCs/>
          <w:sz w:val="20"/>
          <w:szCs w:val="20"/>
          <w:lang w:val="fr-BE" w:eastAsia="en-IE"/>
        </w:rPr>
        <w:t xml:space="preserve">. </w:t>
      </w:r>
      <w:r w:rsidR="003B39B7">
        <w:rPr>
          <w:rFonts w:ascii="Times New Roman" w:eastAsia="Times New Roman" w:hAnsi="Times New Roman" w:cs="Times New Roman"/>
          <w:i/>
          <w:iCs/>
          <w:sz w:val="20"/>
          <w:szCs w:val="20"/>
          <w:lang w:val="fr-BE" w:eastAsia="en-IE"/>
        </w:rPr>
        <w:t>[…]</w:t>
      </w:r>
      <w:r w:rsidRPr="00C54456">
        <w:rPr>
          <w:rFonts w:ascii="Times New Roman" w:eastAsia="Times New Roman" w:hAnsi="Times New Roman" w:cs="Times New Roman"/>
          <w:i/>
          <w:iCs/>
          <w:sz w:val="20"/>
          <w:szCs w:val="20"/>
          <w:lang w:val="fr-BE" w:eastAsia="en-IE"/>
        </w:rPr>
        <w:t xml:space="preserve"> s’agissant de la qualification éventuelle en tant que règle technique de la même exigence, au titre de son appartenance à la catégorie des « spécifications techniques », il convient de relever qu’une spécification technique présuppose que la mesure nationale la prévoyant se réfère au produit ou à son emballage en tant que tels et qu’elle fixe dès lors l’une des caractéristiques requises de ce produit (arrêts du 21 avril 2005, Lindberg, C</w:t>
      </w:r>
      <w:r w:rsidRPr="00C54456">
        <w:rPr>
          <w:rFonts w:ascii="Times New Roman" w:eastAsia="Times New Roman" w:hAnsi="Times New Roman" w:cs="Times New Roman"/>
          <w:i/>
          <w:iCs/>
          <w:sz w:val="20"/>
          <w:szCs w:val="20"/>
          <w:lang w:val="fr-BE" w:eastAsia="en-IE"/>
        </w:rPr>
        <w:noBreakHyphen/>
        <w:t>267/03, EU:C:2005:246, point 57, ainsi que du 19 juillet 2012, Fortuna e.a., C</w:t>
      </w:r>
      <w:r w:rsidRPr="00C54456">
        <w:rPr>
          <w:rFonts w:ascii="Times New Roman" w:eastAsia="Times New Roman" w:hAnsi="Times New Roman" w:cs="Times New Roman"/>
          <w:i/>
          <w:iCs/>
          <w:sz w:val="20"/>
          <w:szCs w:val="20"/>
          <w:lang w:val="fr-BE" w:eastAsia="en-IE"/>
        </w:rPr>
        <w:noBreakHyphen/>
        <w:t>213/11, C</w:t>
      </w:r>
      <w:r w:rsidRPr="00C54456">
        <w:rPr>
          <w:rFonts w:ascii="Times New Roman" w:eastAsia="Times New Roman" w:hAnsi="Times New Roman" w:cs="Times New Roman"/>
          <w:i/>
          <w:iCs/>
          <w:sz w:val="20"/>
          <w:szCs w:val="20"/>
          <w:lang w:val="fr-BE" w:eastAsia="en-IE"/>
        </w:rPr>
        <w:noBreakHyphen/>
        <w:t>214/11 et C</w:t>
      </w:r>
      <w:r w:rsidRPr="00C54456">
        <w:rPr>
          <w:rFonts w:ascii="Times New Roman" w:eastAsia="Times New Roman" w:hAnsi="Times New Roman" w:cs="Times New Roman"/>
          <w:i/>
          <w:iCs/>
          <w:sz w:val="20"/>
          <w:szCs w:val="20"/>
          <w:lang w:val="fr-BE" w:eastAsia="en-IE"/>
        </w:rPr>
        <w:noBreakHyphen/>
        <w:t>217/11, EU:C:2012:495, point 28).</w:t>
      </w:r>
    </w:p>
    <w:p w14:paraId="41E3EFA9" w14:textId="77777777" w:rsidR="007140D1" w:rsidRPr="00C54456"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p>
    <w:p w14:paraId="606DFE22" w14:textId="638C0B6C" w:rsidR="007140D1" w:rsidRDefault="007140D1"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bookmarkStart w:id="19" w:name="point37"/>
      <w:r w:rsidRPr="00C54456">
        <w:rPr>
          <w:rFonts w:ascii="Times New Roman" w:eastAsia="Times New Roman" w:hAnsi="Times New Roman" w:cs="Times New Roman"/>
          <w:i/>
          <w:iCs/>
          <w:sz w:val="20"/>
          <w:szCs w:val="20"/>
          <w:lang w:val="fr-BE" w:eastAsia="en-IE"/>
        </w:rPr>
        <w:t>37</w:t>
      </w:r>
      <w:bookmarkEnd w:id="19"/>
      <w:r w:rsidR="00116D32">
        <w:rPr>
          <w:rFonts w:ascii="Times New Roman" w:eastAsia="Times New Roman" w:hAnsi="Times New Roman" w:cs="Times New Roman"/>
          <w:i/>
          <w:iCs/>
          <w:sz w:val="20"/>
          <w:szCs w:val="20"/>
          <w:lang w:val="fr-BE" w:eastAsia="en-IE"/>
        </w:rPr>
        <w:t>.</w:t>
      </w:r>
      <w:r w:rsidRPr="00C54456">
        <w:rPr>
          <w:rFonts w:ascii="Times New Roman" w:eastAsia="Times New Roman" w:hAnsi="Times New Roman" w:cs="Times New Roman"/>
          <w:i/>
          <w:iCs/>
          <w:sz w:val="20"/>
          <w:szCs w:val="20"/>
          <w:lang w:val="fr-BE" w:eastAsia="en-IE"/>
        </w:rPr>
        <w:t> Or, en l’occurrence, la réglementation en cause au principal se limite à réglementer l’installation des éoliennes en fixant une contrainte de distance minimale à respecter pour leur implantation. Dès lors, cette réglementation ne se réfère pas à un produit en tant que tel, en l’occurrence l’aérogénérateur, et, partant, ne fixe pas l’une des caractéristiques requises de ce produit, au sens de l’article 1</w:t>
      </w:r>
      <w:r w:rsidRPr="00C54456">
        <w:rPr>
          <w:rFonts w:ascii="Times New Roman" w:eastAsia="Times New Roman" w:hAnsi="Times New Roman" w:cs="Times New Roman"/>
          <w:i/>
          <w:iCs/>
          <w:sz w:val="20"/>
          <w:szCs w:val="20"/>
          <w:vertAlign w:val="superscript"/>
          <w:lang w:val="fr-BE" w:eastAsia="en-IE"/>
        </w:rPr>
        <w:t>er</w:t>
      </w:r>
      <w:r w:rsidRPr="00C54456">
        <w:rPr>
          <w:rFonts w:ascii="Times New Roman" w:eastAsia="Times New Roman" w:hAnsi="Times New Roman" w:cs="Times New Roman"/>
          <w:i/>
          <w:iCs/>
          <w:sz w:val="20"/>
          <w:szCs w:val="20"/>
          <w:lang w:val="fr-BE" w:eastAsia="en-IE"/>
        </w:rPr>
        <w:t>, paragraphe 1, sous f), de la directive 2015/1535, lu à la lumière de l’article 1</w:t>
      </w:r>
      <w:r w:rsidRPr="00C54456">
        <w:rPr>
          <w:rFonts w:ascii="Times New Roman" w:eastAsia="Times New Roman" w:hAnsi="Times New Roman" w:cs="Times New Roman"/>
          <w:i/>
          <w:iCs/>
          <w:sz w:val="20"/>
          <w:szCs w:val="20"/>
          <w:vertAlign w:val="superscript"/>
          <w:lang w:val="fr-BE" w:eastAsia="en-IE"/>
        </w:rPr>
        <w:t>er</w:t>
      </w:r>
      <w:r w:rsidRPr="00C54456">
        <w:rPr>
          <w:rFonts w:ascii="Times New Roman" w:eastAsia="Times New Roman" w:hAnsi="Times New Roman" w:cs="Times New Roman"/>
          <w:i/>
          <w:iCs/>
          <w:sz w:val="20"/>
          <w:szCs w:val="20"/>
          <w:lang w:val="fr-BE" w:eastAsia="en-IE"/>
        </w:rPr>
        <w:t>, paragraphe 1, sous c), de cette directive. »</w:t>
      </w:r>
    </w:p>
    <w:p w14:paraId="67D27C90" w14:textId="77777777" w:rsidR="007140D1" w:rsidRDefault="007140D1" w:rsidP="00AA4F20">
      <w:pPr>
        <w:spacing w:after="0" w:line="240" w:lineRule="auto"/>
        <w:rPr>
          <w:lang w:val="fr-BE"/>
        </w:rPr>
      </w:pPr>
    </w:p>
    <w:p w14:paraId="2EA83213" w14:textId="48F238D9" w:rsidR="007140D1" w:rsidRPr="00D717F0"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pacing w:val="-2"/>
          <w:szCs w:val="20"/>
          <w:lang w:val="fr" w:eastAsia="en-IE"/>
        </w:rPr>
      </w:pPr>
      <w:hyperlink r:id="rId34" w:history="1">
        <w:r w:rsidR="007140D1" w:rsidRPr="00D717F0">
          <w:rPr>
            <w:rFonts w:ascii="Times New Roman" w:eastAsia="Times New Roman" w:hAnsi="Times New Roman" w:cs="Times New Roman"/>
            <w:b/>
            <w:i/>
            <w:color w:val="0000FF"/>
            <w:szCs w:val="20"/>
            <w:u w:val="single"/>
            <w:lang w:val="fr" w:eastAsia="en-IE"/>
          </w:rPr>
          <w:t>Arrêt du 22 octobre 2020</w:t>
        </w:r>
      </w:hyperlink>
      <w:r w:rsidR="007140D1" w:rsidRPr="00D717F0">
        <w:rPr>
          <w:rFonts w:ascii="Times New Roman" w:eastAsia="Times New Roman" w:hAnsi="Times New Roman" w:cs="Times New Roman"/>
          <w:b/>
          <w:i/>
          <w:szCs w:val="20"/>
          <w:lang w:val="fr" w:eastAsia="en-IE"/>
        </w:rPr>
        <w:t xml:space="preserve">, </w:t>
      </w:r>
      <w:proofErr w:type="spellStart"/>
      <w:r w:rsidR="00437A3E" w:rsidRPr="00D717F0">
        <w:rPr>
          <w:rFonts w:ascii="Times New Roman" w:eastAsia="Times New Roman" w:hAnsi="Times New Roman" w:cs="Times New Roman"/>
          <w:b/>
          <w:i/>
          <w:szCs w:val="20"/>
          <w:lang w:val="fr" w:eastAsia="en-IE"/>
        </w:rPr>
        <w:t>Sportingbet</w:t>
      </w:r>
      <w:proofErr w:type="spellEnd"/>
      <w:r w:rsidR="00437A3E" w:rsidRPr="00D717F0">
        <w:rPr>
          <w:rFonts w:ascii="Times New Roman" w:eastAsia="Times New Roman" w:hAnsi="Times New Roman" w:cs="Times New Roman"/>
          <w:b/>
          <w:i/>
          <w:szCs w:val="20"/>
          <w:lang w:val="fr" w:eastAsia="en-IE"/>
        </w:rPr>
        <w:t xml:space="preserve"> et Internet Opportunity Entertainment, </w:t>
      </w:r>
      <w:r w:rsidR="007140D1" w:rsidRPr="00D717F0">
        <w:rPr>
          <w:rFonts w:ascii="Times New Roman" w:eastAsia="Times New Roman" w:hAnsi="Times New Roman" w:cs="Times New Roman"/>
          <w:b/>
          <w:i/>
          <w:szCs w:val="20"/>
          <w:lang w:val="fr" w:eastAsia="en-IE"/>
        </w:rPr>
        <w:t xml:space="preserve">C-275/19, </w:t>
      </w:r>
      <w:r w:rsidR="007140D1" w:rsidRPr="00D717F0">
        <w:rPr>
          <w:rFonts w:ascii="Times New Roman" w:eastAsia="Times New Roman" w:hAnsi="Times New Roman" w:cs="Times New Roman"/>
          <w:b/>
          <w:i/>
          <w:spacing w:val="-2"/>
          <w:szCs w:val="20"/>
          <w:lang w:val="fr" w:eastAsia="en-IE"/>
        </w:rPr>
        <w:t xml:space="preserve">EU:C:2020:856, points 42 </w:t>
      </w:r>
      <w:r w:rsidR="007140D1">
        <w:rPr>
          <w:rFonts w:ascii="Times New Roman" w:eastAsia="Times New Roman" w:hAnsi="Times New Roman" w:cs="Times New Roman"/>
          <w:b/>
          <w:i/>
          <w:spacing w:val="-2"/>
          <w:szCs w:val="20"/>
          <w:lang w:val="fr" w:eastAsia="en-IE"/>
        </w:rPr>
        <w:t xml:space="preserve">et </w:t>
      </w:r>
      <w:r w:rsidR="007140D1" w:rsidRPr="00D717F0">
        <w:rPr>
          <w:rFonts w:ascii="Times New Roman" w:eastAsia="Times New Roman" w:hAnsi="Times New Roman" w:cs="Times New Roman"/>
          <w:b/>
          <w:i/>
          <w:spacing w:val="-2"/>
          <w:szCs w:val="20"/>
          <w:lang w:val="fr" w:eastAsia="en-IE"/>
        </w:rPr>
        <w:t>43</w:t>
      </w:r>
    </w:p>
    <w:p w14:paraId="0595D088" w14:textId="77777777" w:rsidR="007140D1" w:rsidRPr="00D717F0" w:rsidRDefault="007140D1"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F6DABC6" w14:textId="4619D079" w:rsidR="007140D1" w:rsidRPr="00D717F0" w:rsidRDefault="007140D1" w:rsidP="00AA4F20">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r w:rsidRPr="00D717F0">
        <w:rPr>
          <w:rFonts w:ascii="Times New Roman" w:eastAsia="Times New Roman" w:hAnsi="Times New Roman" w:cs="Times New Roman"/>
          <w:szCs w:val="20"/>
          <w:lang w:val="fr" w:eastAsia="en-IE"/>
        </w:rPr>
        <w:t xml:space="preserve">Une législation nationale réservant l’exploitation des jeux de hasard à l’État et imposant l’attribution de concessions à des sociétés anonymes ne constitue pas une « </w:t>
      </w:r>
      <w:r>
        <w:rPr>
          <w:rFonts w:ascii="Times New Roman" w:eastAsia="Times New Roman" w:hAnsi="Times New Roman" w:cs="Times New Roman"/>
          <w:szCs w:val="20"/>
          <w:lang w:val="fr" w:eastAsia="en-IE"/>
        </w:rPr>
        <w:t>spécification technique » car elle n’a pas trait aux caractéristiques requises d’un produit.</w:t>
      </w:r>
    </w:p>
    <w:p w14:paraId="0D63B7E1" w14:textId="77777777" w:rsidR="007140D1" w:rsidRPr="00D717F0" w:rsidRDefault="007140D1" w:rsidP="00AA4F20">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p>
    <w:p w14:paraId="4591EA43" w14:textId="440FDDF8" w:rsidR="007140D1" w:rsidRPr="00D717F0" w:rsidRDefault="007140D1" w:rsidP="00AA4F20">
      <w:pPr>
        <w:widowControl w:val="0"/>
        <w:autoSpaceDE w:val="0"/>
        <w:autoSpaceDN w:val="0"/>
        <w:spacing w:after="0" w:line="240" w:lineRule="auto"/>
        <w:ind w:left="567" w:firstLine="4"/>
        <w:jc w:val="both"/>
        <w:outlineLvl w:val="1"/>
        <w:rPr>
          <w:rFonts w:ascii="Times New Roman" w:eastAsia="Times New Roman" w:hAnsi="Times New Roman" w:cs="Times New Roman"/>
          <w:i/>
          <w:sz w:val="20"/>
          <w:szCs w:val="16"/>
          <w:lang w:val="fr-BE" w:eastAsia="en-IE"/>
        </w:rPr>
      </w:pPr>
      <w:r w:rsidRPr="00D717F0">
        <w:rPr>
          <w:rFonts w:ascii="Times New Roman" w:eastAsia="Times New Roman" w:hAnsi="Times New Roman" w:cs="Times New Roman"/>
          <w:sz w:val="20"/>
          <w:szCs w:val="16"/>
          <w:lang w:val="fr" w:eastAsia="en-IE"/>
        </w:rPr>
        <w:t>« </w:t>
      </w:r>
      <w:bookmarkStart w:id="20" w:name="point42"/>
      <w:r w:rsidRPr="00D717F0">
        <w:rPr>
          <w:rFonts w:ascii="Times New Roman" w:eastAsia="Times New Roman" w:hAnsi="Times New Roman" w:cs="Times New Roman"/>
          <w:i/>
          <w:sz w:val="20"/>
          <w:szCs w:val="16"/>
          <w:lang w:val="fr-BE" w:eastAsia="en-IE"/>
        </w:rPr>
        <w:t>42</w:t>
      </w:r>
      <w:bookmarkEnd w:id="20"/>
      <w:r w:rsidR="00116D32">
        <w:rPr>
          <w:rFonts w:ascii="Times New Roman" w:eastAsia="Times New Roman" w:hAnsi="Times New Roman" w:cs="Times New Roman"/>
          <w:i/>
          <w:sz w:val="20"/>
          <w:szCs w:val="16"/>
          <w:lang w:val="fr-BE" w:eastAsia="en-IE"/>
        </w:rPr>
        <w:t xml:space="preserve">. </w:t>
      </w:r>
      <w:r w:rsidRPr="00D717F0">
        <w:rPr>
          <w:rFonts w:ascii="Times New Roman" w:eastAsia="Times New Roman" w:hAnsi="Times New Roman" w:cs="Times New Roman"/>
          <w:i/>
          <w:sz w:val="20"/>
          <w:szCs w:val="16"/>
          <w:lang w:val="fr-BE" w:eastAsia="en-IE"/>
        </w:rPr>
        <w:t>Selon l’article 1</w:t>
      </w:r>
      <w:r w:rsidRPr="00D717F0">
        <w:rPr>
          <w:rFonts w:ascii="Times New Roman" w:eastAsia="Times New Roman" w:hAnsi="Times New Roman" w:cs="Times New Roman"/>
          <w:i/>
          <w:sz w:val="20"/>
          <w:szCs w:val="16"/>
          <w:vertAlign w:val="superscript"/>
          <w:lang w:val="fr-BE" w:eastAsia="en-IE"/>
        </w:rPr>
        <w:t>er</w:t>
      </w:r>
      <w:r w:rsidRPr="00D717F0">
        <w:rPr>
          <w:rFonts w:ascii="Times New Roman" w:eastAsia="Times New Roman" w:hAnsi="Times New Roman" w:cs="Times New Roman"/>
          <w:i/>
          <w:sz w:val="20"/>
          <w:szCs w:val="16"/>
          <w:lang w:val="fr-BE" w:eastAsia="en-IE"/>
        </w:rPr>
        <w:t>, point 1, de la directive 83/189, constitue une « spécification technique », au sens de cette directive, la spécification qui figure dans un document définissant les caractéristiques requises d’un produit, telles que les niveaux de qualité ou de propriété d’emploi, la sécurité, les dimensions, y compris les prescriptions applicables au produit en ce qui concerne la terminologie, les symboles, les essais et les méthodes d’essai, l’emballage, le marquage et l’étiquetage (voir, en ce sens, arrêt du 8 mars 2001, van der Burg, C</w:t>
      </w:r>
      <w:r w:rsidRPr="00D717F0">
        <w:rPr>
          <w:rFonts w:ascii="Times New Roman" w:eastAsia="Times New Roman" w:hAnsi="Times New Roman" w:cs="Times New Roman"/>
          <w:i/>
          <w:sz w:val="20"/>
          <w:szCs w:val="16"/>
          <w:lang w:val="fr-BE" w:eastAsia="en-IE"/>
        </w:rPr>
        <w:noBreakHyphen/>
        <w:t>278/99, EU:C:2001:143, point 20).</w:t>
      </w:r>
    </w:p>
    <w:p w14:paraId="09D4D6AC" w14:textId="77777777" w:rsidR="007140D1" w:rsidRPr="00D717F0" w:rsidRDefault="007140D1" w:rsidP="00AA4F20">
      <w:pPr>
        <w:widowControl w:val="0"/>
        <w:autoSpaceDE w:val="0"/>
        <w:autoSpaceDN w:val="0"/>
        <w:spacing w:after="0" w:line="240" w:lineRule="auto"/>
        <w:ind w:left="567" w:firstLine="4"/>
        <w:jc w:val="both"/>
        <w:outlineLvl w:val="1"/>
        <w:rPr>
          <w:rFonts w:ascii="Times New Roman" w:eastAsia="Times New Roman" w:hAnsi="Times New Roman" w:cs="Times New Roman"/>
          <w:i/>
          <w:sz w:val="20"/>
          <w:szCs w:val="16"/>
          <w:lang w:val="fr-BE" w:eastAsia="en-IE"/>
        </w:rPr>
      </w:pPr>
    </w:p>
    <w:p w14:paraId="453C3F27" w14:textId="7FFA4254" w:rsidR="007140D1" w:rsidRPr="00D717F0" w:rsidRDefault="007140D1" w:rsidP="00AA4F20">
      <w:pPr>
        <w:widowControl w:val="0"/>
        <w:autoSpaceDE w:val="0"/>
        <w:autoSpaceDN w:val="0"/>
        <w:spacing w:after="0" w:line="240" w:lineRule="auto"/>
        <w:ind w:left="567"/>
        <w:jc w:val="both"/>
        <w:outlineLvl w:val="1"/>
        <w:rPr>
          <w:rFonts w:ascii="Times New Roman" w:eastAsia="Times New Roman" w:hAnsi="Times New Roman" w:cs="Times New Roman"/>
          <w:i/>
          <w:sz w:val="20"/>
          <w:szCs w:val="16"/>
          <w:lang w:val="fr-BE" w:eastAsia="en-IE"/>
        </w:rPr>
      </w:pPr>
      <w:bookmarkStart w:id="21" w:name="point43"/>
      <w:r w:rsidRPr="00D717F0">
        <w:rPr>
          <w:rFonts w:ascii="Times New Roman" w:eastAsia="Times New Roman" w:hAnsi="Times New Roman" w:cs="Times New Roman"/>
          <w:i/>
          <w:sz w:val="20"/>
          <w:szCs w:val="16"/>
          <w:lang w:val="fr-BE" w:eastAsia="en-IE"/>
        </w:rPr>
        <w:t>43</w:t>
      </w:r>
      <w:bookmarkEnd w:id="21"/>
      <w:r w:rsidR="00116D32">
        <w:rPr>
          <w:rFonts w:ascii="Times New Roman" w:eastAsia="Times New Roman" w:hAnsi="Times New Roman" w:cs="Times New Roman"/>
          <w:i/>
          <w:sz w:val="20"/>
          <w:szCs w:val="16"/>
          <w:lang w:val="fr-BE" w:eastAsia="en-IE"/>
        </w:rPr>
        <w:t xml:space="preserve">. </w:t>
      </w:r>
      <w:r w:rsidRPr="00D717F0">
        <w:rPr>
          <w:rFonts w:ascii="Times New Roman" w:eastAsia="Times New Roman" w:hAnsi="Times New Roman" w:cs="Times New Roman"/>
          <w:i/>
          <w:sz w:val="20"/>
          <w:szCs w:val="16"/>
          <w:lang w:val="fr-BE" w:eastAsia="en-IE"/>
        </w:rPr>
        <w:t>Or, dans la mesure où les articles 3 et 9 du décret-loi nº 422/89 prévoient un régime de concession pour l’exploitation des jeux de hasard ou d’argent ainsi que les conditions et les zones d’exercice de cette activité, il n’apparaît pas que lesdites dispositions aient trait aux caractéristiques requises d’un produit au sens de l’article 1</w:t>
      </w:r>
      <w:r w:rsidRPr="00D717F0">
        <w:rPr>
          <w:rFonts w:ascii="Times New Roman" w:eastAsia="Times New Roman" w:hAnsi="Times New Roman" w:cs="Times New Roman"/>
          <w:i/>
          <w:sz w:val="20"/>
          <w:szCs w:val="16"/>
          <w:vertAlign w:val="superscript"/>
          <w:lang w:val="fr-BE" w:eastAsia="en-IE"/>
        </w:rPr>
        <w:t>er</w:t>
      </w:r>
      <w:r w:rsidRPr="00D717F0">
        <w:rPr>
          <w:rFonts w:ascii="Times New Roman" w:eastAsia="Times New Roman" w:hAnsi="Times New Roman" w:cs="Times New Roman"/>
          <w:i/>
          <w:sz w:val="20"/>
          <w:szCs w:val="16"/>
          <w:lang w:val="fr-BE" w:eastAsia="en-IE"/>
        </w:rPr>
        <w:t>, point 1, de la directive 83/189, de telle sorte qu’elles ne sauraient être qualifiées de « règles techniques », au sens de l’article 1</w:t>
      </w:r>
      <w:r w:rsidRPr="00D717F0">
        <w:rPr>
          <w:rFonts w:ascii="Times New Roman" w:eastAsia="Times New Roman" w:hAnsi="Times New Roman" w:cs="Times New Roman"/>
          <w:i/>
          <w:sz w:val="20"/>
          <w:szCs w:val="16"/>
          <w:vertAlign w:val="superscript"/>
          <w:lang w:val="fr-BE" w:eastAsia="en-IE"/>
        </w:rPr>
        <w:t>er</w:t>
      </w:r>
      <w:r w:rsidRPr="00D717F0">
        <w:rPr>
          <w:rFonts w:ascii="Times New Roman" w:eastAsia="Times New Roman" w:hAnsi="Times New Roman" w:cs="Times New Roman"/>
          <w:i/>
          <w:sz w:val="20"/>
          <w:szCs w:val="16"/>
          <w:lang w:val="fr-BE" w:eastAsia="en-IE"/>
        </w:rPr>
        <w:t>, point 5, de cette directive » </w:t>
      </w:r>
    </w:p>
    <w:p w14:paraId="496E7C6D" w14:textId="4C3F1AF0" w:rsidR="008E22D9" w:rsidRDefault="008E22D9" w:rsidP="00AA4F20">
      <w:pPr>
        <w:spacing w:after="0" w:line="240" w:lineRule="auto"/>
        <w:rPr>
          <w:lang w:val="fr-BE"/>
        </w:rPr>
      </w:pPr>
      <w:r>
        <w:rPr>
          <w:lang w:val="fr-BE"/>
        </w:rPr>
        <w:br w:type="page"/>
      </w:r>
    </w:p>
    <w:p w14:paraId="2BF9485A" w14:textId="77777777" w:rsidR="007140D1" w:rsidRDefault="007140D1" w:rsidP="00AA4F20">
      <w:pPr>
        <w:spacing w:after="0" w:line="240" w:lineRule="auto"/>
        <w:rPr>
          <w:lang w:val="fr-BE"/>
        </w:rPr>
      </w:pPr>
    </w:p>
    <w:p w14:paraId="1BD1585F" w14:textId="66F0E2EF" w:rsidR="00EA7E10" w:rsidRPr="00DC2D31" w:rsidRDefault="00745699" w:rsidP="00745699">
      <w:pPr>
        <w:pStyle w:val="Heading2"/>
        <w:jc w:val="center"/>
        <w:rPr>
          <w:color w:val="auto"/>
          <w:lang w:val="fr-BE"/>
        </w:rPr>
      </w:pPr>
      <w:bookmarkStart w:id="22" w:name="_Toc203035380"/>
      <w:r w:rsidRPr="00DC2D31">
        <w:rPr>
          <w:color w:val="auto"/>
          <w:lang w:val="fr-BE"/>
        </w:rPr>
        <w:t xml:space="preserve">c. </w:t>
      </w:r>
      <w:bookmarkStart w:id="23" w:name="_Ref194484250"/>
      <w:r w:rsidR="00EA7E10" w:rsidRPr="00DC2D31">
        <w:rPr>
          <w:color w:val="auto"/>
          <w:lang w:val="fr-BE"/>
        </w:rPr>
        <w:t>Autres exigences</w:t>
      </w:r>
      <w:bookmarkEnd w:id="23"/>
      <w:bookmarkEnd w:id="22"/>
    </w:p>
    <w:p w14:paraId="4937FE64" w14:textId="77777777" w:rsidR="00EA7E10" w:rsidRDefault="00EA7E10" w:rsidP="00AA4F20">
      <w:pPr>
        <w:pStyle w:val="BodyText"/>
      </w:pPr>
    </w:p>
    <w:p w14:paraId="04271FEB" w14:textId="77777777" w:rsidR="00EA7E10" w:rsidRPr="00657816" w:rsidRDefault="00EA7E10" w:rsidP="00AA4F20">
      <w:pPr>
        <w:pStyle w:val="BodyText"/>
        <w:ind w:left="567"/>
        <w:rPr>
          <w:i/>
          <w:iCs/>
          <w:lang w:val="fr-BE"/>
        </w:rPr>
      </w:pPr>
      <w:r w:rsidRPr="002A04C0">
        <w:rPr>
          <w:i/>
          <w:iCs/>
          <w:lang w:val="fr-BE"/>
        </w:rPr>
        <w:t>« </w:t>
      </w:r>
      <w:r w:rsidRPr="00AE28CE">
        <w:rPr>
          <w:i/>
          <w:iCs/>
          <w:lang w:val="fr-BE"/>
        </w:rPr>
        <w:t xml:space="preserve">«autre exigence», une exigence, autre qu'une spécification technique, imposée à l'égard d'un produit pour des motifs de protection, notamment des consommateurs ou de l'environnement, et visant son cycle de vie après mise sur le marché, telle que ses conditions d'utilisation, de </w:t>
      </w:r>
      <w:r w:rsidRPr="00657816">
        <w:rPr>
          <w:i/>
          <w:iCs/>
          <w:lang w:val="fr-BE"/>
        </w:rPr>
        <w:t>recyclage, de réemploi ou d'élimination lorsque ces conditions peuvent influencer de manière significative la composition ou la nature du produit ou sa commercialisation;»</w:t>
      </w:r>
    </w:p>
    <w:p w14:paraId="6C0028D3" w14:textId="77777777" w:rsidR="00EA7E10" w:rsidRPr="00657816" w:rsidRDefault="00EA7E10" w:rsidP="00AA4F20">
      <w:pPr>
        <w:pStyle w:val="BodyText"/>
        <w:ind w:left="567"/>
        <w:rPr>
          <w:i/>
          <w:iCs/>
          <w:lang w:val="fr-BE"/>
        </w:rPr>
      </w:pPr>
    </w:p>
    <w:p w14:paraId="5D2B182B" w14:textId="75DD9619" w:rsidR="00EA7E10" w:rsidRPr="00657816" w:rsidRDefault="00EA7E10" w:rsidP="00AA4F20">
      <w:pPr>
        <w:pStyle w:val="BodyText"/>
        <w:ind w:left="1440"/>
        <w:jc w:val="right"/>
      </w:pPr>
      <w:r w:rsidRPr="00657816">
        <w:t xml:space="preserve">(article </w:t>
      </w:r>
      <w:r w:rsidR="000A18C4">
        <w:t>1</w:t>
      </w:r>
      <w:r w:rsidR="000A18C4" w:rsidRPr="000A18C4">
        <w:rPr>
          <w:vertAlign w:val="superscript"/>
        </w:rPr>
        <w:t>er</w:t>
      </w:r>
      <w:r w:rsidRPr="00657816">
        <w:t xml:space="preserve">, paragraphe 1, </w:t>
      </w:r>
      <w:r w:rsidR="001305B4">
        <w:t>point</w:t>
      </w:r>
      <w:r w:rsidRPr="00657816">
        <w:t xml:space="preserve"> d</w:t>
      </w:r>
      <w:r w:rsidR="00B63F8E">
        <w:t>)</w:t>
      </w:r>
      <w:r>
        <w:t>,</w:t>
      </w:r>
      <w:r w:rsidRPr="00500F6B">
        <w:t xml:space="preserve"> </w:t>
      </w:r>
      <w:r>
        <w:t xml:space="preserve">de la directive </w:t>
      </w:r>
      <w:r w:rsidR="006C60E5">
        <w:t xml:space="preserve">(UE) </w:t>
      </w:r>
      <w:r>
        <w:t>2015/1535</w:t>
      </w:r>
      <w:r w:rsidRPr="00657816">
        <w:t>)</w:t>
      </w:r>
    </w:p>
    <w:p w14:paraId="76C39062" w14:textId="77777777" w:rsidR="00EA7E10" w:rsidRDefault="00EA7E10" w:rsidP="00AA4F20">
      <w:pPr>
        <w:spacing w:after="0" w:line="240" w:lineRule="auto"/>
        <w:rPr>
          <w:lang w:val="fr"/>
        </w:rPr>
      </w:pPr>
    </w:p>
    <w:p w14:paraId="3AEBFE4D" w14:textId="13927316" w:rsidR="003B39B7" w:rsidRPr="007B044C" w:rsidRDefault="00B3389F" w:rsidP="003B39B7">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5" w:history="1">
        <w:r w:rsidR="003B39B7" w:rsidRPr="007B044C">
          <w:rPr>
            <w:rFonts w:ascii="Times New Roman" w:eastAsia="Times New Roman" w:hAnsi="Times New Roman" w:cs="Times New Roman"/>
            <w:b/>
            <w:i/>
            <w:color w:val="0000FF"/>
            <w:szCs w:val="20"/>
            <w:u w:val="single"/>
            <w:lang w:val="fr" w:eastAsia="en-IE"/>
          </w:rPr>
          <w:t>Arrêt du 21 avril 2005</w:t>
        </w:r>
      </w:hyperlink>
      <w:r w:rsidR="003B39B7" w:rsidRPr="007B044C">
        <w:rPr>
          <w:rFonts w:ascii="Times New Roman" w:eastAsia="Times New Roman" w:hAnsi="Times New Roman" w:cs="Times New Roman"/>
          <w:b/>
          <w:i/>
          <w:szCs w:val="20"/>
          <w:lang w:val="fr" w:eastAsia="en-IE"/>
        </w:rPr>
        <w:t xml:space="preserve">, </w:t>
      </w:r>
      <w:r w:rsidR="00437A3E" w:rsidRPr="007B044C">
        <w:rPr>
          <w:rFonts w:ascii="Times New Roman" w:eastAsia="Times New Roman" w:hAnsi="Times New Roman" w:cs="Times New Roman"/>
          <w:b/>
          <w:i/>
          <w:szCs w:val="20"/>
          <w:lang w:val="fr" w:eastAsia="en-IE"/>
        </w:rPr>
        <w:t xml:space="preserve">Lindberg, </w:t>
      </w:r>
      <w:r w:rsidR="003B39B7" w:rsidRPr="007B044C">
        <w:rPr>
          <w:rFonts w:ascii="Times New Roman" w:eastAsia="Times New Roman" w:hAnsi="Times New Roman" w:cs="Times New Roman"/>
          <w:b/>
          <w:i/>
          <w:szCs w:val="20"/>
          <w:lang w:val="fr" w:eastAsia="en-IE"/>
        </w:rPr>
        <w:t xml:space="preserve">C-267/03, EU:C:2005:246, </w:t>
      </w:r>
      <w:r w:rsidR="00F849FE">
        <w:rPr>
          <w:rFonts w:ascii="Times New Roman" w:eastAsia="Times New Roman" w:hAnsi="Times New Roman" w:cs="Times New Roman"/>
          <w:b/>
          <w:i/>
          <w:szCs w:val="20"/>
          <w:lang w:val="fr" w:eastAsia="en-IE"/>
        </w:rPr>
        <w:t>68 à 78</w:t>
      </w:r>
    </w:p>
    <w:p w14:paraId="0A879FDA" w14:textId="77777777" w:rsidR="003B39B7" w:rsidRPr="007B044C" w:rsidRDefault="003B39B7" w:rsidP="003B39B7">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420E814" w14:textId="7705BE98" w:rsidR="00137B20" w:rsidRDefault="003B39B7" w:rsidP="003B39B7">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r w:rsidRPr="007B044C">
        <w:rPr>
          <w:rFonts w:ascii="Times New Roman" w:eastAsia="Times New Roman" w:hAnsi="Times New Roman" w:cs="Times New Roman"/>
          <w:szCs w:val="20"/>
          <w:lang w:val="fr" w:eastAsia="en-IE"/>
        </w:rPr>
        <w:t>Une interdiction nationale concernant certains jeux de hasard peut être qualifiée d</w:t>
      </w:r>
      <w:r w:rsidR="00137B20">
        <w:rPr>
          <w:rFonts w:ascii="Times New Roman" w:eastAsia="Times New Roman" w:hAnsi="Times New Roman" w:cs="Times New Roman"/>
          <w:szCs w:val="20"/>
          <w:lang w:val="fr" w:eastAsia="en-IE"/>
        </w:rPr>
        <w:t>’</w:t>
      </w:r>
      <w:r w:rsidR="00EE4C2F">
        <w:rPr>
          <w:rFonts w:ascii="Times New Roman" w:eastAsia="Times New Roman" w:hAnsi="Times New Roman" w:cs="Times New Roman"/>
          <w:szCs w:val="20"/>
          <w:lang w:val="fr" w:eastAsia="en-IE"/>
        </w:rPr>
        <w:t> « </w:t>
      </w:r>
      <w:r w:rsidR="00137B20">
        <w:rPr>
          <w:rFonts w:ascii="Times New Roman" w:eastAsia="Times New Roman" w:hAnsi="Times New Roman" w:cs="Times New Roman"/>
          <w:szCs w:val="20"/>
          <w:lang w:val="fr" w:eastAsia="en-IE"/>
        </w:rPr>
        <w:t>autre exigence</w:t>
      </w:r>
      <w:r w:rsidR="00EE4C2F">
        <w:rPr>
          <w:rFonts w:ascii="Times New Roman" w:eastAsia="Times New Roman" w:hAnsi="Times New Roman" w:cs="Times New Roman"/>
          <w:szCs w:val="20"/>
          <w:lang w:val="fr" w:eastAsia="en-IE"/>
        </w:rPr>
        <w:t> »</w:t>
      </w:r>
      <w:r w:rsidR="00137B20">
        <w:rPr>
          <w:rFonts w:ascii="Times New Roman" w:eastAsia="Times New Roman" w:hAnsi="Times New Roman" w:cs="Times New Roman"/>
          <w:szCs w:val="20"/>
          <w:lang w:val="fr" w:eastAsia="en-IE"/>
        </w:rPr>
        <w:t xml:space="preserve"> si elle </w:t>
      </w:r>
      <w:r w:rsidR="00DA7543">
        <w:rPr>
          <w:rFonts w:ascii="Times New Roman" w:eastAsia="Times New Roman" w:hAnsi="Times New Roman" w:cs="Times New Roman"/>
          <w:szCs w:val="20"/>
          <w:lang w:val="fr" w:eastAsia="en-IE"/>
        </w:rPr>
        <w:t>est susceptible d’</w:t>
      </w:r>
      <w:r w:rsidR="00137B20">
        <w:rPr>
          <w:rFonts w:ascii="Times New Roman" w:eastAsia="Times New Roman" w:hAnsi="Times New Roman" w:cs="Times New Roman"/>
          <w:szCs w:val="20"/>
          <w:lang w:val="fr" w:eastAsia="en-IE"/>
        </w:rPr>
        <w:t>influencer la composition, la nature ou la commercialisation du produit. Cependant, si l’interdiction ne laisse aucune place à l’utilisation d</w:t>
      </w:r>
      <w:r w:rsidR="009752CD">
        <w:rPr>
          <w:rFonts w:ascii="Times New Roman" w:eastAsia="Times New Roman" w:hAnsi="Times New Roman" w:cs="Times New Roman"/>
          <w:szCs w:val="20"/>
          <w:lang w:val="fr" w:eastAsia="en-IE"/>
        </w:rPr>
        <w:t>’un</w:t>
      </w:r>
      <w:r w:rsidR="00137B20">
        <w:rPr>
          <w:rFonts w:ascii="Times New Roman" w:eastAsia="Times New Roman" w:hAnsi="Times New Roman" w:cs="Times New Roman"/>
          <w:szCs w:val="20"/>
          <w:lang w:val="fr" w:eastAsia="en-IE"/>
        </w:rPr>
        <w:t xml:space="preserve"> produit, elle sera qualifiée de disposition d’interdiction (voir partie I., sous-partie e.</w:t>
      </w:r>
      <w:r w:rsidR="00DA7543">
        <w:rPr>
          <w:rFonts w:ascii="Times New Roman" w:eastAsia="Times New Roman" w:hAnsi="Times New Roman" w:cs="Times New Roman"/>
          <w:szCs w:val="20"/>
          <w:lang w:val="fr" w:eastAsia="en-IE"/>
        </w:rPr>
        <w:t>,</w:t>
      </w:r>
      <w:r w:rsidR="00137B20">
        <w:rPr>
          <w:rFonts w:ascii="Times New Roman" w:eastAsia="Times New Roman" w:hAnsi="Times New Roman" w:cs="Times New Roman"/>
          <w:szCs w:val="20"/>
          <w:lang w:val="fr" w:eastAsia="en-IE"/>
        </w:rPr>
        <w:t xml:space="preserve"> « </w:t>
      </w:r>
      <w:r w:rsidR="00DA7543">
        <w:rPr>
          <w:rFonts w:ascii="Times New Roman" w:eastAsia="Times New Roman" w:hAnsi="Times New Roman" w:cs="Times New Roman"/>
          <w:szCs w:val="20"/>
          <w:lang w:val="fr" w:eastAsia="en-IE"/>
        </w:rPr>
        <w:t>D</w:t>
      </w:r>
      <w:r w:rsidR="00137B20">
        <w:rPr>
          <w:rFonts w:ascii="Times New Roman" w:eastAsia="Times New Roman" w:hAnsi="Times New Roman" w:cs="Times New Roman"/>
          <w:szCs w:val="20"/>
          <w:lang w:val="fr" w:eastAsia="en-IE"/>
        </w:rPr>
        <w:t>ispositions d’interdiction », d</w:t>
      </w:r>
      <w:r w:rsidR="00DA7543">
        <w:rPr>
          <w:rFonts w:ascii="Times New Roman" w:eastAsia="Times New Roman" w:hAnsi="Times New Roman" w:cs="Times New Roman"/>
          <w:szCs w:val="20"/>
          <w:lang w:val="fr" w:eastAsia="en-IE"/>
        </w:rPr>
        <w:t xml:space="preserve">u présent </w:t>
      </w:r>
      <w:r w:rsidR="00137B20">
        <w:rPr>
          <w:rFonts w:ascii="Times New Roman" w:eastAsia="Times New Roman" w:hAnsi="Times New Roman" w:cs="Times New Roman"/>
          <w:szCs w:val="20"/>
          <w:lang w:val="fr" w:eastAsia="en-IE"/>
        </w:rPr>
        <w:t>document).</w:t>
      </w:r>
    </w:p>
    <w:p w14:paraId="76922983" w14:textId="43F67699" w:rsidR="00DA04D9" w:rsidRDefault="00DA04D9" w:rsidP="00137B20">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3E31AAD1" w14:textId="44B0081F"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A04D9">
        <w:rPr>
          <w:rFonts w:ascii="Times New Roman" w:eastAsia="Times New Roman" w:hAnsi="Times New Roman" w:cs="Times New Roman"/>
          <w:i/>
          <w:iCs/>
          <w:sz w:val="20"/>
          <w:szCs w:val="16"/>
          <w:lang w:val="fr-BE" w:eastAsia="en-IE"/>
        </w:rPr>
        <w:t>68</w:t>
      </w:r>
      <w:r w:rsidR="00116D32">
        <w:rPr>
          <w:rFonts w:ascii="Times New Roman" w:eastAsia="Times New Roman" w:hAnsi="Times New Roman" w:cs="Times New Roman"/>
          <w:i/>
          <w:iCs/>
          <w:sz w:val="20"/>
          <w:szCs w:val="16"/>
          <w:lang w:val="fr-BE" w:eastAsia="en-IE"/>
        </w:rPr>
        <w:t xml:space="preserve">. </w:t>
      </w:r>
      <w:r w:rsidR="00137B20">
        <w:rPr>
          <w:rFonts w:ascii="Times New Roman" w:eastAsia="Times New Roman" w:hAnsi="Times New Roman" w:cs="Times New Roman"/>
          <w:i/>
          <w:iCs/>
          <w:sz w:val="20"/>
          <w:szCs w:val="16"/>
          <w:lang w:val="fr-BE" w:eastAsia="en-IE"/>
        </w:rPr>
        <w:t xml:space="preserve">[…] </w:t>
      </w:r>
      <w:r w:rsidRPr="00DA04D9">
        <w:rPr>
          <w:rFonts w:ascii="Times New Roman" w:eastAsia="Times New Roman" w:hAnsi="Times New Roman" w:cs="Times New Roman"/>
          <w:i/>
          <w:iCs/>
          <w:sz w:val="20"/>
          <w:szCs w:val="16"/>
          <w:lang w:val="fr-BE" w:eastAsia="en-IE"/>
        </w:rPr>
        <w:t>il convient de constater qu’une mesure nationale telle que l’interdiction en cause au principal semble spécifiquement visée par la notion d’«autre exigence» telle qu’introduite par la directive 94/10 dans la directive 83/189 afin d’élargir le champ d’application de celle-ci, et, en conséquence, elle ne relève donc pas de la catégorie des spécifications techniques.</w:t>
      </w:r>
    </w:p>
    <w:p w14:paraId="1272E022" w14:textId="77777777"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C0D2169" w14:textId="617B83C8"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A04D9">
        <w:rPr>
          <w:rFonts w:ascii="Times New Roman" w:eastAsia="Times New Roman" w:hAnsi="Times New Roman" w:cs="Times New Roman"/>
          <w:i/>
          <w:iCs/>
          <w:sz w:val="20"/>
          <w:szCs w:val="16"/>
          <w:lang w:val="fr-BE" w:eastAsia="en-IE"/>
        </w:rPr>
        <w:t>69</w:t>
      </w:r>
      <w:r w:rsidR="00116D32">
        <w:rPr>
          <w:rFonts w:ascii="Times New Roman" w:eastAsia="Times New Roman" w:hAnsi="Times New Roman" w:cs="Times New Roman"/>
          <w:i/>
          <w:iCs/>
          <w:sz w:val="20"/>
          <w:szCs w:val="16"/>
          <w:lang w:val="fr-BE" w:eastAsia="en-IE"/>
        </w:rPr>
        <w:t xml:space="preserve">. </w:t>
      </w:r>
      <w:r w:rsidRPr="00DA04D9">
        <w:rPr>
          <w:rFonts w:ascii="Times New Roman" w:eastAsia="Times New Roman" w:hAnsi="Times New Roman" w:cs="Times New Roman"/>
          <w:i/>
          <w:iCs/>
          <w:sz w:val="20"/>
          <w:szCs w:val="16"/>
          <w:lang w:val="fr-BE" w:eastAsia="en-IE"/>
        </w:rPr>
        <w:t>Il s’agit en effet d’une exigence imposée à l’égard d’un produit, à savoir des appareils de jeux automatisés, pour des motifs essentiellement de protection des consommateurs, en l’occurrence les joueurs concernés.</w:t>
      </w:r>
    </w:p>
    <w:p w14:paraId="7EC7A7A9" w14:textId="77777777"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C77FB86" w14:textId="6758AF0B"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A04D9">
        <w:rPr>
          <w:rFonts w:ascii="Times New Roman" w:eastAsia="Times New Roman" w:hAnsi="Times New Roman" w:cs="Times New Roman"/>
          <w:i/>
          <w:iCs/>
          <w:sz w:val="20"/>
          <w:szCs w:val="16"/>
          <w:lang w:val="fr-BE" w:eastAsia="en-IE"/>
        </w:rPr>
        <w:t>70</w:t>
      </w:r>
      <w:r w:rsidR="00116D32">
        <w:rPr>
          <w:rFonts w:ascii="Times New Roman" w:eastAsia="Times New Roman" w:hAnsi="Times New Roman" w:cs="Times New Roman"/>
          <w:i/>
          <w:iCs/>
          <w:sz w:val="20"/>
          <w:szCs w:val="16"/>
          <w:lang w:val="fr-BE" w:eastAsia="en-IE"/>
        </w:rPr>
        <w:t xml:space="preserve">. </w:t>
      </w:r>
      <w:r w:rsidRPr="00DA04D9">
        <w:rPr>
          <w:rFonts w:ascii="Times New Roman" w:eastAsia="Times New Roman" w:hAnsi="Times New Roman" w:cs="Times New Roman"/>
          <w:i/>
          <w:iCs/>
          <w:sz w:val="20"/>
          <w:szCs w:val="16"/>
          <w:lang w:val="fr-BE" w:eastAsia="en-IE"/>
        </w:rPr>
        <w:t>Dans ces conditions, une interdiction telle que celle prévue par les dispositions pertinentes de la loi sur les loteries modifiée porte sur l’utilisation d’un produit au sens de l’article 1er, point 9, de la directive 83/189.</w:t>
      </w:r>
    </w:p>
    <w:p w14:paraId="31F92AB5" w14:textId="77777777"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EE8323A" w14:textId="39F7EC20"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A04D9">
        <w:rPr>
          <w:rFonts w:ascii="Times New Roman" w:eastAsia="Times New Roman" w:hAnsi="Times New Roman" w:cs="Times New Roman"/>
          <w:i/>
          <w:iCs/>
          <w:sz w:val="20"/>
          <w:szCs w:val="16"/>
          <w:lang w:val="fr-BE" w:eastAsia="en-IE"/>
        </w:rPr>
        <w:t>71</w:t>
      </w:r>
      <w:r w:rsidR="00116D32">
        <w:rPr>
          <w:rFonts w:ascii="Times New Roman" w:eastAsia="Times New Roman" w:hAnsi="Times New Roman" w:cs="Times New Roman"/>
          <w:i/>
          <w:iCs/>
          <w:sz w:val="20"/>
          <w:szCs w:val="16"/>
          <w:lang w:val="fr-BE" w:eastAsia="en-IE"/>
        </w:rPr>
        <w:t xml:space="preserve">. </w:t>
      </w:r>
      <w:r w:rsidRPr="00DA04D9">
        <w:rPr>
          <w:rFonts w:ascii="Times New Roman" w:eastAsia="Times New Roman" w:hAnsi="Times New Roman" w:cs="Times New Roman"/>
          <w:i/>
          <w:iCs/>
          <w:sz w:val="20"/>
          <w:szCs w:val="16"/>
          <w:lang w:val="fr-BE" w:eastAsia="en-IE"/>
        </w:rPr>
        <w:t>En outre, l’exigence en cause au principal n’est pas imposée aux appareils de jeux en vue de leur mise sur le marché, mais vise leur cycle de vie après mise sur le marché au sens de la définition de la notion d’«autre exigence» prévue à l’article 1er, point 3, de la directive 83/189.</w:t>
      </w:r>
    </w:p>
    <w:p w14:paraId="6CDBB80E" w14:textId="77777777" w:rsidR="00DA04D9" w:rsidRPr="00DA04D9"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EAB2C65" w14:textId="15DC356C" w:rsidR="00137B20" w:rsidRDefault="00DA04D9"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A04D9">
        <w:rPr>
          <w:rFonts w:ascii="Times New Roman" w:eastAsia="Times New Roman" w:hAnsi="Times New Roman" w:cs="Times New Roman"/>
          <w:i/>
          <w:iCs/>
          <w:sz w:val="20"/>
          <w:szCs w:val="16"/>
          <w:lang w:val="fr-BE" w:eastAsia="en-IE"/>
        </w:rPr>
        <w:t>72</w:t>
      </w:r>
      <w:r w:rsidR="00116D32">
        <w:rPr>
          <w:rFonts w:ascii="Times New Roman" w:eastAsia="Times New Roman" w:hAnsi="Times New Roman" w:cs="Times New Roman"/>
          <w:i/>
          <w:iCs/>
          <w:sz w:val="20"/>
          <w:szCs w:val="16"/>
          <w:lang w:val="fr-BE" w:eastAsia="en-IE"/>
        </w:rPr>
        <w:t xml:space="preserve">. </w:t>
      </w:r>
      <w:r w:rsidRPr="00DA04D9">
        <w:rPr>
          <w:rFonts w:ascii="Times New Roman" w:eastAsia="Times New Roman" w:hAnsi="Times New Roman" w:cs="Times New Roman"/>
          <w:i/>
          <w:iCs/>
          <w:sz w:val="20"/>
          <w:szCs w:val="16"/>
          <w:lang w:val="fr-BE" w:eastAsia="en-IE"/>
        </w:rPr>
        <w:t>Afin de pouvoir être qualifiée d’«autre exigence» au sens de l’article 1er, point 3, de la directive 83/189, une exigence telle que l’interdiction d’utilisation des appareils de jeux automatisés en cause au principal doit constituer une «condition», relative en l’occurrence à l’utilisation du produit concerné, qui peut influencer de manière significative la composition, la nature ou la commercialisation du produit.</w:t>
      </w:r>
      <w:r>
        <w:rPr>
          <w:rFonts w:ascii="Times New Roman" w:eastAsia="Times New Roman" w:hAnsi="Times New Roman" w:cs="Times New Roman"/>
          <w:i/>
          <w:iCs/>
          <w:sz w:val="20"/>
          <w:szCs w:val="16"/>
          <w:lang w:val="fr-BE" w:eastAsia="en-IE"/>
        </w:rPr>
        <w:t> </w:t>
      </w:r>
    </w:p>
    <w:p w14:paraId="482176B3" w14:textId="77777777" w:rsidR="00137B20" w:rsidRDefault="00137B20" w:rsidP="00DA04D9">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C43FC9B" w14:textId="04E00ACE"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73</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Toutefois, se trouve alors posée la question de savoir si ladite interdiction doit être qualifiée de «condition» relative à l’utilisation du produit concerné ou s’il s’agit au contraire d’une mesure nationale appartenant à la troisième catégorie de règles techniques mentionnée à l’article 1er, point 9, de la directive 83/189, qui a également été introduite dans celle-ci par la directive 94/10, à savoir celle comportant notamment des «dispositions législatives […] des États membres visant l’interdiction […] d’utilisation d’un produit».</w:t>
      </w:r>
    </w:p>
    <w:p w14:paraId="473E7E6E" w14:textId="77777777"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3851DAC" w14:textId="1D48A8B8"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74</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L’appartenance à l’une ou l’autre de ces deux catégories de règles techniques d’une mesure nationale telle que celle en cause au principal dépend de la portée de l’interdiction qu’édicte cette mesure.</w:t>
      </w:r>
    </w:p>
    <w:p w14:paraId="64D035E9" w14:textId="77777777"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2B11119" w14:textId="78261D5E"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75</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 xml:space="preserve">À cet égard, il est significatif que ladite troisième catégorie de règles techniques définie à l’article 1er, point 9, de la directive 83/189 ne comporte pas, à la différence de la deuxième catégorie constituée par les autres exigences au sens du point 3 du même article, la condition selon laquelle l’interdiction concernée </w:t>
      </w:r>
      <w:r w:rsidRPr="00137B20">
        <w:rPr>
          <w:rFonts w:ascii="Times New Roman" w:eastAsia="Times New Roman" w:hAnsi="Times New Roman" w:cs="Times New Roman"/>
          <w:i/>
          <w:iCs/>
          <w:sz w:val="20"/>
          <w:szCs w:val="16"/>
          <w:lang w:val="fr-BE" w:eastAsia="en-IE"/>
        </w:rPr>
        <w:lastRenderedPageBreak/>
        <w:t>doit être susceptible d’influencer de manière significative la composition, la nature ou la commercialisation du produit.</w:t>
      </w:r>
    </w:p>
    <w:p w14:paraId="7DE9C3AB" w14:textId="77777777"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C04844A" w14:textId="4A5BBFE8"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76</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Cette troisième catégorie de règles techniques visant une interdiction notamment d’utilisation, il doit s’agir de mesures qui ont une portée qui va clairement au-delà d’une limitation à certains usages possibles du produit en cause et ne se limitent donc pas à une simple restriction de l’utilisation de celui-ci.</w:t>
      </w:r>
    </w:p>
    <w:p w14:paraId="2453C674" w14:textId="77777777"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CF11321" w14:textId="23270DB1"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77</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Ainsi que M. l’avocat général l’a relevé au point 70 de ses conclusions, cette catégorie de règles techniques vise plus particulièrement des mesures nationales qui ne laissent place à aucune utilisation autre que purement marginale pouvant raisonnablement être attendue du produit concerné. Il incombe à la juridiction de renvoi de vérifier si tel est le cas pour ce qui concerne l’interdiction que comporte la disposition nationale en cause au principal.</w:t>
      </w:r>
    </w:p>
    <w:p w14:paraId="07779B4E" w14:textId="77777777" w:rsidR="00137B20"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AA7EB0E" w14:textId="0A80DF6C" w:rsidR="003B39B7" w:rsidRPr="00137B20" w:rsidRDefault="00137B20" w:rsidP="00137B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37B20">
        <w:rPr>
          <w:rFonts w:ascii="Times New Roman" w:eastAsia="Times New Roman" w:hAnsi="Times New Roman" w:cs="Times New Roman"/>
          <w:i/>
          <w:iCs/>
          <w:sz w:val="20"/>
          <w:szCs w:val="16"/>
          <w:lang w:val="fr-BE" w:eastAsia="en-IE"/>
        </w:rPr>
        <w:t>78</w:t>
      </w:r>
      <w:r w:rsidR="00116D32">
        <w:rPr>
          <w:rFonts w:ascii="Times New Roman" w:eastAsia="Times New Roman" w:hAnsi="Times New Roman" w:cs="Times New Roman"/>
          <w:i/>
          <w:iCs/>
          <w:sz w:val="20"/>
          <w:szCs w:val="16"/>
          <w:lang w:val="fr-BE" w:eastAsia="en-IE"/>
        </w:rPr>
        <w:t xml:space="preserve">. </w:t>
      </w:r>
      <w:r w:rsidRPr="00137B20">
        <w:rPr>
          <w:rFonts w:ascii="Times New Roman" w:eastAsia="Times New Roman" w:hAnsi="Times New Roman" w:cs="Times New Roman"/>
          <w:i/>
          <w:iCs/>
          <w:sz w:val="20"/>
          <w:szCs w:val="16"/>
          <w:lang w:val="fr-BE" w:eastAsia="en-IE"/>
        </w:rPr>
        <w:t>S’il devait s’avérer, à la suite de cette vérification, que tel n’est pas le cas au principal, ladite disposition nationale serait susceptible d’être qualifiée d’«autre exigence» dès lors qu’il est constant que l’observation d’une telle exigence est obligatoire de jure pour l’utilisation du produit dans l’État membre concerné au sens de l’article 1er, point 9, de la directive 83/189. Toutefois, dans cette hypothèse, il incombe également à la juridiction de renvoi de vérifier si l’interdiction en cause peut influencer de manière significative la composition, la nature ou la commercialisation du produit au sens du point 3 du même article.</w:t>
      </w:r>
      <w:r w:rsidR="00DA04D9">
        <w:rPr>
          <w:rFonts w:ascii="Times New Roman" w:eastAsia="Times New Roman" w:hAnsi="Times New Roman" w:cs="Times New Roman"/>
          <w:i/>
          <w:iCs/>
          <w:sz w:val="20"/>
          <w:szCs w:val="16"/>
          <w:lang w:val="fr-BE" w:eastAsia="en-IE"/>
        </w:rPr>
        <w:t>»</w:t>
      </w:r>
    </w:p>
    <w:p w14:paraId="24CF2C87" w14:textId="77777777" w:rsidR="003B39B7" w:rsidRPr="003B39B7" w:rsidRDefault="003B39B7" w:rsidP="00AA4F20">
      <w:pPr>
        <w:widowControl w:val="0"/>
        <w:autoSpaceDE w:val="0"/>
        <w:autoSpaceDN w:val="0"/>
        <w:spacing w:after="0" w:line="240" w:lineRule="auto"/>
        <w:jc w:val="both"/>
        <w:outlineLvl w:val="1"/>
        <w:rPr>
          <w:lang w:val="fr-BE"/>
        </w:rPr>
      </w:pPr>
    </w:p>
    <w:p w14:paraId="5BCEC13F" w14:textId="1DBC3C7B" w:rsidR="00EA7E10" w:rsidRPr="00C70A4B"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6" w:history="1">
        <w:r w:rsidR="00EA7E10" w:rsidRPr="00C70A4B">
          <w:rPr>
            <w:rFonts w:ascii="Times New Roman" w:eastAsia="Times New Roman" w:hAnsi="Times New Roman" w:cs="Times New Roman"/>
            <w:b/>
            <w:i/>
            <w:color w:val="0000FF"/>
            <w:szCs w:val="20"/>
            <w:u w:val="single"/>
            <w:lang w:val="fr" w:eastAsia="en-IE"/>
          </w:rPr>
          <w:t>Arrêt du 9 juin 2011</w:t>
        </w:r>
      </w:hyperlink>
      <w:r w:rsidR="00EA7E10" w:rsidRPr="00C70A4B">
        <w:rPr>
          <w:rFonts w:ascii="Times New Roman" w:eastAsia="Times New Roman" w:hAnsi="Times New Roman" w:cs="Times New Roman"/>
          <w:b/>
          <w:i/>
          <w:szCs w:val="20"/>
          <w:lang w:val="fr" w:eastAsia="en-IE"/>
        </w:rPr>
        <w:t xml:space="preserve">, </w:t>
      </w:r>
      <w:r w:rsidR="00437A3E" w:rsidRPr="00C70A4B">
        <w:rPr>
          <w:rFonts w:ascii="Times New Roman" w:eastAsia="Times New Roman" w:hAnsi="Times New Roman" w:cs="Times New Roman"/>
          <w:b/>
          <w:i/>
          <w:szCs w:val="20"/>
          <w:lang w:val="fr" w:eastAsia="en-IE"/>
        </w:rPr>
        <w:t xml:space="preserve">Intercommunale </w:t>
      </w:r>
      <w:proofErr w:type="spellStart"/>
      <w:r w:rsidR="00437A3E" w:rsidRPr="00C70A4B">
        <w:rPr>
          <w:rFonts w:ascii="Times New Roman" w:eastAsia="Times New Roman" w:hAnsi="Times New Roman" w:cs="Times New Roman"/>
          <w:b/>
          <w:i/>
          <w:szCs w:val="20"/>
          <w:lang w:val="fr" w:eastAsia="en-IE"/>
        </w:rPr>
        <w:t>Intermosane</w:t>
      </w:r>
      <w:proofErr w:type="spellEnd"/>
      <w:r w:rsidR="00437A3E" w:rsidRPr="00C70A4B">
        <w:rPr>
          <w:rFonts w:ascii="Times New Roman" w:eastAsia="Times New Roman" w:hAnsi="Times New Roman" w:cs="Times New Roman"/>
          <w:b/>
          <w:i/>
          <w:szCs w:val="20"/>
          <w:lang w:val="fr" w:eastAsia="en-IE"/>
        </w:rPr>
        <w:t xml:space="preserve"> et Fédération de l’industrie et du gaz,</w:t>
      </w:r>
      <w:r w:rsidR="00437A3E">
        <w:rPr>
          <w:rFonts w:ascii="Times New Roman" w:eastAsia="Times New Roman" w:hAnsi="Times New Roman" w:cs="Times New Roman"/>
          <w:b/>
          <w:i/>
          <w:szCs w:val="20"/>
          <w:lang w:val="fr" w:eastAsia="en-IE"/>
        </w:rPr>
        <w:t xml:space="preserve"> </w:t>
      </w:r>
      <w:r w:rsidR="00EA7E10" w:rsidRPr="00C70A4B">
        <w:rPr>
          <w:rFonts w:ascii="Times New Roman" w:eastAsia="Times New Roman" w:hAnsi="Times New Roman" w:cs="Times New Roman"/>
          <w:b/>
          <w:i/>
          <w:szCs w:val="20"/>
          <w:lang w:val="fr" w:eastAsia="en-IE"/>
        </w:rPr>
        <w:t xml:space="preserve">C-361/10, </w:t>
      </w:r>
      <w:r w:rsidR="008E22D9" w:rsidRPr="008E22D9">
        <w:rPr>
          <w:rFonts w:ascii="Times New Roman" w:eastAsia="Times New Roman" w:hAnsi="Times New Roman" w:cs="Times New Roman"/>
          <w:b/>
          <w:i/>
          <w:szCs w:val="20"/>
          <w:lang w:val="fr-BE" w:eastAsia="en-IE"/>
        </w:rPr>
        <w:t>EU:C:2011:382,</w:t>
      </w:r>
      <w:r w:rsidR="00EA7E10" w:rsidRPr="00C70A4B">
        <w:rPr>
          <w:rFonts w:ascii="Times New Roman" w:eastAsia="Times New Roman" w:hAnsi="Times New Roman" w:cs="Times New Roman"/>
          <w:b/>
          <w:i/>
          <w:szCs w:val="20"/>
          <w:lang w:val="fr" w:eastAsia="en-IE"/>
        </w:rPr>
        <w:t xml:space="preserve"> points 1</w:t>
      </w:r>
      <w:r w:rsidR="00EA7E10">
        <w:rPr>
          <w:rFonts w:ascii="Times New Roman" w:eastAsia="Times New Roman" w:hAnsi="Times New Roman" w:cs="Times New Roman"/>
          <w:b/>
          <w:i/>
          <w:szCs w:val="20"/>
          <w:lang w:val="fr" w:eastAsia="en-IE"/>
        </w:rPr>
        <w:t>9</w:t>
      </w:r>
      <w:r w:rsidR="00EA7E10" w:rsidRPr="00C70A4B">
        <w:rPr>
          <w:rFonts w:ascii="Times New Roman" w:eastAsia="Times New Roman" w:hAnsi="Times New Roman" w:cs="Times New Roman"/>
          <w:b/>
          <w:i/>
          <w:szCs w:val="20"/>
          <w:lang w:val="fr" w:eastAsia="en-IE"/>
        </w:rPr>
        <w:t xml:space="preserve"> à 21</w:t>
      </w:r>
    </w:p>
    <w:p w14:paraId="25D862DB" w14:textId="77777777" w:rsidR="00EA7E10" w:rsidRPr="00C70A4B" w:rsidRDefault="00EA7E10" w:rsidP="00AA4F20">
      <w:pPr>
        <w:widowControl w:val="0"/>
        <w:autoSpaceDE w:val="0"/>
        <w:autoSpaceDN w:val="0"/>
        <w:spacing w:after="0" w:line="240" w:lineRule="auto"/>
        <w:jc w:val="both"/>
        <w:rPr>
          <w:rFonts w:ascii="Times New Roman" w:eastAsia="Times New Roman" w:hAnsi="Times New Roman" w:cs="Times New Roman"/>
          <w:b/>
          <w:i/>
          <w:szCs w:val="20"/>
          <w:lang w:val="fr" w:eastAsia="en-IE"/>
        </w:rPr>
      </w:pPr>
    </w:p>
    <w:p w14:paraId="795544A5" w14:textId="77777777" w:rsidR="00EA7E10" w:rsidRPr="00C70A4B" w:rsidRDefault="00EA7E10" w:rsidP="00AA4F20">
      <w:pPr>
        <w:widowControl w:val="0"/>
        <w:autoSpaceDE w:val="0"/>
        <w:autoSpaceDN w:val="0"/>
        <w:spacing w:after="0" w:line="240" w:lineRule="auto"/>
        <w:jc w:val="both"/>
        <w:rPr>
          <w:rFonts w:ascii="Times New Roman" w:eastAsia="Times New Roman" w:hAnsi="Times New Roman" w:cs="Times New Roman"/>
          <w:bCs/>
          <w:iCs/>
          <w:szCs w:val="20"/>
          <w:lang w:val="fr" w:eastAsia="en-IE"/>
        </w:rPr>
      </w:pPr>
      <w:r w:rsidRPr="00C70A4B">
        <w:rPr>
          <w:rFonts w:ascii="Times New Roman" w:eastAsia="Times New Roman" w:hAnsi="Times New Roman" w:cs="Times New Roman"/>
          <w:bCs/>
          <w:iCs/>
          <w:szCs w:val="20"/>
          <w:lang w:val="fr" w:eastAsia="en-IE"/>
        </w:rPr>
        <w:t>Les dispositions nationales qui établissent des exigences minimales pour la réalisation d'installations électriques et la sécurité des travailleurs, ne peuvent être qualifiées « d'autres exigences », leur nature générale ne permettant pas d'influencer de manière significative la composition, la nature ou la commercialisation d'un produit.</w:t>
      </w:r>
    </w:p>
    <w:p w14:paraId="57376D05" w14:textId="77777777" w:rsidR="00EA7E10" w:rsidRPr="00C70A4B" w:rsidRDefault="00EA7E10" w:rsidP="00AA4F20">
      <w:pPr>
        <w:widowControl w:val="0"/>
        <w:autoSpaceDE w:val="0"/>
        <w:autoSpaceDN w:val="0"/>
        <w:spacing w:after="0" w:line="240" w:lineRule="auto"/>
        <w:jc w:val="both"/>
        <w:rPr>
          <w:rFonts w:ascii="Times New Roman" w:eastAsia="Times New Roman" w:hAnsi="Times New Roman" w:cs="Times New Roman"/>
          <w:bCs/>
          <w:i/>
          <w:sz w:val="20"/>
          <w:szCs w:val="16"/>
          <w:lang w:val="fr-BE" w:eastAsia="en-IE"/>
        </w:rPr>
      </w:pPr>
    </w:p>
    <w:p w14:paraId="045E350F" w14:textId="03B0C109" w:rsidR="00EA7E10" w:rsidRPr="00C70A4B" w:rsidRDefault="00EA7E10"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24" w:name="point19"/>
      <w:r>
        <w:rPr>
          <w:rFonts w:ascii="Times New Roman" w:eastAsia="Times New Roman" w:hAnsi="Times New Roman" w:cs="Times New Roman"/>
          <w:bCs/>
          <w:i/>
          <w:sz w:val="20"/>
          <w:szCs w:val="16"/>
          <w:lang w:val="fr-BE" w:eastAsia="en-IE"/>
        </w:rPr>
        <w:t>« </w:t>
      </w:r>
      <w:r w:rsidRPr="00C70A4B">
        <w:rPr>
          <w:rFonts w:ascii="Times New Roman" w:eastAsia="Times New Roman" w:hAnsi="Times New Roman" w:cs="Times New Roman"/>
          <w:bCs/>
          <w:i/>
          <w:sz w:val="20"/>
          <w:szCs w:val="16"/>
          <w:lang w:val="fr-BE" w:eastAsia="en-IE"/>
        </w:rPr>
        <w:t>19</w:t>
      </w:r>
      <w:bookmarkEnd w:id="24"/>
      <w:r w:rsidR="00116D32">
        <w:rPr>
          <w:rFonts w:ascii="Times New Roman" w:eastAsia="Times New Roman" w:hAnsi="Times New Roman" w:cs="Times New Roman"/>
          <w:bCs/>
          <w:i/>
          <w:sz w:val="20"/>
          <w:szCs w:val="16"/>
          <w:lang w:val="fr-BE" w:eastAsia="en-IE"/>
        </w:rPr>
        <w:t>.</w:t>
      </w:r>
      <w:r w:rsidRPr="00C70A4B">
        <w:rPr>
          <w:rFonts w:ascii="Times New Roman" w:eastAsia="Times New Roman" w:hAnsi="Times New Roman" w:cs="Times New Roman"/>
          <w:bCs/>
          <w:i/>
          <w:sz w:val="20"/>
          <w:szCs w:val="16"/>
          <w:lang w:val="fr-BE" w:eastAsia="en-IE"/>
        </w:rPr>
        <w:t> </w:t>
      </w:r>
      <w:r w:rsidR="00B41B63">
        <w:rPr>
          <w:rFonts w:ascii="Times New Roman" w:eastAsia="Times New Roman" w:hAnsi="Times New Roman" w:cs="Times New Roman"/>
          <w:bCs/>
          <w:i/>
          <w:sz w:val="20"/>
          <w:szCs w:val="16"/>
          <w:lang w:val="fr-BE" w:eastAsia="en-IE"/>
        </w:rPr>
        <w:t>[…]</w:t>
      </w:r>
      <w:r w:rsidRPr="00C70A4B">
        <w:rPr>
          <w:rFonts w:ascii="Times New Roman" w:eastAsia="Times New Roman" w:hAnsi="Times New Roman" w:cs="Times New Roman"/>
          <w:bCs/>
          <w:i/>
          <w:sz w:val="20"/>
          <w:szCs w:val="16"/>
          <w:lang w:val="fr-BE" w:eastAsia="en-IE"/>
        </w:rPr>
        <w:t xml:space="preserve"> il convient de vérifier si ces dispositions relèvent de la deuxième catégorie de règles techniques visée à l’article 1</w:t>
      </w:r>
      <w:r w:rsidRPr="00C70A4B">
        <w:rPr>
          <w:rFonts w:ascii="Times New Roman" w:eastAsia="Times New Roman" w:hAnsi="Times New Roman" w:cs="Times New Roman"/>
          <w:bCs/>
          <w:i/>
          <w:sz w:val="20"/>
          <w:szCs w:val="16"/>
          <w:vertAlign w:val="superscript"/>
          <w:lang w:val="fr-BE" w:eastAsia="en-IE"/>
        </w:rPr>
        <w:t>er</w:t>
      </w:r>
      <w:r w:rsidRPr="00C70A4B">
        <w:rPr>
          <w:rFonts w:ascii="Times New Roman" w:eastAsia="Times New Roman" w:hAnsi="Times New Roman" w:cs="Times New Roman"/>
          <w:bCs/>
          <w:i/>
          <w:sz w:val="20"/>
          <w:szCs w:val="16"/>
          <w:lang w:val="fr-BE" w:eastAsia="en-IE"/>
        </w:rPr>
        <w:t>, point 11, de la directive 98/34, à savoir de la notion d’«autre exigence».</w:t>
      </w:r>
    </w:p>
    <w:p w14:paraId="2D262491" w14:textId="77777777" w:rsidR="00EA7E10" w:rsidRPr="00C70A4B" w:rsidRDefault="00EA7E10"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2B559748" w14:textId="0A08F4E3" w:rsidR="00EA7E10" w:rsidRPr="00C70A4B" w:rsidRDefault="00EA7E10"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25" w:name="point20"/>
      <w:r w:rsidRPr="00C70A4B">
        <w:rPr>
          <w:rFonts w:ascii="Times New Roman" w:eastAsia="Times New Roman" w:hAnsi="Times New Roman" w:cs="Times New Roman"/>
          <w:bCs/>
          <w:i/>
          <w:sz w:val="20"/>
          <w:szCs w:val="16"/>
          <w:lang w:val="fr-BE" w:eastAsia="en-IE"/>
        </w:rPr>
        <w:t>20</w:t>
      </w:r>
      <w:bookmarkEnd w:id="25"/>
      <w:r w:rsidR="00116D32">
        <w:rPr>
          <w:rFonts w:ascii="Times New Roman" w:eastAsia="Times New Roman" w:hAnsi="Times New Roman" w:cs="Times New Roman"/>
          <w:bCs/>
          <w:i/>
          <w:sz w:val="20"/>
          <w:szCs w:val="16"/>
          <w:lang w:val="fr-BE" w:eastAsia="en-IE"/>
        </w:rPr>
        <w:t xml:space="preserve">. </w:t>
      </w:r>
      <w:r w:rsidRPr="00C70A4B">
        <w:rPr>
          <w:rFonts w:ascii="Times New Roman" w:eastAsia="Times New Roman" w:hAnsi="Times New Roman" w:cs="Times New Roman"/>
          <w:bCs/>
          <w:i/>
          <w:sz w:val="20"/>
          <w:szCs w:val="16"/>
          <w:lang w:val="fr-BE" w:eastAsia="en-IE"/>
        </w:rPr>
        <w:t>Selon la jurisprudence, afin de pouvoir être qualifiées d’«autre[s] exigence[s]», au sens de l’article 1</w:t>
      </w:r>
      <w:r w:rsidRPr="00C70A4B">
        <w:rPr>
          <w:rFonts w:ascii="Times New Roman" w:eastAsia="Times New Roman" w:hAnsi="Times New Roman" w:cs="Times New Roman"/>
          <w:bCs/>
          <w:i/>
          <w:sz w:val="20"/>
          <w:szCs w:val="16"/>
          <w:vertAlign w:val="superscript"/>
          <w:lang w:val="fr-BE" w:eastAsia="en-IE"/>
        </w:rPr>
        <w:t>er</w:t>
      </w:r>
      <w:r w:rsidRPr="00C70A4B">
        <w:rPr>
          <w:rFonts w:ascii="Times New Roman" w:eastAsia="Times New Roman" w:hAnsi="Times New Roman" w:cs="Times New Roman"/>
          <w:bCs/>
          <w:i/>
          <w:sz w:val="20"/>
          <w:szCs w:val="16"/>
          <w:lang w:val="fr-BE" w:eastAsia="en-IE"/>
        </w:rPr>
        <w:t>, point 4, de la directive 98/34, les prescriptions minimales prévues par lesdites dispositions doivent constituer des «conditions» pouvant influencer de manière significative la composition, la nature ou la commercialisation du produit concerné (voir, en ce sens, arrêt Lindberg, précité, point 72).</w:t>
      </w:r>
    </w:p>
    <w:p w14:paraId="0D997F60" w14:textId="77777777" w:rsidR="00EA7E10" w:rsidRPr="00C70A4B" w:rsidRDefault="00EA7E10"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54B82DA9" w14:textId="65DFA7C1" w:rsidR="00EA7E10" w:rsidRPr="00C70A4B" w:rsidRDefault="00EA7E10" w:rsidP="00AA4F20">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bookmarkStart w:id="26" w:name="point21"/>
      <w:r w:rsidRPr="00C70A4B">
        <w:rPr>
          <w:rFonts w:ascii="Times New Roman" w:eastAsia="Times New Roman" w:hAnsi="Times New Roman" w:cs="Times New Roman"/>
          <w:bCs/>
          <w:i/>
          <w:sz w:val="20"/>
          <w:szCs w:val="16"/>
          <w:lang w:val="fr-BE" w:eastAsia="en-IE"/>
        </w:rPr>
        <w:t>21</w:t>
      </w:r>
      <w:bookmarkEnd w:id="26"/>
      <w:r w:rsidR="00116D32">
        <w:rPr>
          <w:rFonts w:ascii="Times New Roman" w:eastAsia="Times New Roman" w:hAnsi="Times New Roman" w:cs="Times New Roman"/>
          <w:bCs/>
          <w:i/>
          <w:sz w:val="20"/>
          <w:szCs w:val="16"/>
          <w:lang w:val="fr-BE" w:eastAsia="en-IE"/>
        </w:rPr>
        <w:t xml:space="preserve">. </w:t>
      </w:r>
      <w:r w:rsidRPr="00C70A4B">
        <w:rPr>
          <w:rFonts w:ascii="Times New Roman" w:eastAsia="Times New Roman" w:hAnsi="Times New Roman" w:cs="Times New Roman"/>
          <w:bCs/>
          <w:i/>
          <w:sz w:val="20"/>
          <w:szCs w:val="16"/>
          <w:lang w:val="fr-BE" w:eastAsia="en-IE"/>
        </w:rPr>
        <w:t>Or, compte tenu du caractère général desdites prescriptions, celles-ci ne sauraient constituer de telles conditions ni, par conséquent, être qualifiées d’«autre[s] exigence[s]», au sens dudit article 1</w:t>
      </w:r>
      <w:r w:rsidRPr="00C70A4B">
        <w:rPr>
          <w:rFonts w:ascii="Times New Roman" w:eastAsia="Times New Roman" w:hAnsi="Times New Roman" w:cs="Times New Roman"/>
          <w:bCs/>
          <w:i/>
          <w:sz w:val="20"/>
          <w:szCs w:val="16"/>
          <w:vertAlign w:val="superscript"/>
          <w:lang w:val="fr-BE" w:eastAsia="en-IE"/>
        </w:rPr>
        <w:t>er</w:t>
      </w:r>
      <w:r w:rsidRPr="00C70A4B">
        <w:rPr>
          <w:rFonts w:ascii="Times New Roman" w:eastAsia="Times New Roman" w:hAnsi="Times New Roman" w:cs="Times New Roman"/>
          <w:bCs/>
          <w:i/>
          <w:sz w:val="20"/>
          <w:szCs w:val="16"/>
          <w:lang w:val="fr-BE" w:eastAsia="en-IE"/>
        </w:rPr>
        <w:t>, point 4.» </w:t>
      </w:r>
    </w:p>
    <w:p w14:paraId="15EFD431" w14:textId="77777777" w:rsidR="00EA7E10" w:rsidRDefault="00EA7E10" w:rsidP="00AA4F20">
      <w:pPr>
        <w:spacing w:after="0" w:line="240" w:lineRule="auto"/>
        <w:rPr>
          <w:lang w:val="fr-BE"/>
        </w:rPr>
      </w:pPr>
    </w:p>
    <w:p w14:paraId="55ACF39E" w14:textId="5D69C504" w:rsidR="008E22D9" w:rsidRPr="00C70A4B"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7" w:history="1">
        <w:r w:rsidR="008E22D9" w:rsidRPr="00C70A4B">
          <w:rPr>
            <w:rFonts w:ascii="Times New Roman" w:eastAsia="Times New Roman" w:hAnsi="Times New Roman" w:cs="Times New Roman"/>
            <w:b/>
            <w:i/>
            <w:color w:val="0000FF"/>
            <w:szCs w:val="20"/>
            <w:u w:val="single"/>
            <w:lang w:val="fr" w:eastAsia="en-IE"/>
          </w:rPr>
          <w:t>Arrêt du 19 juillet 2012</w:t>
        </w:r>
      </w:hyperlink>
      <w:r w:rsidR="008E22D9" w:rsidRPr="00C70A4B">
        <w:rPr>
          <w:rFonts w:ascii="Times New Roman" w:eastAsia="Times New Roman" w:hAnsi="Times New Roman" w:cs="Times New Roman"/>
          <w:b/>
          <w:i/>
          <w:szCs w:val="20"/>
          <w:lang w:val="fr" w:eastAsia="en-IE"/>
        </w:rPr>
        <w:t xml:space="preserve">, </w:t>
      </w:r>
      <w:r w:rsidR="00437A3E" w:rsidRPr="00C70A4B">
        <w:rPr>
          <w:rFonts w:ascii="Times New Roman" w:eastAsia="Times New Roman" w:hAnsi="Times New Roman" w:cs="Times New Roman"/>
          <w:b/>
          <w:i/>
          <w:szCs w:val="20"/>
          <w:lang w:val="fr" w:eastAsia="en-IE"/>
        </w:rPr>
        <w:t xml:space="preserve">Fortuna e.a., </w:t>
      </w:r>
      <w:r w:rsidR="008E22D9" w:rsidRPr="00C70A4B">
        <w:rPr>
          <w:rFonts w:ascii="Times New Roman" w:eastAsia="Times New Roman" w:hAnsi="Times New Roman" w:cs="Times New Roman"/>
          <w:b/>
          <w:i/>
          <w:szCs w:val="20"/>
          <w:lang w:val="fr" w:eastAsia="en-IE"/>
        </w:rPr>
        <w:t>C-213/11, C-214/11 et C-217/11, EU:C:2012:495, points 35</w:t>
      </w:r>
      <w:r w:rsidR="00F849FE">
        <w:rPr>
          <w:rFonts w:ascii="Times New Roman" w:eastAsia="Times New Roman" w:hAnsi="Times New Roman" w:cs="Times New Roman"/>
          <w:b/>
          <w:i/>
          <w:szCs w:val="20"/>
          <w:lang w:val="fr" w:eastAsia="en-IE"/>
        </w:rPr>
        <w:t> , 36 et</w:t>
      </w:r>
      <w:r w:rsidR="008E22D9" w:rsidRPr="00C70A4B">
        <w:rPr>
          <w:rFonts w:ascii="Times New Roman" w:eastAsia="Times New Roman" w:hAnsi="Times New Roman" w:cs="Times New Roman"/>
          <w:b/>
          <w:i/>
          <w:szCs w:val="20"/>
          <w:lang w:val="fr" w:eastAsia="en-IE"/>
        </w:rPr>
        <w:t xml:space="preserve"> 40</w:t>
      </w:r>
    </w:p>
    <w:p w14:paraId="670AE6D0" w14:textId="77777777" w:rsidR="008E22D9" w:rsidRPr="00C70A4B"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845A16A" w14:textId="6E3F497E" w:rsidR="008E22D9" w:rsidRPr="00C70A4B" w:rsidRDefault="008E22D9" w:rsidP="00AA4F20">
      <w:pPr>
        <w:widowControl w:val="0"/>
        <w:tabs>
          <w:tab w:val="left" w:pos="451"/>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w:t>
      </w:r>
      <w:r w:rsidRPr="00C70A4B">
        <w:rPr>
          <w:rFonts w:ascii="Times New Roman" w:eastAsia="Times New Roman" w:hAnsi="Times New Roman" w:cs="Times New Roman"/>
          <w:szCs w:val="20"/>
          <w:lang w:val="fr" w:eastAsia="en-IE"/>
        </w:rPr>
        <w:t xml:space="preserve">es dispositions nationales restreignant l’exploitation de </w:t>
      </w:r>
      <w:r w:rsidR="00B41B63">
        <w:rPr>
          <w:rFonts w:ascii="Times New Roman" w:eastAsia="Times New Roman" w:hAnsi="Times New Roman" w:cs="Times New Roman"/>
          <w:szCs w:val="20"/>
          <w:lang w:val="fr" w:eastAsia="en-IE"/>
        </w:rPr>
        <w:t xml:space="preserve">machine à jeux </w:t>
      </w:r>
      <w:r w:rsidRPr="00C70A4B">
        <w:rPr>
          <w:rFonts w:ascii="Times New Roman" w:eastAsia="Times New Roman" w:hAnsi="Times New Roman" w:cs="Times New Roman"/>
          <w:szCs w:val="20"/>
          <w:lang w:val="fr" w:eastAsia="en-IE"/>
        </w:rPr>
        <w:t xml:space="preserve">en dehors des casinos peuvent constituer des « règles techniques » si elles influencent significativement la nature ou la commercialisation des produits concernés. </w:t>
      </w:r>
    </w:p>
    <w:p w14:paraId="124E2FE9" w14:textId="77777777" w:rsidR="008E22D9" w:rsidRPr="00C70A4B" w:rsidRDefault="008E22D9" w:rsidP="00AA4F20">
      <w:pPr>
        <w:widowControl w:val="0"/>
        <w:tabs>
          <w:tab w:val="left" w:pos="451"/>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5C90AD4C" w14:textId="6810A194" w:rsidR="008E22D9" w:rsidRPr="00C70A4B" w:rsidRDefault="008E22D9"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27" w:name="point35"/>
      <w:r w:rsidRPr="00C70A4B">
        <w:rPr>
          <w:rFonts w:ascii="Times New Roman" w:eastAsia="Times New Roman" w:hAnsi="Times New Roman" w:cs="Times New Roman"/>
          <w:i/>
          <w:iCs/>
          <w:sz w:val="20"/>
          <w:szCs w:val="16"/>
          <w:lang w:val="fr-BE" w:eastAsia="en-IE"/>
        </w:rPr>
        <w:t>« 35</w:t>
      </w:r>
      <w:bookmarkEnd w:id="27"/>
      <w:r w:rsidR="00116D32">
        <w:rPr>
          <w:rFonts w:ascii="Times New Roman" w:eastAsia="Times New Roman" w:hAnsi="Times New Roman" w:cs="Times New Roman"/>
          <w:i/>
          <w:iCs/>
          <w:sz w:val="20"/>
          <w:szCs w:val="16"/>
          <w:lang w:val="fr-BE" w:eastAsia="en-IE"/>
        </w:rPr>
        <w:t xml:space="preserve">. </w:t>
      </w:r>
      <w:r w:rsidR="00B41B63">
        <w:rPr>
          <w:rFonts w:ascii="Times New Roman" w:eastAsia="Times New Roman" w:hAnsi="Times New Roman" w:cs="Times New Roman"/>
          <w:i/>
          <w:iCs/>
          <w:sz w:val="20"/>
          <w:szCs w:val="16"/>
          <w:lang w:val="fr-BE" w:eastAsia="en-IE"/>
        </w:rPr>
        <w:t>[…]</w:t>
      </w:r>
      <w:r w:rsidRPr="00C70A4B">
        <w:rPr>
          <w:rFonts w:ascii="Times New Roman" w:eastAsia="Times New Roman" w:hAnsi="Times New Roman" w:cs="Times New Roman"/>
          <w:i/>
          <w:iCs/>
          <w:sz w:val="20"/>
          <w:szCs w:val="16"/>
          <w:lang w:val="fr-BE" w:eastAsia="en-IE"/>
        </w:rPr>
        <w:t xml:space="preserve"> la Cour a jugé que, afin de pouvoir être qualifiées d’«autre exigence», au sens de l’article 1</w:t>
      </w:r>
      <w:r w:rsidRPr="00C70A4B">
        <w:rPr>
          <w:rFonts w:ascii="Times New Roman" w:eastAsia="Times New Roman" w:hAnsi="Times New Roman" w:cs="Times New Roman"/>
          <w:i/>
          <w:iCs/>
          <w:sz w:val="20"/>
          <w:szCs w:val="16"/>
          <w:vertAlign w:val="superscript"/>
          <w:lang w:val="fr-BE" w:eastAsia="en-IE"/>
        </w:rPr>
        <w:t>er</w:t>
      </w:r>
      <w:r w:rsidRPr="00C70A4B">
        <w:rPr>
          <w:rFonts w:ascii="Times New Roman" w:eastAsia="Times New Roman" w:hAnsi="Times New Roman" w:cs="Times New Roman"/>
          <w:i/>
          <w:iCs/>
          <w:sz w:val="20"/>
          <w:szCs w:val="16"/>
          <w:lang w:val="fr-BE" w:eastAsia="en-IE"/>
        </w:rPr>
        <w:t xml:space="preserve">, point 4, de la directive 98/34, les mesures nationales concernées doivent constituer des «conditions» pouvant influencer de manière significative la composition, la nature ou la commercialisation du produit concerné (voir, en ce sens, arrêts précités Lindberg, point 72, ainsi que Intercommunale </w:t>
      </w:r>
      <w:proofErr w:type="spellStart"/>
      <w:r w:rsidRPr="00C70A4B">
        <w:rPr>
          <w:rFonts w:ascii="Times New Roman" w:eastAsia="Times New Roman" w:hAnsi="Times New Roman" w:cs="Times New Roman"/>
          <w:i/>
          <w:iCs/>
          <w:sz w:val="20"/>
          <w:szCs w:val="16"/>
          <w:lang w:val="fr-BE" w:eastAsia="en-IE"/>
        </w:rPr>
        <w:t>Intermosane</w:t>
      </w:r>
      <w:proofErr w:type="spellEnd"/>
      <w:r w:rsidRPr="00C70A4B">
        <w:rPr>
          <w:rFonts w:ascii="Times New Roman" w:eastAsia="Times New Roman" w:hAnsi="Times New Roman" w:cs="Times New Roman"/>
          <w:i/>
          <w:iCs/>
          <w:sz w:val="20"/>
          <w:szCs w:val="16"/>
          <w:lang w:val="fr-BE" w:eastAsia="en-IE"/>
        </w:rPr>
        <w:t xml:space="preserve"> et Fédération de l’industrie et du gaz, point 20).</w:t>
      </w:r>
    </w:p>
    <w:p w14:paraId="35552A88" w14:textId="77777777" w:rsidR="008E22D9" w:rsidRPr="00C70A4B" w:rsidRDefault="008E22D9"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F4D68CB" w14:textId="141A422D" w:rsidR="008E22D9" w:rsidRPr="00C70A4B" w:rsidRDefault="008E22D9"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t>36</w:t>
      </w:r>
      <w:r w:rsidR="00116D32">
        <w:rPr>
          <w:rFonts w:ascii="Times New Roman" w:eastAsia="Times New Roman" w:hAnsi="Times New Roman" w:cs="Times New Roman"/>
          <w:i/>
          <w:iCs/>
          <w:sz w:val="20"/>
          <w:szCs w:val="16"/>
          <w:lang w:val="fr-BE" w:eastAsia="en-IE"/>
        </w:rPr>
        <w:t xml:space="preserve">. </w:t>
      </w:r>
      <w:r w:rsidRPr="00C70A4B">
        <w:rPr>
          <w:rFonts w:ascii="Times New Roman" w:eastAsia="Times New Roman" w:hAnsi="Times New Roman" w:cs="Times New Roman"/>
          <w:i/>
          <w:iCs/>
          <w:sz w:val="20"/>
          <w:szCs w:val="16"/>
          <w:lang w:val="fr-BE" w:eastAsia="en-IE"/>
        </w:rPr>
        <w:t>À cet égard, il y a lieu de relever que les dispositions transitoires de la loi sur les jeux de hasard imposent des conditions susceptibles d’affecter la commercialisation des appareils de jeux automatisés à gains limités. En effet, l’interdiction de délivrer, de renouveler ou de modifier les autorisations relatives aux activités de jeux automatisés à gains limités en dehors des casinos est de nature à affecter directement le commerce des appareils de jeux à gains limités.»</w:t>
      </w:r>
    </w:p>
    <w:p w14:paraId="77B9EEDD" w14:textId="77777777" w:rsidR="008E22D9" w:rsidRPr="00C70A4B" w:rsidRDefault="008E22D9"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30D7A30" w14:textId="07E0C263" w:rsidR="008E22D9" w:rsidRPr="00C70A4B" w:rsidRDefault="008E22D9"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lastRenderedPageBreak/>
        <w:t>« 40</w:t>
      </w:r>
      <w:r w:rsidR="00116D32">
        <w:rPr>
          <w:rFonts w:ascii="Times New Roman" w:eastAsia="Times New Roman" w:hAnsi="Times New Roman" w:cs="Times New Roman"/>
          <w:i/>
          <w:iCs/>
          <w:sz w:val="20"/>
          <w:szCs w:val="16"/>
          <w:lang w:val="fr-BE" w:eastAsia="en-IE"/>
        </w:rPr>
        <w:t xml:space="preserve">. </w:t>
      </w:r>
      <w:r w:rsidRPr="00C70A4B">
        <w:rPr>
          <w:rFonts w:ascii="Times New Roman" w:eastAsia="Times New Roman" w:hAnsi="Times New Roman" w:cs="Times New Roman"/>
          <w:i/>
          <w:iCs/>
          <w:sz w:val="20"/>
          <w:szCs w:val="16"/>
          <w:lang w:val="fr-BE" w:eastAsia="en-IE"/>
        </w:rPr>
        <w:t>Au vu de tout ce qui précède, il y a lieu de répondre aux questions posées que l’article 1</w:t>
      </w:r>
      <w:r w:rsidRPr="00C70A4B">
        <w:rPr>
          <w:rFonts w:ascii="Times New Roman" w:eastAsia="Times New Roman" w:hAnsi="Times New Roman" w:cs="Times New Roman"/>
          <w:i/>
          <w:iCs/>
          <w:sz w:val="20"/>
          <w:szCs w:val="16"/>
          <w:vertAlign w:val="superscript"/>
          <w:lang w:val="fr-BE" w:eastAsia="en-IE"/>
        </w:rPr>
        <w:t>er</w:t>
      </w:r>
      <w:r w:rsidRPr="00C70A4B">
        <w:rPr>
          <w:rFonts w:ascii="Times New Roman" w:eastAsia="Times New Roman" w:hAnsi="Times New Roman" w:cs="Times New Roman"/>
          <w:i/>
          <w:iCs/>
          <w:sz w:val="20"/>
          <w:szCs w:val="16"/>
          <w:lang w:val="fr-BE" w:eastAsia="en-IE"/>
        </w:rPr>
        <w:t>, point 11, de la directive 98/34 doit être interprété en ce sens que des dispositions nationales, telles que celles de la loi sur les jeux de hasard, qui pourraient avoir pour effet de limiter, voire de rendre progressivement impossible, l’exploitation des jeux automatisés à gains limités ailleurs que dans les casinos et les salles de jeux, sont susceptibles de constituer des «règles techniques» au sens de cette disposition, dont les projets doivent faire l’objet de la communication prévue à l’article 8, paragraphe 1, premier alinéa, de cette directive, pour autant qu’il est établi que lesdites dispositions constituent des conditions pouvant influencer de manière significative la nature ou la commercialisation du produit concerné, ce qu’il incombe à la juridiction de renvoi de vérifier. »</w:t>
      </w:r>
    </w:p>
    <w:p w14:paraId="57F5759B" w14:textId="77777777" w:rsidR="008E22D9" w:rsidRDefault="008E22D9" w:rsidP="00AA4F20">
      <w:pPr>
        <w:spacing w:after="0" w:line="240" w:lineRule="auto"/>
        <w:rPr>
          <w:lang w:val="fr-BE"/>
        </w:rPr>
      </w:pPr>
    </w:p>
    <w:p w14:paraId="103961B0" w14:textId="34AE8727" w:rsidR="00B41B63" w:rsidRPr="00E60C42" w:rsidRDefault="00B3389F" w:rsidP="00B41B63">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8" w:history="1">
        <w:r w:rsidR="00B41B63" w:rsidRPr="00E60C42">
          <w:rPr>
            <w:rFonts w:ascii="Times New Roman" w:eastAsia="Times New Roman" w:hAnsi="Times New Roman" w:cs="Times New Roman"/>
            <w:b/>
            <w:i/>
            <w:color w:val="0000FF"/>
            <w:szCs w:val="20"/>
            <w:u w:val="single"/>
            <w:lang w:val="fr" w:eastAsia="en-IE"/>
          </w:rPr>
          <w:t>Arrêt du 10 juillet 2014,</w:t>
        </w:r>
      </w:hyperlink>
      <w:r w:rsidR="00B41B63"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Ivansson</w:t>
      </w:r>
      <w:proofErr w:type="spellEnd"/>
      <w:r w:rsidR="00437A3E" w:rsidRPr="00E60C42">
        <w:rPr>
          <w:rFonts w:ascii="Times New Roman" w:eastAsia="Times New Roman" w:hAnsi="Times New Roman" w:cs="Times New Roman"/>
          <w:b/>
          <w:i/>
          <w:szCs w:val="20"/>
          <w:lang w:val="fr" w:eastAsia="en-IE"/>
        </w:rPr>
        <w:t xml:space="preserve"> e.a</w:t>
      </w:r>
      <w:r w:rsidR="00437A3E">
        <w:rPr>
          <w:rFonts w:ascii="Times New Roman" w:eastAsia="Times New Roman" w:hAnsi="Times New Roman" w:cs="Times New Roman"/>
          <w:b/>
          <w:i/>
          <w:szCs w:val="20"/>
          <w:lang w:val="fr" w:eastAsia="en-IE"/>
        </w:rPr>
        <w:t>.</w:t>
      </w:r>
      <w:r w:rsidR="00437A3E" w:rsidRPr="00E60C42">
        <w:rPr>
          <w:rFonts w:ascii="Times New Roman" w:eastAsia="Times New Roman" w:hAnsi="Times New Roman" w:cs="Times New Roman"/>
          <w:sz w:val="25"/>
          <w:szCs w:val="20"/>
          <w:lang w:val="fr" w:eastAsia="en-IE"/>
        </w:rPr>
        <w:t>,</w:t>
      </w:r>
      <w:r w:rsidR="00437A3E" w:rsidRPr="00E60C42">
        <w:rPr>
          <w:rFonts w:ascii="Times New Roman" w:eastAsia="Times New Roman" w:hAnsi="Times New Roman" w:cs="Times New Roman"/>
          <w:b/>
          <w:i/>
          <w:szCs w:val="20"/>
          <w:lang w:val="fr" w:eastAsia="en-IE"/>
        </w:rPr>
        <w:t xml:space="preserve"> </w:t>
      </w:r>
      <w:r w:rsidR="00B41B63" w:rsidRPr="00E60C42">
        <w:rPr>
          <w:rFonts w:ascii="Times New Roman" w:eastAsia="Times New Roman" w:hAnsi="Times New Roman" w:cs="Times New Roman"/>
          <w:b/>
          <w:i/>
          <w:szCs w:val="20"/>
          <w:lang w:val="fr" w:eastAsia="en-IE"/>
        </w:rPr>
        <w:t xml:space="preserve">C-307/13, EU:C:2014:2058, points </w:t>
      </w:r>
      <w:r w:rsidR="00B41B63">
        <w:rPr>
          <w:rFonts w:ascii="Times New Roman" w:eastAsia="Times New Roman" w:hAnsi="Times New Roman" w:cs="Times New Roman"/>
          <w:b/>
          <w:i/>
          <w:szCs w:val="20"/>
          <w:lang w:val="fr" w:eastAsia="en-IE"/>
        </w:rPr>
        <w:t>26 à 28</w:t>
      </w:r>
    </w:p>
    <w:p w14:paraId="04655AD5" w14:textId="77777777" w:rsidR="00B41B63" w:rsidRPr="00E60C42" w:rsidRDefault="00B41B63" w:rsidP="00B41B63">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3F5A5234" w14:textId="6BDFF327" w:rsidR="00B41B63" w:rsidRPr="00690AF6" w:rsidRDefault="00B41B63" w:rsidP="00B41B63">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lang w:val="fr" w:eastAsia="en-IE"/>
        </w:rPr>
      </w:pPr>
      <w:r w:rsidRPr="00E60C42">
        <w:rPr>
          <w:rFonts w:ascii="Times New Roman" w:eastAsia="Times New Roman" w:hAnsi="Times New Roman" w:cs="Times New Roman"/>
          <w:szCs w:val="20"/>
          <w:lang w:val="fr" w:eastAsia="en-IE"/>
        </w:rPr>
        <w:t>Une r</w:t>
      </w:r>
      <w:r>
        <w:rPr>
          <w:rFonts w:ascii="Times New Roman" w:eastAsia="Times New Roman" w:hAnsi="Times New Roman" w:cs="Times New Roman"/>
          <w:szCs w:val="20"/>
          <w:lang w:val="fr" w:eastAsia="en-IE"/>
        </w:rPr>
        <w:t xml:space="preserve">ègle établissant un objectif général de confort de la volaille et de qualités des infrastructures d’élevage n’est pas une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autre </w:t>
      </w:r>
      <w:r w:rsidR="00EE4C2F">
        <w:rPr>
          <w:rFonts w:ascii="Times New Roman" w:eastAsia="Times New Roman" w:hAnsi="Times New Roman" w:cs="Times New Roman"/>
          <w:szCs w:val="20"/>
          <w:lang w:val="fr" w:eastAsia="en-IE"/>
        </w:rPr>
        <w:t>exigence »</w:t>
      </w:r>
      <w:r>
        <w:rPr>
          <w:rFonts w:ascii="Times New Roman" w:eastAsia="Times New Roman" w:hAnsi="Times New Roman" w:cs="Times New Roman"/>
          <w:szCs w:val="20"/>
          <w:lang w:val="fr" w:eastAsia="en-IE"/>
        </w:rPr>
        <w:t xml:space="preserve"> car elle présente un caractère générale insusceptible d’avoir une incidence sur la composition, la nature ou la commercialisation du produit final. </w:t>
      </w:r>
    </w:p>
    <w:p w14:paraId="071070E8" w14:textId="77777777" w:rsidR="00B41B63" w:rsidRDefault="00B41B63" w:rsidP="00B41B63">
      <w:pPr>
        <w:widowControl w:val="0"/>
        <w:autoSpaceDE w:val="0"/>
        <w:autoSpaceDN w:val="0"/>
        <w:spacing w:after="0" w:line="240" w:lineRule="auto"/>
        <w:ind w:left="567"/>
        <w:jc w:val="both"/>
        <w:rPr>
          <w:rFonts w:ascii="Times New Roman" w:eastAsia="Times New Roman" w:hAnsi="Times New Roman" w:cs="Times New Roman"/>
          <w:bCs/>
          <w:i/>
          <w:sz w:val="20"/>
          <w:szCs w:val="16"/>
          <w:lang w:val="fr-BE" w:eastAsia="en-IE"/>
        </w:rPr>
      </w:pPr>
    </w:p>
    <w:p w14:paraId="410618C3" w14:textId="489A35C4" w:rsidR="00B41B63" w:rsidRPr="00B41B63" w:rsidRDefault="00B41B63" w:rsidP="00B41B63">
      <w:pPr>
        <w:spacing w:after="0" w:line="240" w:lineRule="auto"/>
        <w:ind w:left="567"/>
        <w:jc w:val="both"/>
        <w:rPr>
          <w:rFonts w:ascii="Times New Roman" w:eastAsia="Times New Roman" w:hAnsi="Times New Roman" w:cs="Times New Roman"/>
          <w:bCs/>
          <w:i/>
          <w:sz w:val="20"/>
          <w:szCs w:val="16"/>
          <w:lang w:val="fr-BE" w:eastAsia="en-IE"/>
        </w:rPr>
      </w:pPr>
      <w:r>
        <w:rPr>
          <w:rFonts w:ascii="Times New Roman" w:eastAsia="Times New Roman" w:hAnsi="Times New Roman" w:cs="Times New Roman"/>
          <w:bCs/>
          <w:i/>
          <w:sz w:val="20"/>
          <w:szCs w:val="16"/>
          <w:lang w:val="fr-BE" w:eastAsia="en-IE"/>
        </w:rPr>
        <w:t>« </w:t>
      </w:r>
      <w:r w:rsidRPr="00B41B63">
        <w:rPr>
          <w:rFonts w:ascii="Times New Roman" w:eastAsia="Times New Roman" w:hAnsi="Times New Roman" w:cs="Times New Roman"/>
          <w:bCs/>
          <w:i/>
          <w:sz w:val="20"/>
          <w:szCs w:val="16"/>
          <w:lang w:val="fr-BE" w:eastAsia="en-IE"/>
        </w:rPr>
        <w:t>26</w:t>
      </w:r>
      <w:r w:rsidR="00116D32">
        <w:rPr>
          <w:rFonts w:ascii="Times New Roman" w:eastAsia="Times New Roman" w:hAnsi="Times New Roman" w:cs="Times New Roman"/>
          <w:bCs/>
          <w:i/>
          <w:sz w:val="20"/>
          <w:szCs w:val="16"/>
          <w:lang w:val="fr-BE" w:eastAsia="en-IE"/>
        </w:rPr>
        <w:t xml:space="preserve">. </w:t>
      </w:r>
      <w:r>
        <w:rPr>
          <w:rFonts w:ascii="Times New Roman" w:eastAsia="Times New Roman" w:hAnsi="Times New Roman" w:cs="Times New Roman"/>
          <w:bCs/>
          <w:i/>
          <w:sz w:val="20"/>
          <w:szCs w:val="16"/>
          <w:lang w:val="fr-BE" w:eastAsia="en-IE"/>
        </w:rPr>
        <w:t>[…]</w:t>
      </w:r>
      <w:r w:rsidRPr="00B41B63">
        <w:rPr>
          <w:rFonts w:ascii="Times New Roman" w:eastAsia="Times New Roman" w:hAnsi="Times New Roman" w:cs="Times New Roman"/>
          <w:bCs/>
          <w:i/>
          <w:sz w:val="20"/>
          <w:szCs w:val="16"/>
          <w:lang w:val="fr-BE" w:eastAsia="en-IE"/>
        </w:rPr>
        <w:t xml:space="preserve"> la Cour a déjà jugé que, afin de pouvoir être qualifiées d’«autres exigences», au sens de l’article 1er, point 4, de la directive 98/34, les mesures nationales concernées doivent constituer des «conditions» pouvant influencer de manière significative la composition, la nature ou la commercialisation du produit concerné (voir arrêt Fortuna e.a., EU:C:2012:495, point 35 et jurisprudence citée).</w:t>
      </w:r>
    </w:p>
    <w:p w14:paraId="21F0C702" w14:textId="77777777" w:rsidR="00B41B63" w:rsidRPr="00B41B63" w:rsidRDefault="00B41B63" w:rsidP="00B41B63">
      <w:pPr>
        <w:spacing w:after="0" w:line="240" w:lineRule="auto"/>
        <w:ind w:left="567"/>
        <w:jc w:val="both"/>
        <w:rPr>
          <w:rFonts w:ascii="Times New Roman" w:eastAsia="Times New Roman" w:hAnsi="Times New Roman" w:cs="Times New Roman"/>
          <w:bCs/>
          <w:i/>
          <w:sz w:val="20"/>
          <w:szCs w:val="16"/>
          <w:lang w:val="fr-BE" w:eastAsia="en-IE"/>
        </w:rPr>
      </w:pPr>
    </w:p>
    <w:p w14:paraId="2D0F6D39" w14:textId="2A03D252" w:rsidR="00B41B63" w:rsidRPr="00B41B63" w:rsidRDefault="00B41B63" w:rsidP="00B41B63">
      <w:pPr>
        <w:spacing w:after="0" w:line="240" w:lineRule="auto"/>
        <w:ind w:left="567"/>
        <w:jc w:val="both"/>
        <w:rPr>
          <w:rFonts w:ascii="Times New Roman" w:eastAsia="Times New Roman" w:hAnsi="Times New Roman" w:cs="Times New Roman"/>
          <w:bCs/>
          <w:i/>
          <w:sz w:val="20"/>
          <w:szCs w:val="16"/>
          <w:lang w:val="fr-BE" w:eastAsia="en-IE"/>
        </w:rPr>
      </w:pPr>
      <w:r w:rsidRPr="00B41B63">
        <w:rPr>
          <w:rFonts w:ascii="Times New Roman" w:eastAsia="Times New Roman" w:hAnsi="Times New Roman" w:cs="Times New Roman"/>
          <w:bCs/>
          <w:i/>
          <w:sz w:val="20"/>
          <w:szCs w:val="16"/>
          <w:lang w:val="fr-BE" w:eastAsia="en-IE"/>
        </w:rPr>
        <w:t>27</w:t>
      </w:r>
      <w:r w:rsidR="00116D32">
        <w:rPr>
          <w:rFonts w:ascii="Times New Roman" w:eastAsia="Times New Roman" w:hAnsi="Times New Roman" w:cs="Times New Roman"/>
          <w:bCs/>
          <w:i/>
          <w:sz w:val="20"/>
          <w:szCs w:val="16"/>
          <w:lang w:val="fr-BE" w:eastAsia="en-IE"/>
        </w:rPr>
        <w:t xml:space="preserve">. </w:t>
      </w:r>
      <w:r w:rsidRPr="00B41B63">
        <w:rPr>
          <w:rFonts w:ascii="Times New Roman" w:eastAsia="Times New Roman" w:hAnsi="Times New Roman" w:cs="Times New Roman"/>
          <w:bCs/>
          <w:i/>
          <w:sz w:val="20"/>
          <w:szCs w:val="16"/>
          <w:lang w:val="fr-BE" w:eastAsia="en-IE"/>
        </w:rPr>
        <w:t xml:space="preserve">La Cour a également considéré que, lorsque les prescriptions contenues dans une mesure nationale présentent un caractère général, elles ne sauraient constituer de telles conditions ni, par conséquent, être qualifiées d’«autres exigences», au sens dudit article 1er, point 4 (voir, en ce sens, arrêt Intercommunale </w:t>
      </w:r>
      <w:proofErr w:type="spellStart"/>
      <w:r w:rsidRPr="00B41B63">
        <w:rPr>
          <w:rFonts w:ascii="Times New Roman" w:eastAsia="Times New Roman" w:hAnsi="Times New Roman" w:cs="Times New Roman"/>
          <w:bCs/>
          <w:i/>
          <w:sz w:val="20"/>
          <w:szCs w:val="16"/>
          <w:lang w:val="fr-BE" w:eastAsia="en-IE"/>
        </w:rPr>
        <w:t>Intermosane</w:t>
      </w:r>
      <w:proofErr w:type="spellEnd"/>
      <w:r w:rsidRPr="00B41B63">
        <w:rPr>
          <w:rFonts w:ascii="Times New Roman" w:eastAsia="Times New Roman" w:hAnsi="Times New Roman" w:cs="Times New Roman"/>
          <w:bCs/>
          <w:i/>
          <w:sz w:val="20"/>
          <w:szCs w:val="16"/>
          <w:lang w:val="fr-BE" w:eastAsia="en-IE"/>
        </w:rPr>
        <w:t xml:space="preserve"> et Fédération de l’industrie et du gaz, EU:C:2011:382, point 21).</w:t>
      </w:r>
    </w:p>
    <w:p w14:paraId="43DDE0D9" w14:textId="77777777" w:rsidR="00B41B63" w:rsidRPr="00B41B63" w:rsidRDefault="00B41B63" w:rsidP="00B41B63">
      <w:pPr>
        <w:spacing w:after="0" w:line="240" w:lineRule="auto"/>
        <w:ind w:left="567"/>
        <w:jc w:val="both"/>
        <w:rPr>
          <w:rFonts w:ascii="Times New Roman" w:eastAsia="Times New Roman" w:hAnsi="Times New Roman" w:cs="Times New Roman"/>
          <w:bCs/>
          <w:i/>
          <w:sz w:val="20"/>
          <w:szCs w:val="16"/>
          <w:lang w:val="fr-BE" w:eastAsia="en-IE"/>
        </w:rPr>
      </w:pPr>
    </w:p>
    <w:p w14:paraId="32D091AD" w14:textId="75CBCB5D" w:rsidR="00B41B63" w:rsidRDefault="00B41B63" w:rsidP="00B41B63">
      <w:pPr>
        <w:spacing w:after="0" w:line="240" w:lineRule="auto"/>
        <w:ind w:left="567"/>
        <w:jc w:val="both"/>
        <w:rPr>
          <w:rFonts w:ascii="Times New Roman" w:eastAsia="Times New Roman" w:hAnsi="Times New Roman" w:cs="Times New Roman"/>
          <w:bCs/>
          <w:i/>
          <w:sz w:val="20"/>
          <w:szCs w:val="16"/>
          <w:lang w:val="fr-BE" w:eastAsia="en-IE"/>
        </w:rPr>
      </w:pPr>
      <w:r w:rsidRPr="00B41B63">
        <w:rPr>
          <w:rFonts w:ascii="Times New Roman" w:eastAsia="Times New Roman" w:hAnsi="Times New Roman" w:cs="Times New Roman"/>
          <w:bCs/>
          <w:i/>
          <w:sz w:val="20"/>
          <w:szCs w:val="16"/>
          <w:lang w:val="fr-BE" w:eastAsia="en-IE"/>
        </w:rPr>
        <w:t>28</w:t>
      </w:r>
      <w:r w:rsidR="00116D32">
        <w:rPr>
          <w:rFonts w:ascii="Times New Roman" w:eastAsia="Times New Roman" w:hAnsi="Times New Roman" w:cs="Times New Roman"/>
          <w:bCs/>
          <w:i/>
          <w:sz w:val="20"/>
          <w:szCs w:val="16"/>
          <w:lang w:val="fr-BE" w:eastAsia="en-IE"/>
        </w:rPr>
        <w:t xml:space="preserve">. </w:t>
      </w:r>
      <w:r w:rsidRPr="00B41B63">
        <w:rPr>
          <w:rFonts w:ascii="Times New Roman" w:eastAsia="Times New Roman" w:hAnsi="Times New Roman" w:cs="Times New Roman"/>
          <w:bCs/>
          <w:i/>
          <w:sz w:val="20"/>
          <w:szCs w:val="16"/>
          <w:lang w:val="fr-BE" w:eastAsia="en-IE"/>
        </w:rPr>
        <w:t>La formulation très générale contenue à l’article 9 du décret (1988:539), comme indiqué aux points 22 et 23 du présent arrêt, exclut ainsi que cette disposition puisse être considérée comme conditionnant la composition, la nature ou la commercialisation des produits concernés.</w:t>
      </w:r>
      <w:r>
        <w:rPr>
          <w:rFonts w:ascii="Times New Roman" w:eastAsia="Times New Roman" w:hAnsi="Times New Roman" w:cs="Times New Roman"/>
          <w:bCs/>
          <w:i/>
          <w:sz w:val="20"/>
          <w:szCs w:val="16"/>
          <w:lang w:val="fr-BE" w:eastAsia="en-IE"/>
        </w:rPr>
        <w:t> »</w:t>
      </w:r>
    </w:p>
    <w:p w14:paraId="7CA19ADB" w14:textId="77777777" w:rsidR="00B41B63" w:rsidRPr="00B41B63" w:rsidRDefault="00B41B63" w:rsidP="00B41B63">
      <w:pPr>
        <w:spacing w:after="0" w:line="240" w:lineRule="auto"/>
        <w:rPr>
          <w:rFonts w:ascii="Times New Roman" w:eastAsia="Times New Roman" w:hAnsi="Times New Roman" w:cs="Times New Roman"/>
          <w:bCs/>
          <w:i/>
          <w:sz w:val="20"/>
          <w:szCs w:val="16"/>
          <w:lang w:val="fr-BE" w:eastAsia="en-IE"/>
        </w:rPr>
      </w:pPr>
    </w:p>
    <w:p w14:paraId="23729051" w14:textId="63FEF9C0" w:rsidR="008E22D9"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39" w:anchor="ctx1" w:history="1">
        <w:r w:rsidR="008E22D9" w:rsidRPr="00E60C42">
          <w:rPr>
            <w:rFonts w:ascii="Times New Roman" w:eastAsia="Times New Roman" w:hAnsi="Times New Roman" w:cs="Times New Roman"/>
            <w:b/>
            <w:i/>
            <w:color w:val="0000FF"/>
            <w:szCs w:val="20"/>
            <w:u w:val="single"/>
            <w:lang w:val="fr" w:eastAsia="en-IE"/>
          </w:rPr>
          <w:t>Arrêt du 11 juin 2015</w:t>
        </w:r>
      </w:hyperlink>
      <w:r w:rsidR="008E22D9"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Berlington</w:t>
      </w:r>
      <w:proofErr w:type="spellEnd"/>
      <w:r w:rsidR="00437A3E"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Hungary</w:t>
      </w:r>
      <w:proofErr w:type="spellEnd"/>
      <w:r w:rsidR="00437A3E" w:rsidRPr="00E60C42">
        <w:rPr>
          <w:rFonts w:ascii="Times New Roman" w:eastAsia="Times New Roman" w:hAnsi="Times New Roman" w:cs="Times New Roman"/>
          <w:b/>
          <w:i/>
          <w:szCs w:val="20"/>
          <w:lang w:val="fr" w:eastAsia="en-IE"/>
        </w:rPr>
        <w:t xml:space="preserve"> e.a., </w:t>
      </w:r>
      <w:r w:rsidR="008E22D9" w:rsidRPr="00E60C42">
        <w:rPr>
          <w:rFonts w:ascii="Times New Roman" w:eastAsia="Times New Roman" w:hAnsi="Times New Roman" w:cs="Times New Roman"/>
          <w:b/>
          <w:i/>
          <w:szCs w:val="20"/>
          <w:lang w:val="fr" w:eastAsia="en-IE"/>
        </w:rPr>
        <w:t>C-98/14, EU:C:2015:386, points 9</w:t>
      </w:r>
      <w:r w:rsidR="008E22D9">
        <w:rPr>
          <w:rFonts w:ascii="Times New Roman" w:eastAsia="Times New Roman" w:hAnsi="Times New Roman" w:cs="Times New Roman"/>
          <w:b/>
          <w:i/>
          <w:szCs w:val="20"/>
          <w:lang w:val="fr" w:eastAsia="en-IE"/>
        </w:rPr>
        <w:t>8</w:t>
      </w:r>
      <w:r w:rsidR="008E22D9" w:rsidRPr="00E60C42">
        <w:rPr>
          <w:rFonts w:ascii="Times New Roman" w:eastAsia="Times New Roman" w:hAnsi="Times New Roman" w:cs="Times New Roman"/>
          <w:b/>
          <w:i/>
          <w:szCs w:val="20"/>
          <w:lang w:val="fr" w:eastAsia="en-IE"/>
        </w:rPr>
        <w:t xml:space="preserve"> </w:t>
      </w:r>
      <w:r w:rsidR="008E22D9">
        <w:rPr>
          <w:rFonts w:ascii="Times New Roman" w:eastAsia="Times New Roman" w:hAnsi="Times New Roman" w:cs="Times New Roman"/>
          <w:b/>
          <w:i/>
          <w:szCs w:val="20"/>
          <w:lang w:val="fr" w:eastAsia="en-IE"/>
        </w:rPr>
        <w:t>et</w:t>
      </w:r>
      <w:r w:rsidR="008E22D9" w:rsidRPr="00E60C42">
        <w:rPr>
          <w:rFonts w:ascii="Times New Roman" w:eastAsia="Times New Roman" w:hAnsi="Times New Roman" w:cs="Times New Roman"/>
          <w:b/>
          <w:i/>
          <w:szCs w:val="20"/>
          <w:lang w:val="fr" w:eastAsia="en-IE"/>
        </w:rPr>
        <w:t xml:space="preserve"> 99</w:t>
      </w:r>
    </w:p>
    <w:p w14:paraId="7D172B78" w14:textId="77777777" w:rsidR="008E22D9" w:rsidRPr="00E60C42"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7CEB95B3" w14:textId="791C8C68" w:rsidR="008E22D9" w:rsidRPr="00E60C42" w:rsidRDefault="008E22D9" w:rsidP="00AA4F20">
      <w:pPr>
        <w:widowControl w:val="0"/>
        <w:tabs>
          <w:tab w:val="left" w:pos="396"/>
          <w:tab w:val="left" w:pos="449"/>
        </w:tabs>
        <w:autoSpaceDE w:val="0"/>
        <w:autoSpaceDN w:val="0"/>
        <w:spacing w:after="0" w:line="240" w:lineRule="auto"/>
        <w:jc w:val="both"/>
        <w:rPr>
          <w:rFonts w:ascii="Times New Roman" w:eastAsia="Times New Roman" w:hAnsi="Times New Roman" w:cs="Times New Roman"/>
          <w:szCs w:val="20"/>
          <w:lang w:val="fr" w:eastAsia="en-IE"/>
        </w:rPr>
      </w:pPr>
      <w:r w:rsidRPr="00E60C42">
        <w:rPr>
          <w:rFonts w:ascii="Times New Roman" w:eastAsia="Times New Roman" w:hAnsi="Times New Roman" w:cs="Times New Roman"/>
          <w:szCs w:val="20"/>
          <w:lang w:val="fr" w:eastAsia="en-IE"/>
        </w:rPr>
        <w:t>Les dispositions nationales qui interdisent l’exploitation de machines à sous en dehors des casinos constituent des «</w:t>
      </w:r>
      <w:r w:rsidR="00EE4C2F">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 xml:space="preserve">autres </w:t>
      </w:r>
      <w:r w:rsidR="00EE4C2F">
        <w:rPr>
          <w:rFonts w:ascii="Times New Roman" w:eastAsia="Times New Roman" w:hAnsi="Times New Roman" w:cs="Times New Roman"/>
          <w:szCs w:val="20"/>
          <w:lang w:val="fr" w:eastAsia="en-IE"/>
        </w:rPr>
        <w:t xml:space="preserve">exigences </w:t>
      </w:r>
      <w:r w:rsidRPr="00E60C42">
        <w:rPr>
          <w:rFonts w:ascii="Times New Roman" w:eastAsia="Times New Roman" w:hAnsi="Times New Roman" w:cs="Times New Roman"/>
          <w:szCs w:val="20"/>
          <w:lang w:val="fr" w:eastAsia="en-IE"/>
        </w:rPr>
        <w:t xml:space="preserve">» </w:t>
      </w:r>
      <w:r w:rsidR="00B41B63">
        <w:rPr>
          <w:rFonts w:ascii="Times New Roman" w:eastAsia="Times New Roman" w:hAnsi="Times New Roman" w:cs="Times New Roman"/>
          <w:szCs w:val="20"/>
          <w:lang w:val="fr" w:eastAsia="en-IE"/>
        </w:rPr>
        <w:t>car</w:t>
      </w:r>
      <w:r w:rsidRPr="00E60C42">
        <w:rPr>
          <w:rFonts w:ascii="Times New Roman" w:eastAsia="Times New Roman" w:hAnsi="Times New Roman" w:cs="Times New Roman"/>
          <w:szCs w:val="20"/>
          <w:lang w:val="fr" w:eastAsia="en-IE"/>
        </w:rPr>
        <w:t xml:space="preserve"> elles peuvent influencer de manière significative la nature ou la commercialisation de ces machines.</w:t>
      </w:r>
    </w:p>
    <w:p w14:paraId="74DADEA6" w14:textId="77777777" w:rsidR="008E22D9" w:rsidRPr="00E60C42" w:rsidRDefault="008E22D9" w:rsidP="00AA4F20">
      <w:pPr>
        <w:widowControl w:val="0"/>
        <w:tabs>
          <w:tab w:val="left" w:pos="396"/>
          <w:tab w:val="left" w:pos="449"/>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0B9C726E" w14:textId="1371EB20" w:rsidR="008E22D9" w:rsidRPr="00E60C42" w:rsidRDefault="008E22D9"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28" w:name="point98"/>
      <w:r>
        <w:rPr>
          <w:rFonts w:ascii="Times New Roman" w:eastAsia="Times New Roman" w:hAnsi="Times New Roman" w:cs="Times New Roman"/>
          <w:i/>
          <w:iCs/>
          <w:sz w:val="20"/>
          <w:szCs w:val="16"/>
          <w:lang w:val="fr-BE" w:eastAsia="en-IE"/>
        </w:rPr>
        <w:t>« </w:t>
      </w:r>
      <w:r w:rsidRPr="00E60C42">
        <w:rPr>
          <w:rFonts w:ascii="Times New Roman" w:eastAsia="Times New Roman" w:hAnsi="Times New Roman" w:cs="Times New Roman"/>
          <w:i/>
          <w:iCs/>
          <w:sz w:val="20"/>
          <w:szCs w:val="16"/>
          <w:lang w:val="fr-BE" w:eastAsia="en-IE"/>
        </w:rPr>
        <w:t>98</w:t>
      </w:r>
      <w:bookmarkEnd w:id="28"/>
      <w:r w:rsidR="00116D32">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En ce qui concerne, en second lieu, des dispositions nationales telles que celles de la loi modificative de 2012, la Cour a déjà jugé qu’une mesure nationale qui réserve l’organisation de certains jeux de hasard aux seuls casinos constitue une «règle technique» au sens dudit article 1</w:t>
      </w:r>
      <w:r w:rsidRPr="00E60C42">
        <w:rPr>
          <w:rFonts w:ascii="Times New Roman" w:eastAsia="Times New Roman" w:hAnsi="Times New Roman" w:cs="Times New Roman"/>
          <w:i/>
          <w:iCs/>
          <w:sz w:val="20"/>
          <w:szCs w:val="16"/>
          <w:vertAlign w:val="superscript"/>
          <w:lang w:val="fr-BE" w:eastAsia="en-IE"/>
        </w:rPr>
        <w:t>er</w:t>
      </w:r>
      <w:r w:rsidRPr="00E60C42">
        <w:rPr>
          <w:rFonts w:ascii="Times New Roman" w:eastAsia="Times New Roman" w:hAnsi="Times New Roman" w:cs="Times New Roman"/>
          <w:i/>
          <w:iCs/>
          <w:sz w:val="20"/>
          <w:szCs w:val="16"/>
          <w:lang w:val="fr-BE" w:eastAsia="en-IE"/>
        </w:rPr>
        <w:t>, point 11, dans la mesure où elle est susceptible d’influencer de manière significative la nature ou la commercialisation des produits utilisés dans ce contexte (voir, en ce sens, arrêts Commission/Grèce, C</w:t>
      </w:r>
      <w:r w:rsidRPr="00E60C42">
        <w:rPr>
          <w:rFonts w:ascii="Times New Roman" w:eastAsia="Times New Roman" w:hAnsi="Times New Roman" w:cs="Times New Roman"/>
          <w:i/>
          <w:iCs/>
          <w:sz w:val="20"/>
          <w:szCs w:val="16"/>
          <w:lang w:val="fr-BE" w:eastAsia="en-IE"/>
        </w:rPr>
        <w:noBreakHyphen/>
        <w:t>65/05, EU:C:2006:673, point 61, ainsi que Fortuna e.a., C</w:t>
      </w:r>
      <w:r w:rsidRPr="00E60C42">
        <w:rPr>
          <w:rFonts w:ascii="Times New Roman" w:eastAsia="Times New Roman" w:hAnsi="Times New Roman" w:cs="Times New Roman"/>
          <w:i/>
          <w:iCs/>
          <w:sz w:val="20"/>
          <w:szCs w:val="16"/>
          <w:lang w:val="fr-BE" w:eastAsia="en-IE"/>
        </w:rPr>
        <w:noBreakHyphen/>
        <w:t>213/11, C</w:t>
      </w:r>
      <w:r w:rsidRPr="00E60C42">
        <w:rPr>
          <w:rFonts w:ascii="Times New Roman" w:eastAsia="Times New Roman" w:hAnsi="Times New Roman" w:cs="Times New Roman"/>
          <w:i/>
          <w:iCs/>
          <w:sz w:val="20"/>
          <w:szCs w:val="16"/>
          <w:lang w:val="fr-BE" w:eastAsia="en-IE"/>
        </w:rPr>
        <w:noBreakHyphen/>
        <w:t>214/11 et C</w:t>
      </w:r>
      <w:r w:rsidRPr="00E60C42">
        <w:rPr>
          <w:rFonts w:ascii="Times New Roman" w:eastAsia="Times New Roman" w:hAnsi="Times New Roman" w:cs="Times New Roman"/>
          <w:i/>
          <w:iCs/>
          <w:sz w:val="20"/>
          <w:szCs w:val="16"/>
          <w:lang w:val="fr-BE" w:eastAsia="en-IE"/>
        </w:rPr>
        <w:noBreakHyphen/>
        <w:t>217/11, EU:C:2012:495, points 24 et 40).</w:t>
      </w:r>
    </w:p>
    <w:p w14:paraId="0BDE9DA3" w14:textId="77777777" w:rsidR="008E22D9" w:rsidRPr="00E60C42" w:rsidRDefault="008E22D9" w:rsidP="00AA4F20">
      <w:pPr>
        <w:widowControl w:val="0"/>
        <w:tabs>
          <w:tab w:val="left" w:pos="396"/>
          <w:tab w:val="left" w:pos="44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7652281D" w14:textId="7D5EB891" w:rsidR="008E22D9" w:rsidRPr="00E60C42" w:rsidRDefault="008E22D9"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29" w:name="point99"/>
      <w:r w:rsidRPr="00E60C42">
        <w:rPr>
          <w:rFonts w:ascii="Times New Roman" w:eastAsia="Times New Roman" w:hAnsi="Times New Roman" w:cs="Times New Roman"/>
          <w:i/>
          <w:iCs/>
          <w:sz w:val="20"/>
          <w:szCs w:val="16"/>
          <w:lang w:val="fr-BE" w:eastAsia="en-IE"/>
        </w:rPr>
        <w:t>99</w:t>
      </w:r>
      <w:bookmarkEnd w:id="29"/>
      <w:r w:rsidR="00116D32">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 xml:space="preserve">Or, une interdiction d’exploiter des machines à sous hors des casinos, telle que celle qu’a instituée la loi modificative de 2012, est susceptible d’influencer de manière significative la commercialisation de ces machines, lesquelles constituent des biens susceptibles de relever de l’article 34 TFUE (voir arrêt </w:t>
      </w:r>
      <w:proofErr w:type="spellStart"/>
      <w:r w:rsidRPr="00E60C42">
        <w:rPr>
          <w:rFonts w:ascii="Times New Roman" w:eastAsia="Times New Roman" w:hAnsi="Times New Roman" w:cs="Times New Roman"/>
          <w:i/>
          <w:iCs/>
          <w:sz w:val="20"/>
          <w:szCs w:val="16"/>
          <w:lang w:val="fr-BE" w:eastAsia="en-IE"/>
        </w:rPr>
        <w:t>Läärä</w:t>
      </w:r>
      <w:proofErr w:type="spellEnd"/>
      <w:r w:rsidRPr="00E60C42">
        <w:rPr>
          <w:rFonts w:ascii="Times New Roman" w:eastAsia="Times New Roman" w:hAnsi="Times New Roman" w:cs="Times New Roman"/>
          <w:i/>
          <w:iCs/>
          <w:sz w:val="20"/>
          <w:szCs w:val="16"/>
          <w:lang w:val="fr-BE" w:eastAsia="en-IE"/>
        </w:rPr>
        <w:t> e.a., C</w:t>
      </w:r>
      <w:r w:rsidRPr="00E60C42">
        <w:rPr>
          <w:rFonts w:ascii="Times New Roman" w:eastAsia="Times New Roman" w:hAnsi="Times New Roman" w:cs="Times New Roman"/>
          <w:i/>
          <w:iCs/>
          <w:sz w:val="20"/>
          <w:szCs w:val="16"/>
          <w:lang w:val="fr-BE" w:eastAsia="en-IE"/>
        </w:rPr>
        <w:noBreakHyphen/>
        <w:t>124/97, EU:C:1999:435, points 20 et 24), en en réduisant les canaux d’exploitation.» </w:t>
      </w:r>
    </w:p>
    <w:p w14:paraId="4D11157F" w14:textId="77777777" w:rsidR="008E22D9" w:rsidRDefault="008E22D9" w:rsidP="00AA4F20">
      <w:pPr>
        <w:spacing w:after="0" w:line="240" w:lineRule="auto"/>
        <w:rPr>
          <w:lang w:val="fr-BE"/>
        </w:rPr>
      </w:pPr>
    </w:p>
    <w:p w14:paraId="708177B0" w14:textId="45D96E26" w:rsidR="008E22D9" w:rsidRPr="00DE3BF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0" w:history="1">
        <w:r w:rsidR="008E22D9" w:rsidRPr="00DE3BF6">
          <w:rPr>
            <w:rFonts w:ascii="Times New Roman" w:eastAsia="Times New Roman" w:hAnsi="Times New Roman" w:cs="Times New Roman"/>
            <w:b/>
            <w:i/>
            <w:color w:val="0000FF"/>
            <w:szCs w:val="20"/>
            <w:u w:val="single"/>
            <w:lang w:val="fr" w:eastAsia="en-IE"/>
          </w:rPr>
          <w:t>Arrêt de la Cour du 13 octobre 2016</w:t>
        </w:r>
      </w:hyperlink>
      <w:r w:rsidR="008E22D9"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Naczelnik</w:t>
      </w:r>
      <w:proofErr w:type="spellEnd"/>
      <w:r w:rsidR="00437A3E"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Urzędu</w:t>
      </w:r>
      <w:proofErr w:type="spellEnd"/>
      <w:r w:rsidR="00437A3E"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Celnego</w:t>
      </w:r>
      <w:proofErr w:type="spellEnd"/>
      <w:r w:rsidR="00437A3E" w:rsidRPr="00DE3BF6">
        <w:rPr>
          <w:rFonts w:ascii="Times New Roman" w:eastAsia="Times New Roman" w:hAnsi="Times New Roman" w:cs="Times New Roman"/>
          <w:b/>
          <w:i/>
          <w:szCs w:val="20"/>
          <w:lang w:val="fr" w:eastAsia="en-IE"/>
        </w:rPr>
        <w:t xml:space="preserve"> I w Ł., </w:t>
      </w:r>
      <w:r w:rsidR="008E22D9" w:rsidRPr="00DE3BF6">
        <w:rPr>
          <w:rFonts w:ascii="Times New Roman" w:eastAsia="Times New Roman" w:hAnsi="Times New Roman" w:cs="Times New Roman"/>
          <w:b/>
          <w:i/>
          <w:szCs w:val="20"/>
          <w:lang w:val="fr" w:eastAsia="en-IE"/>
        </w:rPr>
        <w:t xml:space="preserve">C-303/15, EU:C:2016:771, point </w:t>
      </w:r>
      <w:r w:rsidR="008E22D9">
        <w:rPr>
          <w:rFonts w:ascii="Times New Roman" w:eastAsia="Times New Roman" w:hAnsi="Times New Roman" w:cs="Times New Roman"/>
          <w:b/>
          <w:i/>
          <w:szCs w:val="20"/>
          <w:lang w:val="fr" w:eastAsia="en-IE"/>
        </w:rPr>
        <w:t>25 à 30</w:t>
      </w:r>
    </w:p>
    <w:p w14:paraId="31D99140" w14:textId="77777777" w:rsidR="008E22D9" w:rsidRPr="00DE3BF6" w:rsidRDefault="008E22D9"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p>
    <w:p w14:paraId="02A616E6" w14:textId="57437B46" w:rsidR="008E22D9" w:rsidRDefault="008E22D9"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Une disposition soumettant l’exercice des activités de jeux de hasard à une autorisation d’exploitation de casino ne constitue pas une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autre exigence</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En effet, alors que des dispositions selon lesquelles l’organisation de jeux de hasard est limitée aux seuls casinos </w:t>
      </w:r>
      <w:r w:rsidRPr="00E60C42">
        <w:rPr>
          <w:rFonts w:ascii="Times New Roman" w:eastAsia="Times New Roman" w:hAnsi="Times New Roman" w:cs="Times New Roman"/>
          <w:szCs w:val="20"/>
          <w:lang w:val="fr" w:eastAsia="en-IE"/>
        </w:rPr>
        <w:t xml:space="preserve">est susceptible d’influencer de manière significative la commercialisation </w:t>
      </w:r>
      <w:r>
        <w:rPr>
          <w:rFonts w:ascii="Times New Roman" w:eastAsia="Times New Roman" w:hAnsi="Times New Roman" w:cs="Times New Roman"/>
          <w:szCs w:val="20"/>
          <w:lang w:val="fr" w:eastAsia="en-IE"/>
        </w:rPr>
        <w:t>des produits liés aux jeux de hasard</w:t>
      </w:r>
      <w:r w:rsidRPr="00E60C42">
        <w:rPr>
          <w:rFonts w:ascii="Times New Roman" w:eastAsia="Times New Roman" w:hAnsi="Times New Roman" w:cs="Times New Roman"/>
          <w:szCs w:val="20"/>
          <w:lang w:val="fr" w:eastAsia="en-IE"/>
        </w:rPr>
        <w:t xml:space="preserve"> en en réduisant les canaux d’exploitation</w:t>
      </w:r>
      <w:r>
        <w:rPr>
          <w:rFonts w:ascii="Times New Roman" w:eastAsia="Times New Roman" w:hAnsi="Times New Roman" w:cs="Times New Roman"/>
          <w:szCs w:val="20"/>
          <w:lang w:val="fr" w:eastAsia="en-IE"/>
        </w:rPr>
        <w:t xml:space="preserve">, les règles édictant des conditions d’établissement des entreprises ne sont pas susceptibles </w:t>
      </w:r>
      <w:r w:rsidRPr="00E60C42">
        <w:rPr>
          <w:rFonts w:ascii="Times New Roman" w:eastAsia="Times New Roman" w:hAnsi="Times New Roman" w:cs="Times New Roman"/>
          <w:szCs w:val="20"/>
          <w:lang w:val="fr" w:eastAsia="en-IE"/>
        </w:rPr>
        <w:t>d’influencer de manière significative la nature ou la commercialisation des produits utilisés</w:t>
      </w:r>
      <w:r>
        <w:rPr>
          <w:rFonts w:ascii="Times New Roman" w:eastAsia="Times New Roman" w:hAnsi="Times New Roman" w:cs="Times New Roman"/>
          <w:szCs w:val="20"/>
          <w:lang w:val="fr" w:eastAsia="en-IE"/>
        </w:rPr>
        <w:t>.</w:t>
      </w:r>
    </w:p>
    <w:p w14:paraId="38C93671" w14:textId="77777777" w:rsidR="008E22D9" w:rsidRPr="00DE3BF6" w:rsidRDefault="008E22D9"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p>
    <w:p w14:paraId="1A3A726F" w14:textId="53AB939F"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DE3BF6">
        <w:rPr>
          <w:rFonts w:ascii="Times New Roman" w:eastAsia="Times New Roman" w:hAnsi="Times New Roman" w:cs="Times New Roman"/>
          <w:i/>
          <w:iCs/>
          <w:sz w:val="20"/>
          <w:szCs w:val="16"/>
          <w:lang w:val="fr-BE" w:eastAsia="en-IE"/>
        </w:rPr>
        <w:lastRenderedPageBreak/>
        <w:tab/>
        <w:t>« </w:t>
      </w:r>
      <w:bookmarkStart w:id="30" w:name="point25"/>
      <w:r w:rsidRPr="00DE3BF6">
        <w:rPr>
          <w:rFonts w:ascii="Times New Roman" w:eastAsia="Times New Roman" w:hAnsi="Times New Roman" w:cs="Times New Roman"/>
          <w:i/>
          <w:iCs/>
          <w:sz w:val="20"/>
          <w:szCs w:val="16"/>
          <w:lang w:val="fr-BE" w:eastAsia="en-IE"/>
        </w:rPr>
        <w:t>25</w:t>
      </w:r>
      <w:bookmarkEnd w:id="30"/>
      <w:r w:rsidR="00116D32">
        <w:rPr>
          <w:rFonts w:ascii="Times New Roman" w:eastAsia="Times New Roman" w:hAnsi="Times New Roman" w:cs="Times New Roman"/>
          <w:i/>
          <w:iCs/>
          <w:sz w:val="20"/>
          <w:szCs w:val="16"/>
          <w:lang w:val="fr-BE" w:eastAsia="en-IE"/>
        </w:rPr>
        <w:t xml:space="preserve">. </w:t>
      </w:r>
      <w:r w:rsidR="00B41B63">
        <w:rPr>
          <w:rFonts w:ascii="Times New Roman" w:eastAsia="Times New Roman" w:hAnsi="Times New Roman" w:cs="Times New Roman"/>
          <w:i/>
          <w:iCs/>
          <w:sz w:val="20"/>
          <w:szCs w:val="16"/>
          <w:lang w:val="fr-BE" w:eastAsia="en-IE"/>
        </w:rPr>
        <w:t>[…]</w:t>
      </w:r>
      <w:r w:rsidRPr="00DE3BF6">
        <w:rPr>
          <w:rFonts w:ascii="Times New Roman" w:eastAsia="Times New Roman" w:hAnsi="Times New Roman" w:cs="Times New Roman"/>
          <w:i/>
          <w:iCs/>
          <w:sz w:val="20"/>
          <w:szCs w:val="16"/>
          <w:lang w:val="fr-BE" w:eastAsia="en-IE"/>
        </w:rPr>
        <w:t xml:space="preserve"> aux fins de déterminer si l’article 6, paragraphe 1, de la loi sur les jeux de hasard relève soit de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point 4, de la directive 98/34, soit de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point 11, de cette directive, il y a lieu de vérifier si une telle disposition est susceptible d’influencer de manière significative la composition, la nature ou la commercialisation du produit concerné, en l’occurrence des machines de jeux, en tant que « condition » relative à l’utilisation du produit concerné, ou s’il s’agit d’une mesure nationale appartenant à la catégorie d’interdictions mentionnée à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point 11, de ladite directive.</w:t>
      </w:r>
    </w:p>
    <w:p w14:paraId="4F44CD96" w14:textId="77777777"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1D8FD55A" w14:textId="3ADA2394" w:rsidR="008E22D9" w:rsidRPr="00DE3BF6" w:rsidRDefault="008E22D9" w:rsidP="00B41B63">
      <w:pPr>
        <w:widowControl w:val="0"/>
        <w:tabs>
          <w:tab w:val="left" w:pos="396"/>
          <w:tab w:val="left" w:pos="39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1" w:name="point26"/>
      <w:r w:rsidRPr="00DE3BF6">
        <w:rPr>
          <w:rFonts w:ascii="Times New Roman" w:eastAsia="Times New Roman" w:hAnsi="Times New Roman" w:cs="Times New Roman"/>
          <w:i/>
          <w:iCs/>
          <w:sz w:val="20"/>
          <w:szCs w:val="16"/>
          <w:lang w:val="fr-BE" w:eastAsia="en-IE"/>
        </w:rPr>
        <w:t>26</w:t>
      </w:r>
      <w:bookmarkEnd w:id="31"/>
      <w:r w:rsidR="00116D32">
        <w:rPr>
          <w:rFonts w:ascii="Times New Roman" w:eastAsia="Times New Roman" w:hAnsi="Times New Roman" w:cs="Times New Roman"/>
          <w:i/>
          <w:iCs/>
          <w:sz w:val="20"/>
          <w:szCs w:val="16"/>
          <w:lang w:val="fr-BE" w:eastAsia="en-IE"/>
        </w:rPr>
        <w:t xml:space="preserve">. </w:t>
      </w:r>
      <w:r w:rsidRPr="00DE3BF6">
        <w:rPr>
          <w:rFonts w:ascii="Times New Roman" w:eastAsia="Times New Roman" w:hAnsi="Times New Roman" w:cs="Times New Roman"/>
          <w:i/>
          <w:iCs/>
          <w:sz w:val="20"/>
          <w:szCs w:val="16"/>
          <w:lang w:val="fr-BE" w:eastAsia="en-IE"/>
        </w:rPr>
        <w:t>À cet égard, il convient de rappeler que c’est l’article 14, paragraphe 1, de la loi sur les jeux de hasard qui limite l’organisation de jeux de roulette, de jeux de cartes, de jeux de dés et de jeux automatisés aux casinos de jeux. Cette disposition a été notifiée à la Commission en tant que « règle technique », au vu du fait que la Cour a déjà jugé, d’une part, qu’une mesure nationale qui réserve l’organisation de certains jeux de hasard aux seuls casinos constitue une « règle technique », au sens de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xml:space="preserve">, point 11, de la directive 98/34, dans la mesure où elle est susceptible d’influencer de manière significative la nature ou la commercialisation des produits utilisés dans ce contexte et, d’autre part, qu’une interdiction d’exploiter certains produits en dehors des casinos est susceptible d’influencer de manière significative la commercialisation de ces produits, en en réduisant les canaux d’exploitation (voir, en ce sens, arrêt du 11 juin 2015, </w:t>
      </w:r>
      <w:proofErr w:type="spellStart"/>
      <w:r w:rsidRPr="00DE3BF6">
        <w:rPr>
          <w:rFonts w:ascii="Times New Roman" w:eastAsia="Times New Roman" w:hAnsi="Times New Roman" w:cs="Times New Roman"/>
          <w:i/>
          <w:iCs/>
          <w:sz w:val="20"/>
          <w:szCs w:val="16"/>
          <w:lang w:val="fr-BE" w:eastAsia="en-IE"/>
        </w:rPr>
        <w:t>Berlington</w:t>
      </w:r>
      <w:proofErr w:type="spellEnd"/>
      <w:r w:rsidRPr="00DE3BF6">
        <w:rPr>
          <w:rFonts w:ascii="Times New Roman" w:eastAsia="Times New Roman" w:hAnsi="Times New Roman" w:cs="Times New Roman"/>
          <w:i/>
          <w:iCs/>
          <w:sz w:val="20"/>
          <w:szCs w:val="16"/>
          <w:lang w:val="fr-BE" w:eastAsia="en-IE"/>
        </w:rPr>
        <w:t xml:space="preserve"> </w:t>
      </w:r>
      <w:proofErr w:type="spellStart"/>
      <w:r w:rsidRPr="00DE3BF6">
        <w:rPr>
          <w:rFonts w:ascii="Times New Roman" w:eastAsia="Times New Roman" w:hAnsi="Times New Roman" w:cs="Times New Roman"/>
          <w:i/>
          <w:iCs/>
          <w:sz w:val="20"/>
          <w:szCs w:val="16"/>
          <w:lang w:val="fr-BE" w:eastAsia="en-IE"/>
        </w:rPr>
        <w:t>Hungary</w:t>
      </w:r>
      <w:proofErr w:type="spellEnd"/>
      <w:r w:rsidRPr="00DE3BF6">
        <w:rPr>
          <w:rFonts w:ascii="Times New Roman" w:eastAsia="Times New Roman" w:hAnsi="Times New Roman" w:cs="Times New Roman"/>
          <w:i/>
          <w:iCs/>
          <w:sz w:val="20"/>
          <w:szCs w:val="16"/>
          <w:lang w:val="fr-BE" w:eastAsia="en-IE"/>
        </w:rPr>
        <w:t xml:space="preserve"> e.a., C</w:t>
      </w:r>
      <w:r w:rsidRPr="00DE3BF6">
        <w:rPr>
          <w:rFonts w:ascii="Times New Roman" w:eastAsia="Times New Roman" w:hAnsi="Times New Roman" w:cs="Times New Roman"/>
          <w:i/>
          <w:iCs/>
          <w:sz w:val="20"/>
          <w:szCs w:val="16"/>
          <w:lang w:val="fr-BE" w:eastAsia="en-IE"/>
        </w:rPr>
        <w:noBreakHyphen/>
        <w:t>98/14, EU:C:2015:386, points 98 et 99).</w:t>
      </w:r>
    </w:p>
    <w:p w14:paraId="31F899B7" w14:textId="77777777"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292DC7EA" w14:textId="5E00F753" w:rsidR="008E22D9" w:rsidRPr="00DE3BF6" w:rsidRDefault="008E22D9" w:rsidP="00B41B63">
      <w:pPr>
        <w:widowControl w:val="0"/>
        <w:tabs>
          <w:tab w:val="left" w:pos="396"/>
          <w:tab w:val="left" w:pos="39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2" w:name="point27"/>
      <w:r w:rsidRPr="00DE3BF6">
        <w:rPr>
          <w:rFonts w:ascii="Times New Roman" w:eastAsia="Times New Roman" w:hAnsi="Times New Roman" w:cs="Times New Roman"/>
          <w:i/>
          <w:iCs/>
          <w:sz w:val="20"/>
          <w:szCs w:val="16"/>
          <w:lang w:val="fr-BE" w:eastAsia="en-IE"/>
        </w:rPr>
        <w:t>27</w:t>
      </w:r>
      <w:bookmarkEnd w:id="32"/>
      <w:r w:rsidR="00116D32">
        <w:rPr>
          <w:rFonts w:ascii="Times New Roman" w:eastAsia="Times New Roman" w:hAnsi="Times New Roman" w:cs="Times New Roman"/>
          <w:i/>
          <w:iCs/>
          <w:sz w:val="20"/>
          <w:szCs w:val="16"/>
          <w:lang w:val="fr-BE" w:eastAsia="en-IE"/>
        </w:rPr>
        <w:t xml:space="preserve">. </w:t>
      </w:r>
      <w:r w:rsidRPr="00DE3BF6">
        <w:rPr>
          <w:rFonts w:ascii="Times New Roman" w:eastAsia="Times New Roman" w:hAnsi="Times New Roman" w:cs="Times New Roman"/>
          <w:i/>
          <w:iCs/>
          <w:sz w:val="20"/>
          <w:szCs w:val="16"/>
          <w:lang w:val="fr-BE" w:eastAsia="en-IE"/>
        </w:rPr>
        <w:t>En revanche, l’article 6, paragraphe 1, de cette loi, qui prévoit qu’une autorisation pour ²l’exploitation de casinos de jeux est nécessaire pour l’exercice des activités de jeux de roulette, de jeux de cartes, de jeux de dés et de jeux automatisés, n’a pas été notifié.</w:t>
      </w:r>
    </w:p>
    <w:p w14:paraId="5C5B2BF4" w14:textId="77777777"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30B22893" w14:textId="14348406" w:rsidR="008E22D9" w:rsidRPr="00DE3BF6" w:rsidRDefault="008E22D9" w:rsidP="00B41B63">
      <w:pPr>
        <w:widowControl w:val="0"/>
        <w:tabs>
          <w:tab w:val="left" w:pos="396"/>
          <w:tab w:val="left" w:pos="39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3" w:name="point28"/>
      <w:r w:rsidRPr="00DE3BF6">
        <w:rPr>
          <w:rFonts w:ascii="Times New Roman" w:eastAsia="Times New Roman" w:hAnsi="Times New Roman" w:cs="Times New Roman"/>
          <w:i/>
          <w:iCs/>
          <w:sz w:val="20"/>
          <w:szCs w:val="16"/>
          <w:lang w:val="fr-BE" w:eastAsia="en-IE"/>
        </w:rPr>
        <w:t>28</w:t>
      </w:r>
      <w:bookmarkEnd w:id="33"/>
      <w:r w:rsidR="00116D32">
        <w:rPr>
          <w:rFonts w:ascii="Times New Roman" w:eastAsia="Times New Roman" w:hAnsi="Times New Roman" w:cs="Times New Roman"/>
          <w:i/>
          <w:iCs/>
          <w:sz w:val="20"/>
          <w:szCs w:val="16"/>
          <w:lang w:val="fr-BE" w:eastAsia="en-IE"/>
        </w:rPr>
        <w:t xml:space="preserve">. </w:t>
      </w:r>
      <w:r w:rsidRPr="00DE3BF6">
        <w:rPr>
          <w:rFonts w:ascii="Times New Roman" w:eastAsia="Times New Roman" w:hAnsi="Times New Roman" w:cs="Times New Roman"/>
          <w:i/>
          <w:iCs/>
          <w:sz w:val="20"/>
          <w:szCs w:val="16"/>
          <w:lang w:val="fr-BE" w:eastAsia="en-IE"/>
        </w:rPr>
        <w:t>La thèse de la Commission, selon laquelle il existe un lien étroit entre les deux dispositions nationales concernées qui aboutit à ce qu’il n’est pas possible de faire abstraction de l’article 14, paragraphe 1, de la loi sur les jeux de hasard par rapport à l’article 6, paragraphe 1, de cette loi, ne saurait être retenue. En effet, ainsi que l’a relevé M. l’avocat général aux points 38 à 44 de ses conclusions, l’article 6, paragraphe 1, de ladite loi et l’article 14, paragraphe 1, de la même loi ont des fonctions et des champs d’application différents. L’élément descriptif figurant à l’article 6, paragraphe 1, de cette loi, qui sert à designer l’autorisation en cause en tant qu’autorisation « d’exploitation de casinos de jeux », ne change pas cette conclusion.</w:t>
      </w:r>
    </w:p>
    <w:p w14:paraId="3DCB6FB0" w14:textId="77777777"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40887613" w14:textId="224FF544" w:rsidR="008E22D9" w:rsidRPr="00DE3BF6" w:rsidRDefault="008E22D9" w:rsidP="00B41B63">
      <w:pPr>
        <w:widowControl w:val="0"/>
        <w:tabs>
          <w:tab w:val="left" w:pos="396"/>
          <w:tab w:val="left" w:pos="39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4" w:name="point29"/>
      <w:r w:rsidRPr="00DE3BF6">
        <w:rPr>
          <w:rFonts w:ascii="Times New Roman" w:eastAsia="Times New Roman" w:hAnsi="Times New Roman" w:cs="Times New Roman"/>
          <w:i/>
          <w:iCs/>
          <w:sz w:val="20"/>
          <w:szCs w:val="16"/>
          <w:lang w:val="fr-BE" w:eastAsia="en-IE"/>
        </w:rPr>
        <w:t>29</w:t>
      </w:r>
      <w:bookmarkEnd w:id="34"/>
      <w:r w:rsidR="00116D32">
        <w:rPr>
          <w:rFonts w:ascii="Times New Roman" w:eastAsia="Times New Roman" w:hAnsi="Times New Roman" w:cs="Times New Roman"/>
          <w:i/>
          <w:iCs/>
          <w:sz w:val="20"/>
          <w:szCs w:val="16"/>
          <w:lang w:val="fr-BE" w:eastAsia="en-IE"/>
        </w:rPr>
        <w:t xml:space="preserve">. </w:t>
      </w:r>
      <w:r w:rsidRPr="00DE3BF6">
        <w:rPr>
          <w:rFonts w:ascii="Times New Roman" w:eastAsia="Times New Roman" w:hAnsi="Times New Roman" w:cs="Times New Roman"/>
          <w:i/>
          <w:iCs/>
          <w:sz w:val="20"/>
          <w:szCs w:val="16"/>
          <w:lang w:val="fr-BE" w:eastAsia="en-IE"/>
        </w:rPr>
        <w:t>Partant, il convient de constater que l’article 6, paragraphe 1, de la loi sur les jeux de hasard ne saurait être considéré comme étant une « autre exigence », au sens de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point 4, de la directive 98/34, dès lors que l’autorisation exigée par cette disposition nationale pour l’organisation de jeux de hasard constitue une condition imposée à l’égard de l’activité d’organisation de tels jeux, à la différence de l’article 14, paragraphe 1, de cette loi, qui pose des conditions à l’égard des produits concernés en interdisant leur exploitation en dehors des casinos.</w:t>
      </w:r>
    </w:p>
    <w:p w14:paraId="4E268726" w14:textId="77777777" w:rsidR="008E22D9" w:rsidRPr="00DE3BF6" w:rsidRDefault="008E22D9" w:rsidP="00B41B6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371BAB40" w14:textId="2BC6C45D" w:rsidR="008E22D9" w:rsidRPr="00DE3BF6" w:rsidRDefault="008E22D9" w:rsidP="00B41B63">
      <w:pPr>
        <w:widowControl w:val="0"/>
        <w:tabs>
          <w:tab w:val="left" w:pos="396"/>
          <w:tab w:val="left" w:pos="39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E3BF6">
        <w:rPr>
          <w:rFonts w:ascii="Times New Roman" w:eastAsia="Times New Roman" w:hAnsi="Times New Roman" w:cs="Times New Roman"/>
          <w:i/>
          <w:iCs/>
          <w:sz w:val="20"/>
          <w:szCs w:val="16"/>
          <w:lang w:val="fr-BE" w:eastAsia="en-IE"/>
        </w:rPr>
        <w:t>30</w:t>
      </w:r>
      <w:r w:rsidR="00116D32">
        <w:rPr>
          <w:rFonts w:ascii="Times New Roman" w:eastAsia="Times New Roman" w:hAnsi="Times New Roman" w:cs="Times New Roman"/>
          <w:i/>
          <w:iCs/>
          <w:sz w:val="20"/>
          <w:szCs w:val="16"/>
          <w:lang w:val="fr-BE" w:eastAsia="en-IE"/>
        </w:rPr>
        <w:t xml:space="preserve">. </w:t>
      </w:r>
      <w:r w:rsidRPr="00DE3BF6">
        <w:rPr>
          <w:rFonts w:ascii="Times New Roman" w:eastAsia="Times New Roman" w:hAnsi="Times New Roman" w:cs="Times New Roman"/>
          <w:i/>
          <w:iCs/>
          <w:sz w:val="20"/>
          <w:szCs w:val="16"/>
          <w:lang w:val="fr-BE" w:eastAsia="en-IE"/>
        </w:rPr>
        <w:t>Par ailleurs, il est de jurisprudence constante que les dispositions nationales qui se limitent à prévoir les conditions pour l’établissement des entreprises ou la prestation de services par celles-ci, telles que des dispositions qui soumettent l’exercice d’une activité professionnelle à un agrément préalable, ne constituent pas des règles techniques au sens de l’article 1</w:t>
      </w:r>
      <w:r w:rsidRPr="00DE3BF6">
        <w:rPr>
          <w:rFonts w:ascii="Times New Roman" w:eastAsia="Times New Roman" w:hAnsi="Times New Roman" w:cs="Times New Roman"/>
          <w:i/>
          <w:iCs/>
          <w:sz w:val="20"/>
          <w:szCs w:val="16"/>
          <w:vertAlign w:val="superscript"/>
          <w:lang w:val="fr-BE" w:eastAsia="en-IE"/>
        </w:rPr>
        <w:t>er</w:t>
      </w:r>
      <w:r w:rsidRPr="00DE3BF6">
        <w:rPr>
          <w:rFonts w:ascii="Times New Roman" w:eastAsia="Times New Roman" w:hAnsi="Times New Roman" w:cs="Times New Roman"/>
          <w:i/>
          <w:iCs/>
          <w:sz w:val="20"/>
          <w:szCs w:val="16"/>
          <w:lang w:val="fr-BE" w:eastAsia="en-IE"/>
        </w:rPr>
        <w:t>, point 11, de la directive 98/34 (voir, en ce sens, arrêt du 4 février 2016, Ince, C</w:t>
      </w:r>
      <w:r w:rsidRPr="00DE3BF6">
        <w:rPr>
          <w:rFonts w:ascii="Times New Roman" w:eastAsia="Times New Roman" w:hAnsi="Times New Roman" w:cs="Times New Roman"/>
          <w:i/>
          <w:iCs/>
          <w:sz w:val="20"/>
          <w:szCs w:val="16"/>
          <w:lang w:val="fr-BE" w:eastAsia="en-IE"/>
        </w:rPr>
        <w:noBreakHyphen/>
        <w:t>336/14, EU:C:2016:72, point 76 et jurisprudence citée).</w:t>
      </w:r>
      <w:r>
        <w:rPr>
          <w:rFonts w:ascii="Times New Roman" w:eastAsia="Times New Roman" w:hAnsi="Times New Roman" w:cs="Times New Roman"/>
          <w:i/>
          <w:iCs/>
          <w:sz w:val="20"/>
          <w:szCs w:val="16"/>
          <w:lang w:val="fr-BE" w:eastAsia="en-IE"/>
        </w:rPr>
        <w:t> »</w:t>
      </w:r>
    </w:p>
    <w:p w14:paraId="5B6A4486" w14:textId="77777777" w:rsidR="008E22D9" w:rsidRDefault="008E22D9" w:rsidP="00AA4F20">
      <w:pPr>
        <w:spacing w:after="0" w:line="240" w:lineRule="auto"/>
        <w:rPr>
          <w:lang w:val="fr-BE"/>
        </w:rPr>
      </w:pPr>
    </w:p>
    <w:p w14:paraId="79322C77" w14:textId="728DA9B8" w:rsidR="008E22D9" w:rsidRPr="005116E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1" w:history="1">
        <w:r w:rsidR="008E22D9" w:rsidRPr="005116EF">
          <w:rPr>
            <w:rFonts w:ascii="Times New Roman" w:eastAsia="Times New Roman" w:hAnsi="Times New Roman" w:cs="Times New Roman"/>
            <w:b/>
            <w:i/>
            <w:color w:val="0000FF"/>
            <w:szCs w:val="20"/>
            <w:u w:val="single"/>
            <w:lang w:val="fr" w:eastAsia="en-IE"/>
          </w:rPr>
          <w:t>Arrêt du 27 octobre 2016</w:t>
        </w:r>
      </w:hyperlink>
      <w:r w:rsidR="008E22D9" w:rsidRPr="005116EF">
        <w:rPr>
          <w:rFonts w:ascii="Times New Roman" w:eastAsia="Times New Roman" w:hAnsi="Times New Roman" w:cs="Times New Roman"/>
          <w:b/>
          <w:i/>
          <w:szCs w:val="20"/>
          <w:lang w:val="fr" w:eastAsia="en-IE"/>
        </w:rPr>
        <w:t xml:space="preserve">, </w:t>
      </w:r>
      <w:r w:rsidR="00437A3E" w:rsidRPr="005116EF">
        <w:rPr>
          <w:rFonts w:ascii="Times New Roman" w:eastAsia="Times New Roman" w:hAnsi="Times New Roman" w:cs="Times New Roman"/>
          <w:b/>
          <w:i/>
          <w:szCs w:val="20"/>
          <w:lang w:val="fr" w:eastAsia="en-IE"/>
        </w:rPr>
        <w:t xml:space="preserve">James Elliott Construction, </w:t>
      </w:r>
      <w:r w:rsidR="008E22D9" w:rsidRPr="005116EF">
        <w:rPr>
          <w:rFonts w:ascii="Times New Roman" w:eastAsia="Times New Roman" w:hAnsi="Times New Roman" w:cs="Times New Roman"/>
          <w:b/>
          <w:i/>
          <w:szCs w:val="20"/>
          <w:lang w:val="fr" w:eastAsia="en-IE"/>
        </w:rPr>
        <w:t>C-613/14, EU:C:2016:821, points 6</w:t>
      </w:r>
      <w:r w:rsidR="008E22D9">
        <w:rPr>
          <w:rFonts w:ascii="Times New Roman" w:eastAsia="Times New Roman" w:hAnsi="Times New Roman" w:cs="Times New Roman"/>
          <w:b/>
          <w:i/>
          <w:szCs w:val="20"/>
          <w:lang w:val="fr" w:eastAsia="en-IE"/>
        </w:rPr>
        <w:t>7 à 69</w:t>
      </w:r>
    </w:p>
    <w:p w14:paraId="14E0CF56" w14:textId="77777777" w:rsidR="008E22D9" w:rsidRPr="005116EF"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F7EE4B2" w14:textId="5A016D8E" w:rsidR="008E22D9" w:rsidRPr="005116EF" w:rsidRDefault="008E22D9" w:rsidP="00AA4F20">
      <w:pPr>
        <w:widowControl w:val="0"/>
        <w:tabs>
          <w:tab w:val="left" w:pos="430"/>
        </w:tabs>
        <w:autoSpaceDE w:val="0"/>
        <w:autoSpaceDN w:val="0"/>
        <w:spacing w:after="0" w:line="240" w:lineRule="auto"/>
        <w:jc w:val="both"/>
        <w:rPr>
          <w:rFonts w:ascii="Times New Roman" w:eastAsia="Times New Roman" w:hAnsi="Times New Roman" w:cs="Times New Roman"/>
          <w:szCs w:val="20"/>
          <w:lang w:val="fr" w:eastAsia="en-IE"/>
        </w:rPr>
      </w:pPr>
      <w:r w:rsidRPr="005116EF">
        <w:rPr>
          <w:rFonts w:ascii="Times New Roman" w:eastAsia="Times New Roman" w:hAnsi="Times New Roman" w:cs="Times New Roman"/>
          <w:szCs w:val="20"/>
          <w:lang w:val="fr" w:eastAsia="en-IE"/>
        </w:rPr>
        <w:t>Des dispositions nationales énonçant</w:t>
      </w:r>
      <w:r w:rsidR="00B41B63">
        <w:rPr>
          <w:rFonts w:ascii="Times New Roman" w:eastAsia="Times New Roman" w:hAnsi="Times New Roman" w:cs="Times New Roman"/>
          <w:szCs w:val="20"/>
          <w:lang w:val="fr" w:eastAsia="en-IE"/>
        </w:rPr>
        <w:t xml:space="preserve"> </w:t>
      </w:r>
      <w:r w:rsidRPr="005116EF">
        <w:rPr>
          <w:rFonts w:ascii="Times New Roman" w:eastAsia="Times New Roman" w:hAnsi="Times New Roman" w:cs="Times New Roman"/>
          <w:szCs w:val="20"/>
          <w:lang w:val="fr" w:eastAsia="en-IE"/>
        </w:rPr>
        <w:t>des conditions contractuelles implicites concernant la qualité marchande et l’aptitude à l’usage ou la qualité de produits vendus ne constituent pas d</w:t>
      </w:r>
      <w:r>
        <w:rPr>
          <w:rFonts w:ascii="Times New Roman" w:eastAsia="Times New Roman" w:hAnsi="Times New Roman" w:cs="Times New Roman"/>
          <w:szCs w:val="20"/>
          <w:lang w:val="fr" w:eastAsia="en-IE"/>
        </w:rPr>
        <w:t>’« autres exigences » car ce sont des prescriptions présentant un caractère général</w:t>
      </w:r>
      <w:r w:rsidR="001A278B">
        <w:rPr>
          <w:rFonts w:ascii="Times New Roman" w:eastAsia="Times New Roman" w:hAnsi="Times New Roman" w:cs="Times New Roman"/>
          <w:szCs w:val="20"/>
          <w:lang w:val="fr" w:eastAsia="en-IE"/>
        </w:rPr>
        <w:t xml:space="preserve"> et ne</w:t>
      </w:r>
      <w:r w:rsidR="001A278B" w:rsidRPr="001A278B">
        <w:rPr>
          <w:rFonts w:ascii="Times New Roman" w:eastAsia="Times New Roman" w:hAnsi="Times New Roman" w:cs="Times New Roman"/>
          <w:szCs w:val="20"/>
          <w:lang w:val="fr" w:eastAsia="en-IE"/>
        </w:rPr>
        <w:t xml:space="preserve"> pouvant </w:t>
      </w:r>
      <w:r w:rsidR="001A278B">
        <w:rPr>
          <w:rFonts w:ascii="Times New Roman" w:eastAsia="Times New Roman" w:hAnsi="Times New Roman" w:cs="Times New Roman"/>
          <w:szCs w:val="20"/>
          <w:lang w:val="fr" w:eastAsia="en-IE"/>
        </w:rPr>
        <w:t xml:space="preserve">donc </w:t>
      </w:r>
      <w:r w:rsidR="001A278B" w:rsidRPr="001A278B">
        <w:rPr>
          <w:rFonts w:ascii="Times New Roman" w:eastAsia="Times New Roman" w:hAnsi="Times New Roman" w:cs="Times New Roman"/>
          <w:szCs w:val="20"/>
          <w:lang w:val="fr" w:eastAsia="en-IE"/>
        </w:rPr>
        <w:t>influencer de manière significative la composition, la nature ou la commercialisation du produit concerné</w:t>
      </w:r>
      <w:r w:rsidR="001A278B">
        <w:rPr>
          <w:rFonts w:ascii="Times New Roman" w:eastAsia="Times New Roman" w:hAnsi="Times New Roman" w:cs="Times New Roman"/>
          <w:szCs w:val="20"/>
          <w:lang w:val="fr" w:eastAsia="en-IE"/>
        </w:rPr>
        <w:t>.</w:t>
      </w:r>
    </w:p>
    <w:p w14:paraId="12183AF6" w14:textId="77777777" w:rsidR="008E22D9" w:rsidRPr="005116EF" w:rsidRDefault="008E22D9" w:rsidP="00AA4F20">
      <w:pPr>
        <w:widowControl w:val="0"/>
        <w:tabs>
          <w:tab w:val="left" w:pos="430"/>
        </w:tabs>
        <w:autoSpaceDE w:val="0"/>
        <w:autoSpaceDN w:val="0"/>
        <w:spacing w:after="0" w:line="240" w:lineRule="auto"/>
        <w:jc w:val="both"/>
        <w:rPr>
          <w:rFonts w:ascii="Times New Roman" w:eastAsia="Times New Roman" w:hAnsi="Times New Roman" w:cs="Times New Roman"/>
          <w:szCs w:val="20"/>
          <w:lang w:val="fr" w:eastAsia="en-IE"/>
        </w:rPr>
      </w:pPr>
    </w:p>
    <w:p w14:paraId="469AAEFB" w14:textId="332ABBC2" w:rsidR="008E22D9" w:rsidRPr="005116EF" w:rsidRDefault="008E22D9"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116EF">
        <w:rPr>
          <w:rFonts w:ascii="Times New Roman" w:eastAsia="Times New Roman" w:hAnsi="Times New Roman" w:cs="Times New Roman"/>
          <w:i/>
          <w:iCs/>
          <w:sz w:val="20"/>
          <w:szCs w:val="16"/>
          <w:lang w:val="fr" w:eastAsia="en-IE"/>
        </w:rPr>
        <w:t>« </w:t>
      </w:r>
      <w:r w:rsidRPr="005116EF">
        <w:rPr>
          <w:rFonts w:ascii="Times New Roman" w:eastAsia="Times New Roman" w:hAnsi="Times New Roman" w:cs="Times New Roman"/>
          <w:i/>
          <w:iCs/>
          <w:sz w:val="20"/>
          <w:szCs w:val="16"/>
          <w:lang w:val="fr-BE" w:eastAsia="en-IE"/>
        </w:rPr>
        <w:t>67</w:t>
      </w:r>
      <w:r w:rsidR="00116D32">
        <w:rPr>
          <w:rFonts w:ascii="Times New Roman" w:eastAsia="Times New Roman" w:hAnsi="Times New Roman" w:cs="Times New Roman"/>
          <w:i/>
          <w:iCs/>
          <w:sz w:val="20"/>
          <w:szCs w:val="16"/>
          <w:lang w:val="fr-BE" w:eastAsia="en-IE"/>
        </w:rPr>
        <w:t xml:space="preserve">. </w:t>
      </w:r>
      <w:r w:rsidRPr="005116EF">
        <w:rPr>
          <w:rFonts w:ascii="Times New Roman" w:eastAsia="Times New Roman" w:hAnsi="Times New Roman" w:cs="Times New Roman"/>
          <w:i/>
          <w:iCs/>
          <w:sz w:val="20"/>
          <w:szCs w:val="16"/>
          <w:lang w:val="fr-BE" w:eastAsia="en-IE"/>
        </w:rPr>
        <w:t>En l’occurrence, il apparaît, premièrement, que des dispositions telles que celles en cause au principal soit par elles-mêmes, soit telles qu’interprétées par les juridictions irlandaises ne relèvent pas de la notion de « spécification technique » au sens de l’article 1</w:t>
      </w:r>
      <w:r w:rsidRPr="005116EF">
        <w:rPr>
          <w:rFonts w:ascii="Times New Roman" w:eastAsia="Times New Roman" w:hAnsi="Times New Roman" w:cs="Times New Roman"/>
          <w:i/>
          <w:iCs/>
          <w:sz w:val="20"/>
          <w:szCs w:val="16"/>
          <w:vertAlign w:val="superscript"/>
          <w:lang w:val="fr-BE" w:eastAsia="en-IE"/>
        </w:rPr>
        <w:t>er</w:t>
      </w:r>
      <w:r w:rsidRPr="005116EF">
        <w:rPr>
          <w:rFonts w:ascii="Times New Roman" w:eastAsia="Times New Roman" w:hAnsi="Times New Roman" w:cs="Times New Roman"/>
          <w:i/>
          <w:iCs/>
          <w:sz w:val="20"/>
          <w:szCs w:val="16"/>
          <w:lang w:val="fr-BE" w:eastAsia="en-IE"/>
        </w:rPr>
        <w:t xml:space="preserve">, point 3, de la directive 98/34. En effet, cette notion vise exclusivement les mesures nationales qui se réfèrent au produit ou à son emballage en tant que tels et fixent, dès lors, l’une des caractéristiques requises d’un produit (arrêt du 10 juillet 2014, </w:t>
      </w:r>
      <w:proofErr w:type="spellStart"/>
      <w:r w:rsidRPr="005116EF">
        <w:rPr>
          <w:rFonts w:ascii="Times New Roman" w:eastAsia="Times New Roman" w:hAnsi="Times New Roman" w:cs="Times New Roman"/>
          <w:i/>
          <w:iCs/>
          <w:sz w:val="20"/>
          <w:szCs w:val="16"/>
          <w:lang w:val="fr-BE" w:eastAsia="en-IE"/>
        </w:rPr>
        <w:t>Ivansson</w:t>
      </w:r>
      <w:proofErr w:type="spellEnd"/>
      <w:r w:rsidRPr="005116EF">
        <w:rPr>
          <w:rFonts w:ascii="Times New Roman" w:eastAsia="Times New Roman" w:hAnsi="Times New Roman" w:cs="Times New Roman"/>
          <w:i/>
          <w:iCs/>
          <w:sz w:val="20"/>
          <w:szCs w:val="16"/>
          <w:lang w:val="fr-BE" w:eastAsia="en-IE"/>
        </w:rPr>
        <w:t xml:space="preserve"> e.a., C</w:t>
      </w:r>
      <w:r w:rsidRPr="005116EF">
        <w:rPr>
          <w:rFonts w:ascii="Times New Roman" w:eastAsia="Times New Roman" w:hAnsi="Times New Roman" w:cs="Times New Roman"/>
          <w:i/>
          <w:iCs/>
          <w:sz w:val="20"/>
          <w:szCs w:val="16"/>
          <w:lang w:val="fr-BE" w:eastAsia="en-IE"/>
        </w:rPr>
        <w:noBreakHyphen/>
        <w:t>307/13, EU:C:2014:2058, point 19 ainsi que jurisprudence citée). Or, tel n’est manifestement pas le cas d’une exigence s’appliquant, sauf volonté contraire des parties, de manière générale à la vente de tout produit.</w:t>
      </w:r>
    </w:p>
    <w:p w14:paraId="3737B531" w14:textId="77777777" w:rsidR="008E22D9" w:rsidRPr="005116EF" w:rsidRDefault="008E22D9"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F2EE2C1" w14:textId="2AED9CC1" w:rsidR="008E22D9" w:rsidRPr="005116EF" w:rsidRDefault="008E22D9"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5" w:name="point68"/>
      <w:r w:rsidRPr="005116EF">
        <w:rPr>
          <w:rFonts w:ascii="Times New Roman" w:eastAsia="Times New Roman" w:hAnsi="Times New Roman" w:cs="Times New Roman"/>
          <w:i/>
          <w:iCs/>
          <w:sz w:val="20"/>
          <w:szCs w:val="16"/>
          <w:lang w:val="fr-BE" w:eastAsia="en-IE"/>
        </w:rPr>
        <w:t>68</w:t>
      </w:r>
      <w:bookmarkEnd w:id="35"/>
      <w:r w:rsidR="00116D32">
        <w:rPr>
          <w:rFonts w:ascii="Times New Roman" w:eastAsia="Times New Roman" w:hAnsi="Times New Roman" w:cs="Times New Roman"/>
          <w:i/>
          <w:iCs/>
          <w:sz w:val="20"/>
          <w:szCs w:val="16"/>
          <w:lang w:val="fr-BE" w:eastAsia="en-IE"/>
        </w:rPr>
        <w:t xml:space="preserve">. </w:t>
      </w:r>
      <w:r w:rsidRPr="005116EF">
        <w:rPr>
          <w:rFonts w:ascii="Times New Roman" w:eastAsia="Times New Roman" w:hAnsi="Times New Roman" w:cs="Times New Roman"/>
          <w:i/>
          <w:iCs/>
          <w:sz w:val="20"/>
          <w:szCs w:val="16"/>
          <w:lang w:val="fr-BE" w:eastAsia="en-IE"/>
        </w:rPr>
        <w:t>Deuxièmement et pour la même raison, de telles dispositions ne sauraient être qualifiées d’« autres exigences » au sens de l’article 1</w:t>
      </w:r>
      <w:r w:rsidRPr="005116EF">
        <w:rPr>
          <w:rFonts w:ascii="Times New Roman" w:eastAsia="Times New Roman" w:hAnsi="Times New Roman" w:cs="Times New Roman"/>
          <w:i/>
          <w:iCs/>
          <w:sz w:val="20"/>
          <w:szCs w:val="16"/>
          <w:vertAlign w:val="superscript"/>
          <w:lang w:val="fr-BE" w:eastAsia="en-IE"/>
        </w:rPr>
        <w:t>er</w:t>
      </w:r>
      <w:r w:rsidRPr="005116EF">
        <w:rPr>
          <w:rFonts w:ascii="Times New Roman" w:eastAsia="Times New Roman" w:hAnsi="Times New Roman" w:cs="Times New Roman"/>
          <w:i/>
          <w:iCs/>
          <w:sz w:val="20"/>
          <w:szCs w:val="16"/>
          <w:lang w:val="fr-BE" w:eastAsia="en-IE"/>
        </w:rPr>
        <w:t>, point 4, de la directive 98/34.</w:t>
      </w:r>
    </w:p>
    <w:p w14:paraId="74BDEAAA" w14:textId="77777777" w:rsidR="008E22D9" w:rsidRPr="005116EF" w:rsidRDefault="008E22D9"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4E072F8" w14:textId="66BCC7DA" w:rsidR="008E22D9" w:rsidRDefault="008E22D9"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6" w:name="point69"/>
      <w:r w:rsidRPr="005116EF">
        <w:rPr>
          <w:rFonts w:ascii="Times New Roman" w:eastAsia="Times New Roman" w:hAnsi="Times New Roman" w:cs="Times New Roman"/>
          <w:i/>
          <w:iCs/>
          <w:sz w:val="20"/>
          <w:szCs w:val="16"/>
          <w:lang w:val="fr-BE" w:eastAsia="en-IE"/>
        </w:rPr>
        <w:t>69</w:t>
      </w:r>
      <w:bookmarkEnd w:id="36"/>
      <w:r w:rsidR="00116D32">
        <w:rPr>
          <w:rFonts w:ascii="Times New Roman" w:eastAsia="Times New Roman" w:hAnsi="Times New Roman" w:cs="Times New Roman"/>
          <w:i/>
          <w:iCs/>
          <w:sz w:val="20"/>
          <w:szCs w:val="16"/>
          <w:lang w:val="fr-BE" w:eastAsia="en-IE"/>
        </w:rPr>
        <w:t xml:space="preserve">. </w:t>
      </w:r>
      <w:r w:rsidRPr="005116EF">
        <w:rPr>
          <w:rFonts w:ascii="Times New Roman" w:eastAsia="Times New Roman" w:hAnsi="Times New Roman" w:cs="Times New Roman"/>
          <w:i/>
          <w:iCs/>
          <w:sz w:val="20"/>
          <w:szCs w:val="16"/>
          <w:lang w:val="fr-BE" w:eastAsia="en-IE"/>
        </w:rPr>
        <w:t xml:space="preserve">À cet égard, la Cour a précisé que, afin de pouvoir être qualifiées d’« autres exigences » au sens de cette disposition, les mesures nationales concernées doivent constituer des conditions pouvant influencer de manière significative la composition, la nature ou la commercialisation du produit concerné, étant entendu que les prescriptions présentant un caractère général ne sauraient constituer de telles conditions ni, par conséquent, être qualifiées d’« autres exigences » (voir arrêt du 10 juillet 2014, </w:t>
      </w:r>
      <w:proofErr w:type="spellStart"/>
      <w:r w:rsidRPr="005116EF">
        <w:rPr>
          <w:rFonts w:ascii="Times New Roman" w:eastAsia="Times New Roman" w:hAnsi="Times New Roman" w:cs="Times New Roman"/>
          <w:i/>
          <w:iCs/>
          <w:sz w:val="20"/>
          <w:szCs w:val="16"/>
          <w:lang w:val="fr-BE" w:eastAsia="en-IE"/>
        </w:rPr>
        <w:t>Ivansson</w:t>
      </w:r>
      <w:proofErr w:type="spellEnd"/>
      <w:r w:rsidRPr="005116EF">
        <w:rPr>
          <w:rFonts w:ascii="Times New Roman" w:eastAsia="Times New Roman" w:hAnsi="Times New Roman" w:cs="Times New Roman"/>
          <w:i/>
          <w:iCs/>
          <w:sz w:val="20"/>
          <w:szCs w:val="16"/>
          <w:lang w:val="fr-BE" w:eastAsia="en-IE"/>
        </w:rPr>
        <w:t xml:space="preserve"> e.a., C</w:t>
      </w:r>
      <w:r w:rsidRPr="005116EF">
        <w:rPr>
          <w:rFonts w:ascii="Times New Roman" w:eastAsia="Times New Roman" w:hAnsi="Times New Roman" w:cs="Times New Roman"/>
          <w:i/>
          <w:iCs/>
          <w:sz w:val="20"/>
          <w:szCs w:val="16"/>
          <w:lang w:val="fr-BE" w:eastAsia="en-IE"/>
        </w:rPr>
        <w:noBreakHyphen/>
        <w:t>307/13, EU:C:2014:2058, points 26 et 27 ainsi que jurisprudence citée)</w:t>
      </w:r>
      <w:r>
        <w:rPr>
          <w:rFonts w:ascii="Times New Roman" w:eastAsia="Times New Roman" w:hAnsi="Times New Roman" w:cs="Times New Roman"/>
          <w:i/>
          <w:iCs/>
          <w:sz w:val="20"/>
          <w:szCs w:val="16"/>
          <w:lang w:val="fr-BE" w:eastAsia="en-IE"/>
        </w:rPr>
        <w:t>. »</w:t>
      </w:r>
    </w:p>
    <w:p w14:paraId="1F28FD02" w14:textId="77777777" w:rsidR="008E22D9" w:rsidRDefault="008E22D9" w:rsidP="00AA4F20">
      <w:pPr>
        <w:spacing w:after="0" w:line="240" w:lineRule="auto"/>
        <w:rPr>
          <w:lang w:val="fr-BE"/>
        </w:rPr>
      </w:pPr>
    </w:p>
    <w:p w14:paraId="7320A35D" w14:textId="7E1E8137" w:rsidR="008E22D9"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2" w:history="1">
        <w:r w:rsidR="008E22D9" w:rsidRPr="00756188">
          <w:rPr>
            <w:rFonts w:ascii="Times New Roman" w:eastAsia="Times New Roman" w:hAnsi="Times New Roman" w:cs="Times New Roman"/>
            <w:b/>
            <w:i/>
            <w:color w:val="0000FF"/>
            <w:szCs w:val="20"/>
            <w:u w:val="single"/>
            <w:lang w:val="fr" w:eastAsia="en-IE"/>
          </w:rPr>
          <w:t>Arrêt du 1 février 2017</w:t>
        </w:r>
      </w:hyperlink>
      <w:r w:rsidR="008E22D9" w:rsidRPr="00756188">
        <w:rPr>
          <w:rFonts w:ascii="Times New Roman" w:eastAsia="Times New Roman" w:hAnsi="Times New Roman" w:cs="Times New Roman"/>
          <w:b/>
          <w:i/>
          <w:szCs w:val="20"/>
          <w:lang w:val="fr" w:eastAsia="en-IE"/>
        </w:rPr>
        <w:t xml:space="preserve">, </w:t>
      </w:r>
      <w:proofErr w:type="spellStart"/>
      <w:r w:rsidR="00437A3E" w:rsidRPr="00756188">
        <w:rPr>
          <w:rFonts w:ascii="Times New Roman" w:eastAsia="Times New Roman" w:hAnsi="Times New Roman" w:cs="Times New Roman"/>
          <w:b/>
          <w:i/>
          <w:szCs w:val="20"/>
          <w:lang w:val="fr" w:eastAsia="en-IE"/>
        </w:rPr>
        <w:t>Município</w:t>
      </w:r>
      <w:proofErr w:type="spellEnd"/>
      <w:r w:rsidR="00437A3E" w:rsidRPr="00756188">
        <w:rPr>
          <w:rFonts w:ascii="Times New Roman" w:eastAsia="Times New Roman" w:hAnsi="Times New Roman" w:cs="Times New Roman"/>
          <w:b/>
          <w:i/>
          <w:szCs w:val="20"/>
          <w:lang w:val="fr" w:eastAsia="en-IE"/>
        </w:rPr>
        <w:t xml:space="preserve"> de </w:t>
      </w:r>
      <w:proofErr w:type="spellStart"/>
      <w:r w:rsidR="00437A3E" w:rsidRPr="00756188">
        <w:rPr>
          <w:rFonts w:ascii="Times New Roman" w:eastAsia="Times New Roman" w:hAnsi="Times New Roman" w:cs="Times New Roman"/>
          <w:b/>
          <w:i/>
          <w:szCs w:val="20"/>
          <w:lang w:val="fr" w:eastAsia="en-IE"/>
        </w:rPr>
        <w:t>Palmela</w:t>
      </w:r>
      <w:proofErr w:type="spellEnd"/>
      <w:r w:rsidR="00437A3E" w:rsidRPr="00756188">
        <w:rPr>
          <w:rFonts w:ascii="Times New Roman" w:eastAsia="Times New Roman" w:hAnsi="Times New Roman" w:cs="Times New Roman"/>
          <w:b/>
          <w:i/>
          <w:szCs w:val="20"/>
          <w:lang w:val="fr" w:eastAsia="en-IE"/>
        </w:rPr>
        <w:t xml:space="preserve">, </w:t>
      </w:r>
      <w:r w:rsidR="008E22D9" w:rsidRPr="00756188">
        <w:rPr>
          <w:rFonts w:ascii="Times New Roman" w:eastAsia="Times New Roman" w:hAnsi="Times New Roman" w:cs="Times New Roman"/>
          <w:b/>
          <w:i/>
          <w:szCs w:val="20"/>
          <w:lang w:val="fr" w:eastAsia="en-IE"/>
        </w:rPr>
        <w:t xml:space="preserve">C-144/16, EU:C:2017:76, points 23 et </w:t>
      </w:r>
      <w:r w:rsidR="008E22D9">
        <w:rPr>
          <w:rFonts w:ascii="Times New Roman" w:eastAsia="Times New Roman" w:hAnsi="Times New Roman" w:cs="Times New Roman"/>
          <w:b/>
          <w:i/>
          <w:szCs w:val="20"/>
          <w:lang w:val="fr" w:eastAsia="en-IE"/>
        </w:rPr>
        <w:t>33</w:t>
      </w:r>
    </w:p>
    <w:p w14:paraId="46282D35" w14:textId="77777777" w:rsidR="008E22D9" w:rsidRPr="00756188"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E5B1F00" w14:textId="15B21E2F" w:rsidR="008E22D9" w:rsidRPr="00756188" w:rsidRDefault="008E22D9" w:rsidP="00AA4F20">
      <w:pPr>
        <w:widowControl w:val="0"/>
        <w:tabs>
          <w:tab w:val="left" w:pos="396"/>
          <w:tab w:val="left" w:pos="435"/>
        </w:tabs>
        <w:autoSpaceDE w:val="0"/>
        <w:autoSpaceDN w:val="0"/>
        <w:spacing w:after="0" w:line="240" w:lineRule="auto"/>
        <w:jc w:val="both"/>
        <w:rPr>
          <w:rFonts w:ascii="Times New Roman" w:eastAsia="Times New Roman" w:hAnsi="Times New Roman" w:cs="Times New Roman"/>
          <w:szCs w:val="20"/>
          <w:lang w:val="fr" w:eastAsia="en-IE"/>
        </w:rPr>
      </w:pPr>
      <w:r w:rsidRPr="00756188">
        <w:rPr>
          <w:rFonts w:ascii="Times New Roman" w:eastAsia="Times New Roman" w:hAnsi="Times New Roman" w:cs="Times New Roman"/>
          <w:szCs w:val="20"/>
          <w:lang w:val="fr" w:eastAsia="en-IE"/>
        </w:rPr>
        <w:t xml:space="preserve">Constitue </w:t>
      </w:r>
      <w:r>
        <w:rPr>
          <w:rFonts w:ascii="Times New Roman" w:eastAsia="Times New Roman" w:hAnsi="Times New Roman" w:cs="Times New Roman"/>
          <w:szCs w:val="20"/>
          <w:lang w:val="fr" w:eastAsia="en-IE"/>
        </w:rPr>
        <w:t xml:space="preserve">une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autre exigence</w:t>
      </w:r>
      <w:r w:rsidR="00EE4C2F">
        <w:rPr>
          <w:rFonts w:ascii="Times New Roman" w:eastAsia="Times New Roman" w:hAnsi="Times New Roman" w:cs="Times New Roman"/>
          <w:szCs w:val="20"/>
          <w:lang w:val="fr" w:eastAsia="en-IE"/>
        </w:rPr>
        <w:t> »</w:t>
      </w:r>
      <w:r w:rsidRPr="00756188">
        <w:rPr>
          <w:rFonts w:ascii="Times New Roman" w:eastAsia="Times New Roman" w:hAnsi="Times New Roman" w:cs="Times New Roman"/>
          <w:szCs w:val="20"/>
          <w:lang w:val="fr" w:eastAsia="en-IE"/>
        </w:rPr>
        <w:t xml:space="preserve"> une disposition fixant des exigences </w:t>
      </w:r>
      <w:r>
        <w:rPr>
          <w:rFonts w:ascii="Times New Roman" w:eastAsia="Times New Roman" w:hAnsi="Times New Roman" w:cs="Times New Roman"/>
          <w:szCs w:val="20"/>
          <w:lang w:val="fr" w:eastAsia="en-IE"/>
        </w:rPr>
        <w:t xml:space="preserve">d’emballage </w:t>
      </w:r>
      <w:r w:rsidRPr="00756188">
        <w:rPr>
          <w:rFonts w:ascii="Times New Roman" w:eastAsia="Times New Roman" w:hAnsi="Times New Roman" w:cs="Times New Roman"/>
          <w:szCs w:val="20"/>
          <w:lang w:val="fr" w:eastAsia="en-IE"/>
        </w:rPr>
        <w:t>imposées à l’égard d’un produit pour des motifs de protection des consommateurs</w:t>
      </w:r>
      <w:r w:rsidR="006141C3">
        <w:rPr>
          <w:rFonts w:ascii="Times New Roman" w:eastAsia="Times New Roman" w:hAnsi="Times New Roman" w:cs="Times New Roman"/>
          <w:szCs w:val="20"/>
          <w:lang w:val="fr" w:eastAsia="en-IE"/>
        </w:rPr>
        <w:t xml:space="preserve"> car elle</w:t>
      </w:r>
      <w:r w:rsidR="006141C3" w:rsidRPr="006141C3">
        <w:rPr>
          <w:rFonts w:ascii="Times New Roman" w:eastAsia="Times New Roman" w:hAnsi="Times New Roman" w:cs="Times New Roman"/>
          <w:szCs w:val="20"/>
          <w:lang w:val="fr" w:eastAsia="en-IE"/>
        </w:rPr>
        <w:t xml:space="preserve"> vise </w:t>
      </w:r>
      <w:r w:rsidR="006141C3">
        <w:rPr>
          <w:rFonts w:ascii="Times New Roman" w:eastAsia="Times New Roman" w:hAnsi="Times New Roman" w:cs="Times New Roman"/>
          <w:szCs w:val="20"/>
          <w:lang w:val="fr" w:eastAsia="en-IE"/>
        </w:rPr>
        <w:t>le</w:t>
      </w:r>
      <w:r w:rsidR="006141C3" w:rsidRPr="006141C3">
        <w:rPr>
          <w:rFonts w:ascii="Times New Roman" w:eastAsia="Times New Roman" w:hAnsi="Times New Roman" w:cs="Times New Roman"/>
          <w:szCs w:val="20"/>
          <w:lang w:val="fr" w:eastAsia="en-IE"/>
        </w:rPr>
        <w:t xml:space="preserve"> cycle de vie </w:t>
      </w:r>
      <w:r w:rsidR="006141C3">
        <w:rPr>
          <w:rFonts w:ascii="Times New Roman" w:eastAsia="Times New Roman" w:hAnsi="Times New Roman" w:cs="Times New Roman"/>
          <w:szCs w:val="20"/>
          <w:lang w:val="fr" w:eastAsia="en-IE"/>
        </w:rPr>
        <w:t xml:space="preserve">des produits </w:t>
      </w:r>
      <w:r w:rsidR="006141C3" w:rsidRPr="006141C3">
        <w:rPr>
          <w:rFonts w:ascii="Times New Roman" w:eastAsia="Times New Roman" w:hAnsi="Times New Roman" w:cs="Times New Roman"/>
          <w:szCs w:val="20"/>
          <w:lang w:val="fr" w:eastAsia="en-IE"/>
        </w:rPr>
        <w:t>après mise sur le marché et influence</w:t>
      </w:r>
      <w:r w:rsidR="006141C3">
        <w:rPr>
          <w:rFonts w:ascii="Times New Roman" w:eastAsia="Times New Roman" w:hAnsi="Times New Roman" w:cs="Times New Roman"/>
          <w:szCs w:val="20"/>
          <w:lang w:val="fr" w:eastAsia="en-IE"/>
        </w:rPr>
        <w:t xml:space="preserve"> </w:t>
      </w:r>
      <w:r w:rsidR="006141C3" w:rsidRPr="006141C3">
        <w:rPr>
          <w:rFonts w:ascii="Times New Roman" w:eastAsia="Times New Roman" w:hAnsi="Times New Roman" w:cs="Times New Roman"/>
          <w:szCs w:val="20"/>
          <w:lang w:val="fr" w:eastAsia="en-IE"/>
        </w:rPr>
        <w:t>de manière significative l</w:t>
      </w:r>
      <w:r w:rsidR="006141C3">
        <w:rPr>
          <w:rFonts w:ascii="Times New Roman" w:eastAsia="Times New Roman" w:hAnsi="Times New Roman" w:cs="Times New Roman"/>
          <w:szCs w:val="20"/>
          <w:lang w:val="fr" w:eastAsia="en-IE"/>
        </w:rPr>
        <w:t>eur</w:t>
      </w:r>
      <w:r w:rsidR="006141C3" w:rsidRPr="006141C3">
        <w:rPr>
          <w:rFonts w:ascii="Times New Roman" w:eastAsia="Times New Roman" w:hAnsi="Times New Roman" w:cs="Times New Roman"/>
          <w:szCs w:val="20"/>
          <w:lang w:val="fr" w:eastAsia="en-IE"/>
        </w:rPr>
        <w:t xml:space="preserve"> composition et l</w:t>
      </w:r>
      <w:r w:rsidR="006141C3">
        <w:rPr>
          <w:rFonts w:ascii="Times New Roman" w:eastAsia="Times New Roman" w:hAnsi="Times New Roman" w:cs="Times New Roman"/>
          <w:szCs w:val="20"/>
          <w:lang w:val="fr" w:eastAsia="en-IE"/>
        </w:rPr>
        <w:t>eur</w:t>
      </w:r>
      <w:r w:rsidR="006141C3" w:rsidRPr="006141C3">
        <w:rPr>
          <w:rFonts w:ascii="Times New Roman" w:eastAsia="Times New Roman" w:hAnsi="Times New Roman" w:cs="Times New Roman"/>
          <w:szCs w:val="20"/>
          <w:lang w:val="fr" w:eastAsia="en-IE"/>
        </w:rPr>
        <w:t xml:space="preserve"> commercialisation</w:t>
      </w:r>
      <w:r w:rsidR="006141C3">
        <w:rPr>
          <w:rFonts w:ascii="Times New Roman" w:eastAsia="Times New Roman" w:hAnsi="Times New Roman" w:cs="Times New Roman"/>
          <w:szCs w:val="20"/>
          <w:lang w:val="fr" w:eastAsia="en-IE"/>
        </w:rPr>
        <w:t>.</w:t>
      </w:r>
    </w:p>
    <w:p w14:paraId="58C1072F" w14:textId="77777777" w:rsidR="008E22D9" w:rsidRPr="00756188" w:rsidRDefault="008E22D9" w:rsidP="00AA4F20">
      <w:pPr>
        <w:widowControl w:val="0"/>
        <w:tabs>
          <w:tab w:val="left" w:pos="396"/>
          <w:tab w:val="left" w:pos="435"/>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003D7B28" w14:textId="2A4BDC48" w:rsidR="008E22D9" w:rsidRPr="00756188" w:rsidRDefault="008E22D9" w:rsidP="00AA4F20">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En revanche, u</w:t>
      </w:r>
      <w:r w:rsidRPr="00756188">
        <w:rPr>
          <w:rFonts w:ascii="Times New Roman" w:eastAsia="Times New Roman" w:hAnsi="Times New Roman" w:cs="Times New Roman"/>
          <w:szCs w:val="20"/>
          <w:lang w:val="fr" w:eastAsia="en-IE"/>
        </w:rPr>
        <w:t xml:space="preserve">n règlement imposant d’afficher, à plusieurs endroits de la zone de jeux et de loisirs, des informations sur la capacité maximale de cette zone ne constitue pas une </w:t>
      </w:r>
      <w:r w:rsidR="00EE4C2F">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autre exigence</w:t>
      </w:r>
      <w:r w:rsidR="00EE4C2F">
        <w:rPr>
          <w:rFonts w:ascii="Times New Roman" w:eastAsia="Times New Roman" w:hAnsi="Times New Roman" w:cs="Times New Roman"/>
          <w:szCs w:val="20"/>
          <w:lang w:val="fr" w:eastAsia="en-IE"/>
        </w:rPr>
        <w:t> »</w:t>
      </w:r>
      <w:r w:rsidR="000D631B">
        <w:rPr>
          <w:rFonts w:ascii="Times New Roman" w:eastAsia="Times New Roman" w:hAnsi="Times New Roman" w:cs="Times New Roman"/>
          <w:szCs w:val="20"/>
          <w:lang w:val="fr" w:eastAsia="en-IE"/>
        </w:rPr>
        <w:t>.</w:t>
      </w:r>
    </w:p>
    <w:p w14:paraId="51AA6248" w14:textId="77777777" w:rsidR="008E22D9" w:rsidRPr="00756188" w:rsidRDefault="008E22D9" w:rsidP="00AA4F20">
      <w:pPr>
        <w:widowControl w:val="0"/>
        <w:tabs>
          <w:tab w:val="left" w:pos="396"/>
          <w:tab w:val="left" w:pos="399"/>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10893934" w14:textId="093072E2" w:rsidR="008E22D9" w:rsidRPr="00756188" w:rsidRDefault="008E22D9" w:rsidP="00AA4F20">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 w:eastAsia="en-IE"/>
        </w:rPr>
      </w:pPr>
      <w:r w:rsidRPr="00756188">
        <w:rPr>
          <w:rFonts w:ascii="Times New Roman" w:eastAsia="Times New Roman" w:hAnsi="Times New Roman" w:cs="Times New Roman"/>
          <w:i/>
          <w:iCs/>
          <w:sz w:val="20"/>
          <w:szCs w:val="16"/>
          <w:lang w:val="fr" w:eastAsia="en-IE"/>
        </w:rPr>
        <w:tab/>
        <w:t>« </w:t>
      </w:r>
      <w:bookmarkStart w:id="37" w:name="point23"/>
      <w:r w:rsidRPr="00756188">
        <w:rPr>
          <w:rFonts w:ascii="Times New Roman" w:eastAsia="Times New Roman" w:hAnsi="Times New Roman" w:cs="Times New Roman"/>
          <w:i/>
          <w:iCs/>
          <w:sz w:val="20"/>
          <w:szCs w:val="16"/>
          <w:lang w:val="fr" w:eastAsia="en-IE"/>
        </w:rPr>
        <w:t>23</w:t>
      </w:r>
      <w:bookmarkEnd w:id="37"/>
      <w:r w:rsidR="00116D32">
        <w:rPr>
          <w:rFonts w:ascii="Times New Roman" w:eastAsia="Times New Roman" w:hAnsi="Times New Roman" w:cs="Times New Roman"/>
          <w:i/>
          <w:iCs/>
          <w:sz w:val="20"/>
          <w:szCs w:val="16"/>
          <w:lang w:val="fr" w:eastAsia="en-IE"/>
        </w:rPr>
        <w:t xml:space="preserve">. </w:t>
      </w:r>
      <w:r w:rsidRPr="00756188">
        <w:rPr>
          <w:rFonts w:ascii="Times New Roman" w:eastAsia="Times New Roman" w:hAnsi="Times New Roman" w:cs="Times New Roman"/>
          <w:i/>
          <w:iCs/>
          <w:sz w:val="20"/>
          <w:szCs w:val="16"/>
          <w:lang w:val="fr" w:eastAsia="en-IE"/>
        </w:rPr>
        <w:t xml:space="preserve">En ce qui concerne l’article 16, paragraphes 1 et 2, du règlement EJR, tel que modifié par le décret-loi n° 119/2009, il y a lieu de constater, à l’instar de la juridiction de renvoi, que celui-ci constitue effectivement une règle technique au sens des directives 83/189 et 98/34, dans la mesure où cette disposition prescrit des exigences imposées à l’égard d’un produit pour des motifs de protection des consommateurs </w:t>
      </w:r>
      <w:bookmarkStart w:id="38" w:name="_Hlk195004943"/>
      <w:r w:rsidRPr="00756188">
        <w:rPr>
          <w:rFonts w:ascii="Times New Roman" w:eastAsia="Times New Roman" w:hAnsi="Times New Roman" w:cs="Times New Roman"/>
          <w:i/>
          <w:iCs/>
          <w:sz w:val="20"/>
          <w:szCs w:val="16"/>
          <w:lang w:val="fr" w:eastAsia="en-IE"/>
        </w:rPr>
        <w:t>qui visent son cycle de vie après mise sur le marché et influencent de manière significative la composition et la commercialisation d’un tel produit</w:t>
      </w:r>
      <w:bookmarkEnd w:id="38"/>
      <w:r w:rsidRPr="00756188">
        <w:rPr>
          <w:rFonts w:ascii="Times New Roman" w:eastAsia="Times New Roman" w:hAnsi="Times New Roman" w:cs="Times New Roman"/>
          <w:i/>
          <w:iCs/>
          <w:sz w:val="20"/>
          <w:szCs w:val="16"/>
          <w:lang w:val="fr" w:eastAsia="en-IE"/>
        </w:rPr>
        <w:t>. Partant, cette disposition relève de la catégorie des « autres exigences » au sens tant de l’article 1</w:t>
      </w:r>
      <w:r w:rsidRPr="00756188">
        <w:rPr>
          <w:rFonts w:ascii="Times New Roman" w:eastAsia="Times New Roman" w:hAnsi="Times New Roman" w:cs="Times New Roman"/>
          <w:i/>
          <w:iCs/>
          <w:sz w:val="20"/>
          <w:szCs w:val="16"/>
          <w:vertAlign w:val="superscript"/>
          <w:lang w:val="fr" w:eastAsia="en-IE"/>
        </w:rPr>
        <w:t>er</w:t>
      </w:r>
      <w:r w:rsidRPr="00756188">
        <w:rPr>
          <w:rFonts w:ascii="Times New Roman" w:eastAsia="Times New Roman" w:hAnsi="Times New Roman" w:cs="Times New Roman"/>
          <w:i/>
          <w:iCs/>
          <w:sz w:val="20"/>
          <w:szCs w:val="16"/>
          <w:lang w:val="fr" w:eastAsia="en-IE"/>
        </w:rPr>
        <w:t>, point 3, de la directive 83/189 que de l’article 1</w:t>
      </w:r>
      <w:r w:rsidRPr="00756188">
        <w:rPr>
          <w:rFonts w:ascii="Times New Roman" w:eastAsia="Times New Roman" w:hAnsi="Times New Roman" w:cs="Times New Roman"/>
          <w:i/>
          <w:iCs/>
          <w:sz w:val="20"/>
          <w:szCs w:val="16"/>
          <w:vertAlign w:val="superscript"/>
          <w:lang w:val="fr" w:eastAsia="en-IE"/>
        </w:rPr>
        <w:t>er</w:t>
      </w:r>
      <w:r w:rsidRPr="00756188">
        <w:rPr>
          <w:rFonts w:ascii="Times New Roman" w:eastAsia="Times New Roman" w:hAnsi="Times New Roman" w:cs="Times New Roman"/>
          <w:i/>
          <w:iCs/>
          <w:sz w:val="20"/>
          <w:szCs w:val="16"/>
          <w:lang w:val="fr" w:eastAsia="en-IE"/>
        </w:rPr>
        <w:t>, point 4, de la directive 98/34. »</w:t>
      </w:r>
    </w:p>
    <w:p w14:paraId="7B6447F8" w14:textId="77777777" w:rsidR="008E22D9" w:rsidRPr="00756188" w:rsidRDefault="008E22D9" w:rsidP="00AA4F20">
      <w:pPr>
        <w:widowControl w:val="0"/>
        <w:autoSpaceDE w:val="0"/>
        <w:autoSpaceDN w:val="0"/>
        <w:spacing w:after="0" w:line="240" w:lineRule="auto"/>
        <w:jc w:val="both"/>
        <w:rPr>
          <w:rFonts w:ascii="Times New Roman" w:eastAsia="Times New Roman" w:hAnsi="Times New Roman" w:cs="Times New Roman"/>
          <w:i/>
          <w:iCs/>
          <w:sz w:val="20"/>
          <w:szCs w:val="16"/>
          <w:lang w:val="fr-BE" w:eastAsia="en-IE"/>
        </w:rPr>
      </w:pPr>
    </w:p>
    <w:p w14:paraId="5129EB41" w14:textId="5E137C27" w:rsidR="008E22D9" w:rsidRPr="00756188"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39" w:name="point33"/>
      <w:r>
        <w:rPr>
          <w:rFonts w:ascii="Times New Roman" w:eastAsia="Times New Roman" w:hAnsi="Times New Roman" w:cs="Times New Roman"/>
          <w:i/>
          <w:iCs/>
          <w:sz w:val="20"/>
          <w:szCs w:val="16"/>
          <w:lang w:val="fr-BE" w:eastAsia="en-IE"/>
        </w:rPr>
        <w:t>« </w:t>
      </w:r>
      <w:r w:rsidRPr="00756188">
        <w:rPr>
          <w:rFonts w:ascii="Times New Roman" w:eastAsia="Times New Roman" w:hAnsi="Times New Roman" w:cs="Times New Roman"/>
          <w:i/>
          <w:iCs/>
          <w:sz w:val="20"/>
          <w:szCs w:val="16"/>
          <w:lang w:val="fr-BE" w:eastAsia="en-IE"/>
        </w:rPr>
        <w:t>33</w:t>
      </w:r>
      <w:bookmarkEnd w:id="39"/>
      <w:r w:rsidR="00116D32">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D’une part, il est constant qu’une disposition telle que celle en cause au principal ne constitue pas une « autre exigence »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xml:space="preserve">, point 4, de la directive 98/34, compte tenu du caractère général des prescriptions qu’elle prévoit (voir, en ce sens, arrêt du 9 juin 2011, Intercommunale </w:t>
      </w:r>
      <w:proofErr w:type="spellStart"/>
      <w:r w:rsidRPr="00756188">
        <w:rPr>
          <w:rFonts w:ascii="Times New Roman" w:eastAsia="Times New Roman" w:hAnsi="Times New Roman" w:cs="Times New Roman"/>
          <w:i/>
          <w:iCs/>
          <w:sz w:val="20"/>
          <w:szCs w:val="16"/>
          <w:lang w:val="fr-BE" w:eastAsia="en-IE"/>
        </w:rPr>
        <w:t>Intermosane</w:t>
      </w:r>
      <w:proofErr w:type="spellEnd"/>
      <w:r w:rsidRPr="00756188">
        <w:rPr>
          <w:rFonts w:ascii="Times New Roman" w:eastAsia="Times New Roman" w:hAnsi="Times New Roman" w:cs="Times New Roman"/>
          <w:i/>
          <w:iCs/>
          <w:sz w:val="20"/>
          <w:szCs w:val="16"/>
          <w:lang w:val="fr-BE" w:eastAsia="en-IE"/>
        </w:rPr>
        <w:t xml:space="preserve"> et Fédération de l’industrie et du gaz, C</w:t>
      </w:r>
      <w:r w:rsidRPr="00756188">
        <w:rPr>
          <w:rFonts w:ascii="Times New Roman" w:eastAsia="Times New Roman" w:hAnsi="Times New Roman" w:cs="Times New Roman"/>
          <w:i/>
          <w:iCs/>
          <w:sz w:val="20"/>
          <w:szCs w:val="16"/>
          <w:lang w:val="fr-BE" w:eastAsia="en-IE"/>
        </w:rPr>
        <w:noBreakHyphen/>
        <w:t>361/10, EU:C:2011:382, point 21). D’autre part, elle ne comporte pas d’interdictions susceptibles de la faire entrer dans la catégorie des interdictions figurant à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11, de ladite directive.</w:t>
      </w:r>
      <w:r>
        <w:rPr>
          <w:rFonts w:ascii="Times New Roman" w:eastAsia="Times New Roman" w:hAnsi="Times New Roman" w:cs="Times New Roman"/>
          <w:i/>
          <w:iCs/>
          <w:sz w:val="20"/>
          <w:szCs w:val="16"/>
          <w:lang w:val="fr-BE" w:eastAsia="en-IE"/>
        </w:rPr>
        <w:t> »</w:t>
      </w:r>
    </w:p>
    <w:p w14:paraId="427CA3AE" w14:textId="77777777" w:rsidR="008E22D9" w:rsidRDefault="008E22D9" w:rsidP="00AA4F20">
      <w:pPr>
        <w:spacing w:after="0" w:line="240" w:lineRule="auto"/>
        <w:rPr>
          <w:lang w:val="fr-BE"/>
        </w:rPr>
      </w:pPr>
    </w:p>
    <w:bookmarkStart w:id="40" w:name="_Hlk193299811"/>
    <w:p w14:paraId="07C8C078" w14:textId="503B2314" w:rsidR="008E22D9" w:rsidRPr="00756188"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r w:rsidRPr="00756188">
        <w:rPr>
          <w:rFonts w:ascii="Times New Roman" w:eastAsia="Times New Roman" w:hAnsi="Times New Roman" w:cs="Times New Roman"/>
          <w:b/>
          <w:i/>
          <w:szCs w:val="20"/>
          <w:lang w:val="fr" w:eastAsia="en-IE"/>
        </w:rPr>
        <w:fldChar w:fldCharType="begin"/>
      </w:r>
      <w:r w:rsidRPr="00756188">
        <w:rPr>
          <w:rFonts w:ascii="Times New Roman" w:eastAsia="Times New Roman" w:hAnsi="Times New Roman" w:cs="Times New Roman"/>
          <w:b/>
          <w:i/>
          <w:szCs w:val="20"/>
          <w:lang w:val="fr" w:eastAsia="en-IE"/>
        </w:rPr>
        <w:instrText>HYPERLINK "https://curia.europa.eu/juris/document/document.jsf?text=&amp;docid=206117&amp;pageIndex=0&amp;doclang=FR&amp;mode=lst&amp;dir=&amp;occ=first&amp;part=1&amp;cid=9777324"</w:instrText>
      </w:r>
      <w:r w:rsidRPr="00756188">
        <w:rPr>
          <w:rFonts w:ascii="Times New Roman" w:eastAsia="Times New Roman" w:hAnsi="Times New Roman" w:cs="Times New Roman"/>
          <w:b/>
          <w:i/>
          <w:szCs w:val="20"/>
          <w:lang w:val="fr" w:eastAsia="en-IE"/>
        </w:rPr>
      </w:r>
      <w:r w:rsidRPr="00756188">
        <w:rPr>
          <w:rFonts w:ascii="Times New Roman" w:eastAsia="Times New Roman" w:hAnsi="Times New Roman" w:cs="Times New Roman"/>
          <w:b/>
          <w:i/>
          <w:szCs w:val="20"/>
          <w:lang w:val="fr" w:eastAsia="en-IE"/>
        </w:rPr>
        <w:fldChar w:fldCharType="separate"/>
      </w:r>
      <w:r w:rsidRPr="00756188">
        <w:rPr>
          <w:rFonts w:ascii="Times New Roman" w:eastAsia="Times New Roman" w:hAnsi="Times New Roman" w:cs="Times New Roman"/>
          <w:b/>
          <w:i/>
          <w:color w:val="0000FF"/>
          <w:szCs w:val="20"/>
          <w:u w:val="single"/>
          <w:lang w:val="fr" w:eastAsia="en-IE"/>
        </w:rPr>
        <w:t>Arrêt du 26 septembre 2018</w:t>
      </w:r>
      <w:r w:rsidRPr="00756188">
        <w:rPr>
          <w:rFonts w:ascii="Times New Roman" w:eastAsia="Times New Roman" w:hAnsi="Times New Roman" w:cs="Times New Roman"/>
          <w:b/>
          <w:i/>
          <w:color w:val="0000FF"/>
          <w:szCs w:val="20"/>
          <w:u w:val="single"/>
          <w:lang w:val="fr" w:eastAsia="en-IE"/>
        </w:rPr>
        <w:fldChar w:fldCharType="end"/>
      </w:r>
      <w:r w:rsidRPr="00756188">
        <w:rPr>
          <w:rFonts w:ascii="Times New Roman" w:eastAsia="Times New Roman" w:hAnsi="Times New Roman" w:cs="Times New Roman"/>
          <w:b/>
          <w:i/>
          <w:szCs w:val="20"/>
          <w:lang w:val="fr" w:eastAsia="en-IE"/>
        </w:rPr>
        <w:t xml:space="preserve">, </w:t>
      </w:r>
      <w:r w:rsidR="00437A3E" w:rsidRPr="00756188">
        <w:rPr>
          <w:rFonts w:ascii="Times New Roman" w:eastAsia="Times New Roman" w:hAnsi="Times New Roman" w:cs="Times New Roman"/>
          <w:b/>
          <w:i/>
          <w:szCs w:val="20"/>
          <w:lang w:val="fr" w:eastAsia="en-IE"/>
        </w:rPr>
        <w:t xml:space="preserve">Van </w:t>
      </w:r>
      <w:proofErr w:type="spellStart"/>
      <w:r w:rsidR="00437A3E" w:rsidRPr="00756188">
        <w:rPr>
          <w:rFonts w:ascii="Times New Roman" w:eastAsia="Times New Roman" w:hAnsi="Times New Roman" w:cs="Times New Roman"/>
          <w:b/>
          <w:i/>
          <w:szCs w:val="20"/>
          <w:lang w:val="fr" w:eastAsia="en-IE"/>
        </w:rPr>
        <w:t>Gennip</w:t>
      </w:r>
      <w:proofErr w:type="spellEnd"/>
      <w:r w:rsidR="00437A3E" w:rsidRPr="00756188">
        <w:rPr>
          <w:rFonts w:ascii="Times New Roman" w:eastAsia="Times New Roman" w:hAnsi="Times New Roman" w:cs="Times New Roman"/>
          <w:b/>
          <w:i/>
          <w:szCs w:val="20"/>
          <w:lang w:val="fr" w:eastAsia="en-IE"/>
        </w:rPr>
        <w:t xml:space="preserve"> e.a., </w:t>
      </w:r>
      <w:r w:rsidRPr="00756188">
        <w:rPr>
          <w:rFonts w:ascii="Times New Roman" w:eastAsia="Times New Roman" w:hAnsi="Times New Roman" w:cs="Times New Roman"/>
          <w:b/>
          <w:i/>
          <w:szCs w:val="20"/>
          <w:lang w:val="fr" w:eastAsia="en-IE"/>
        </w:rPr>
        <w:t>C-137/17, EU:C:</w:t>
      </w:r>
      <w:r w:rsidRPr="00756188">
        <w:rPr>
          <w:rFonts w:ascii="Times New Roman" w:eastAsia="Times New Roman" w:hAnsi="Times New Roman" w:cs="Times New Roman"/>
          <w:b/>
          <w:i/>
          <w:spacing w:val="-1"/>
          <w:szCs w:val="20"/>
          <w:lang w:val="fr" w:eastAsia="en-IE"/>
        </w:rPr>
        <w:t xml:space="preserve"> </w:t>
      </w:r>
      <w:r w:rsidRPr="00756188">
        <w:rPr>
          <w:rFonts w:ascii="Times New Roman" w:eastAsia="Times New Roman" w:hAnsi="Times New Roman" w:cs="Times New Roman"/>
          <w:b/>
          <w:i/>
          <w:spacing w:val="-2"/>
          <w:szCs w:val="20"/>
          <w:lang w:val="fr" w:eastAsia="en-IE"/>
        </w:rPr>
        <w:t>2018:771</w:t>
      </w:r>
      <w:r w:rsidRPr="00756188">
        <w:rPr>
          <w:rFonts w:ascii="Times New Roman" w:eastAsia="Times New Roman" w:hAnsi="Times New Roman" w:cs="Times New Roman"/>
          <w:b/>
          <w:i/>
          <w:szCs w:val="20"/>
          <w:lang w:val="fr" w:eastAsia="en-IE"/>
        </w:rPr>
        <w:t xml:space="preserve">, points </w:t>
      </w:r>
      <w:r>
        <w:rPr>
          <w:rFonts w:ascii="Times New Roman" w:eastAsia="Times New Roman" w:hAnsi="Times New Roman" w:cs="Times New Roman"/>
          <w:b/>
          <w:i/>
          <w:szCs w:val="20"/>
          <w:lang w:val="fr" w:eastAsia="en-IE"/>
        </w:rPr>
        <w:t>39 et 40</w:t>
      </w:r>
    </w:p>
    <w:p w14:paraId="3B8C62EF" w14:textId="77777777" w:rsidR="008E22D9" w:rsidRPr="00756188"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13BC2C2A" w14:textId="3B4E88BA" w:rsidR="008E22D9" w:rsidRPr="00756188" w:rsidRDefault="008E22D9" w:rsidP="00AA4F20">
      <w:pPr>
        <w:widowControl w:val="0"/>
        <w:tabs>
          <w:tab w:val="left" w:pos="404"/>
        </w:tabs>
        <w:autoSpaceDE w:val="0"/>
        <w:autoSpaceDN w:val="0"/>
        <w:spacing w:after="0" w:line="240" w:lineRule="auto"/>
        <w:jc w:val="both"/>
        <w:rPr>
          <w:rFonts w:ascii="Times New Roman" w:eastAsia="Times New Roman" w:hAnsi="Times New Roman" w:cs="Times New Roman"/>
          <w:szCs w:val="20"/>
          <w:lang w:val="fr" w:eastAsia="en-IE"/>
        </w:rPr>
      </w:pPr>
      <w:r w:rsidRPr="00756188">
        <w:rPr>
          <w:rFonts w:ascii="Times New Roman" w:eastAsia="Times New Roman" w:hAnsi="Times New Roman" w:cs="Times New Roman"/>
          <w:szCs w:val="20"/>
          <w:lang w:val="fr" w:eastAsia="en-IE"/>
        </w:rPr>
        <w:t xml:space="preserve">Les dispositions nationales subordonnant la commercialisation des produits à la condition que l’acheteur soit en possession d’une autorisation ne relèvent pas de la notion </w:t>
      </w:r>
      <w:r>
        <w:rPr>
          <w:rFonts w:ascii="Times New Roman" w:eastAsia="Times New Roman" w:hAnsi="Times New Roman" w:cs="Times New Roman"/>
          <w:szCs w:val="20"/>
          <w:lang w:val="fr" w:eastAsia="en-IE"/>
        </w:rPr>
        <w:t>d’ « autres exigences</w:t>
      </w:r>
      <w:r w:rsidRPr="00756188">
        <w:rPr>
          <w:rFonts w:ascii="Times New Roman" w:eastAsia="Times New Roman" w:hAnsi="Times New Roman" w:cs="Times New Roman"/>
          <w:szCs w:val="20"/>
          <w:lang w:val="fr" w:eastAsia="en-IE"/>
        </w:rPr>
        <w:t xml:space="preserve">» </w:t>
      </w:r>
      <w:r w:rsidR="006141C3">
        <w:rPr>
          <w:rFonts w:ascii="Times New Roman" w:eastAsia="Times New Roman" w:hAnsi="Times New Roman" w:cs="Times New Roman"/>
          <w:szCs w:val="20"/>
          <w:lang w:val="fr" w:eastAsia="en-IE"/>
        </w:rPr>
        <w:t>car il s’agit d’une condition imposée à l’égard non pas des produits mais des acheteurs.</w:t>
      </w:r>
    </w:p>
    <w:p w14:paraId="34F709B8" w14:textId="77777777" w:rsidR="008E22D9" w:rsidRPr="00756188" w:rsidRDefault="008E22D9" w:rsidP="00AA4F20">
      <w:pPr>
        <w:widowControl w:val="0"/>
        <w:tabs>
          <w:tab w:val="left" w:pos="404"/>
        </w:tabs>
        <w:autoSpaceDE w:val="0"/>
        <w:autoSpaceDN w:val="0"/>
        <w:spacing w:after="0" w:line="240" w:lineRule="auto"/>
        <w:jc w:val="both"/>
        <w:rPr>
          <w:rFonts w:ascii="Times New Roman" w:eastAsia="Times New Roman" w:hAnsi="Times New Roman" w:cs="Times New Roman"/>
          <w:szCs w:val="20"/>
          <w:lang w:val="fr" w:eastAsia="en-IE"/>
        </w:rPr>
      </w:pPr>
    </w:p>
    <w:bookmarkEnd w:id="40"/>
    <w:p w14:paraId="043CB61C" w14:textId="77777777" w:rsidR="008E22D9" w:rsidRPr="00756188" w:rsidRDefault="008E22D9"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822F09E" w14:textId="3A4A6994" w:rsidR="008E22D9" w:rsidRPr="00756188" w:rsidRDefault="008E22D9"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41" w:name="point39"/>
      <w:r>
        <w:rPr>
          <w:rFonts w:ascii="Times New Roman" w:eastAsia="Times New Roman" w:hAnsi="Times New Roman" w:cs="Times New Roman"/>
          <w:i/>
          <w:iCs/>
          <w:sz w:val="20"/>
          <w:szCs w:val="16"/>
          <w:lang w:val="fr-BE" w:eastAsia="en-IE"/>
        </w:rPr>
        <w:t>« </w:t>
      </w:r>
      <w:r w:rsidRPr="00756188">
        <w:rPr>
          <w:rFonts w:ascii="Times New Roman" w:eastAsia="Times New Roman" w:hAnsi="Times New Roman" w:cs="Times New Roman"/>
          <w:i/>
          <w:iCs/>
          <w:sz w:val="20"/>
          <w:szCs w:val="16"/>
          <w:lang w:val="fr-BE" w:eastAsia="en-IE"/>
        </w:rPr>
        <w:t>39</w:t>
      </w:r>
      <w:bookmarkEnd w:id="41"/>
      <w:r w:rsidR="00116D32">
        <w:rPr>
          <w:rFonts w:ascii="Times New Roman" w:eastAsia="Times New Roman" w:hAnsi="Times New Roman" w:cs="Times New Roman"/>
          <w:i/>
          <w:iCs/>
          <w:sz w:val="20"/>
          <w:szCs w:val="16"/>
          <w:lang w:val="fr-BE" w:eastAsia="en-IE"/>
        </w:rPr>
        <w:t xml:space="preserve">. </w:t>
      </w:r>
      <w:r w:rsidR="006141C3">
        <w:rPr>
          <w:rFonts w:ascii="Times New Roman" w:eastAsia="Times New Roman" w:hAnsi="Times New Roman" w:cs="Times New Roman"/>
          <w:i/>
          <w:iCs/>
          <w:sz w:val="20"/>
          <w:szCs w:val="16"/>
          <w:lang w:val="fr-BE" w:eastAsia="en-IE"/>
        </w:rPr>
        <w:t>[…]</w:t>
      </w:r>
      <w:r w:rsidRPr="00756188">
        <w:rPr>
          <w:rFonts w:ascii="Times New Roman" w:eastAsia="Times New Roman" w:hAnsi="Times New Roman" w:cs="Times New Roman"/>
          <w:i/>
          <w:iCs/>
          <w:sz w:val="20"/>
          <w:szCs w:val="16"/>
          <w:lang w:val="fr-BE" w:eastAsia="en-IE"/>
        </w:rPr>
        <w:t xml:space="preserve"> il y a lieu de constater que, afin de pouvoir être qualifiée d’« autre exigence »,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4, de la directive 98/34, une mesure nationale doit constituer une « condition » pouvant influencer de manière significative la composition, la nature ou la commercialisation du produit concerné (arrêt du 13 octobre 2016, M. et S., C</w:t>
      </w:r>
      <w:r w:rsidRPr="00756188">
        <w:rPr>
          <w:rFonts w:ascii="Times New Roman" w:eastAsia="Times New Roman" w:hAnsi="Times New Roman" w:cs="Times New Roman"/>
          <w:i/>
          <w:iCs/>
          <w:sz w:val="20"/>
          <w:szCs w:val="16"/>
          <w:lang w:val="fr-BE" w:eastAsia="en-IE"/>
        </w:rPr>
        <w:noBreakHyphen/>
        <w:t>303/15, EU:C:2016:771, point 20 ainsi que jurisprudence citée).</w:t>
      </w:r>
    </w:p>
    <w:p w14:paraId="5F75A9D3" w14:textId="77777777" w:rsidR="008E22D9" w:rsidRPr="00756188" w:rsidRDefault="008E22D9"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000E7FB" w14:textId="50138CA3" w:rsidR="008E22D9" w:rsidRDefault="008E22D9"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56188">
        <w:rPr>
          <w:rFonts w:ascii="Times New Roman" w:eastAsia="Times New Roman" w:hAnsi="Times New Roman" w:cs="Times New Roman"/>
          <w:i/>
          <w:iCs/>
          <w:sz w:val="20"/>
          <w:szCs w:val="16"/>
          <w:lang w:val="fr-BE" w:eastAsia="en-IE"/>
        </w:rPr>
        <w:t>40</w:t>
      </w:r>
      <w:r w:rsidR="00116D32">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À cet égard, il importe de relever, à l’instar de M. l’avocat général au point 76 de ses conclusions, que la réglementation belge subordonne la vente d’articles pyrotechniques dont la teneur en composition pyrotechnique est supérieure à 1 kg à l’obtention, par l’acheteur, d’une autorisation. Partant, l’autorisation exigée constitue une condition imposée à l’égard non pas du produit concerné, mais des acheteurs potentiels ainsi que, indirectement, des opérateurs économiques vendant les articles pyrotechniques (voir, en ce sens, arrêts du 21 avril 2005, Lindberg, C</w:t>
      </w:r>
      <w:r w:rsidRPr="00756188">
        <w:rPr>
          <w:rFonts w:ascii="Times New Roman" w:eastAsia="Times New Roman" w:hAnsi="Times New Roman" w:cs="Times New Roman"/>
          <w:i/>
          <w:iCs/>
          <w:sz w:val="20"/>
          <w:szCs w:val="16"/>
          <w:lang w:val="fr-BE" w:eastAsia="en-IE"/>
        </w:rPr>
        <w:noBreakHyphen/>
        <w:t>267/03, EU:C:2005:246, point 87, ainsi que du 13 octobre 2016, M. et S., C</w:t>
      </w:r>
      <w:r w:rsidRPr="00756188">
        <w:rPr>
          <w:rFonts w:ascii="Times New Roman" w:eastAsia="Times New Roman" w:hAnsi="Times New Roman" w:cs="Times New Roman"/>
          <w:i/>
          <w:iCs/>
          <w:sz w:val="20"/>
          <w:szCs w:val="16"/>
          <w:lang w:val="fr-BE" w:eastAsia="en-IE"/>
        </w:rPr>
        <w:noBreakHyphen/>
        <w:t>303/15, EU:C:2016:771, point 29). »</w:t>
      </w:r>
    </w:p>
    <w:p w14:paraId="2819C86B" w14:textId="77777777" w:rsidR="008E22D9" w:rsidRDefault="008E22D9" w:rsidP="00AA4F20">
      <w:pPr>
        <w:spacing w:after="0" w:line="240" w:lineRule="auto"/>
        <w:rPr>
          <w:lang w:val="fr-BE"/>
        </w:rPr>
      </w:pPr>
    </w:p>
    <w:p w14:paraId="442D9F34" w14:textId="6E67884C" w:rsidR="008E22D9" w:rsidRPr="0065781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3" w:anchor="ctx1" w:history="1">
        <w:r w:rsidR="008E22D9" w:rsidRPr="00657816">
          <w:rPr>
            <w:rFonts w:ascii="Times New Roman" w:eastAsia="Times New Roman" w:hAnsi="Times New Roman" w:cs="Times New Roman"/>
            <w:b/>
            <w:i/>
            <w:color w:val="0000FF"/>
            <w:szCs w:val="20"/>
            <w:u w:val="single"/>
            <w:lang w:val="fr" w:eastAsia="en-IE"/>
          </w:rPr>
          <w:t xml:space="preserve">Arrêt </w:t>
        </w:r>
        <w:r w:rsidR="008E22D9" w:rsidRPr="00DA7543">
          <w:rPr>
            <w:rFonts w:ascii="Times New Roman" w:eastAsia="Times New Roman" w:hAnsi="Times New Roman" w:cs="Times New Roman"/>
            <w:b/>
            <w:i/>
            <w:color w:val="0000FF"/>
            <w:szCs w:val="20"/>
            <w:u w:val="single"/>
            <w:lang w:val="fr" w:eastAsia="en-IE"/>
          </w:rPr>
          <w:t>du 28 mai 2020</w:t>
        </w:r>
      </w:hyperlink>
      <w:r w:rsidR="008E22D9" w:rsidRPr="00657816">
        <w:rPr>
          <w:rFonts w:ascii="Times New Roman" w:eastAsia="Times New Roman" w:hAnsi="Times New Roman" w:cs="Times New Roman"/>
          <w:b/>
          <w:i/>
          <w:szCs w:val="20"/>
          <w:lang w:val="fr" w:eastAsia="en-IE"/>
        </w:rPr>
        <w:t xml:space="preserve">, </w:t>
      </w:r>
      <w:r w:rsidR="00437A3E" w:rsidRPr="00657816">
        <w:rPr>
          <w:rFonts w:ascii="Times New Roman" w:eastAsia="Times New Roman" w:hAnsi="Times New Roman" w:cs="Times New Roman"/>
          <w:b/>
          <w:i/>
          <w:szCs w:val="20"/>
          <w:lang w:val="fr" w:eastAsia="en-IE"/>
        </w:rPr>
        <w:t xml:space="preserve">ECO-WIND Construction, </w:t>
      </w:r>
      <w:r w:rsidR="008E22D9" w:rsidRPr="00657816">
        <w:rPr>
          <w:rFonts w:ascii="Times New Roman" w:eastAsia="Times New Roman" w:hAnsi="Times New Roman" w:cs="Times New Roman"/>
          <w:b/>
          <w:i/>
          <w:szCs w:val="20"/>
          <w:lang w:val="fr" w:eastAsia="en-IE"/>
        </w:rPr>
        <w:t>C-727/17, EU:C:2020:393, points 40 et 41</w:t>
      </w:r>
    </w:p>
    <w:p w14:paraId="25416F86" w14:textId="77777777" w:rsidR="008E22D9" w:rsidRPr="00657816"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5A603527" w14:textId="35D8D994" w:rsidR="008E22D9" w:rsidRPr="00657816"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657816">
        <w:rPr>
          <w:rFonts w:ascii="Times New Roman" w:eastAsia="Times New Roman" w:hAnsi="Times New Roman" w:cs="Times New Roman"/>
          <w:szCs w:val="20"/>
          <w:lang w:val="fr" w:eastAsia="en-IE"/>
        </w:rPr>
        <w:t xml:space="preserve">Une réglementation imposant une distance minimale pour l’installation d’éoliennes ne relève pas de la catégorie des « autres exigences » car son </w:t>
      </w:r>
      <w:r w:rsidR="006141C3">
        <w:rPr>
          <w:rFonts w:ascii="Times New Roman" w:eastAsia="Times New Roman" w:hAnsi="Times New Roman" w:cs="Times New Roman"/>
          <w:szCs w:val="20"/>
          <w:lang w:val="fr" w:eastAsia="en-IE"/>
        </w:rPr>
        <w:t>incidence</w:t>
      </w:r>
      <w:r w:rsidRPr="00657816">
        <w:rPr>
          <w:rFonts w:ascii="Times New Roman" w:eastAsia="Times New Roman" w:hAnsi="Times New Roman" w:cs="Times New Roman"/>
          <w:szCs w:val="20"/>
          <w:lang w:val="fr" w:eastAsia="en-IE"/>
        </w:rPr>
        <w:t xml:space="preserve"> sur la commercialisation des</w:t>
      </w:r>
      <w:r w:rsidR="006141C3">
        <w:rPr>
          <w:rFonts w:ascii="Times New Roman" w:eastAsia="Times New Roman" w:hAnsi="Times New Roman" w:cs="Times New Roman"/>
          <w:szCs w:val="20"/>
          <w:lang w:val="fr" w:eastAsia="en-IE"/>
        </w:rPr>
        <w:t xml:space="preserve"> produits concernés </w:t>
      </w:r>
      <w:r w:rsidRPr="00657816">
        <w:rPr>
          <w:rFonts w:ascii="Times New Roman" w:eastAsia="Times New Roman" w:hAnsi="Times New Roman" w:cs="Times New Roman"/>
          <w:szCs w:val="20"/>
          <w:lang w:val="fr" w:eastAsia="en-IE"/>
        </w:rPr>
        <w:t>n’est pas suffisamment direct</w:t>
      </w:r>
      <w:r w:rsidR="006141C3">
        <w:rPr>
          <w:rFonts w:ascii="Times New Roman" w:eastAsia="Times New Roman" w:hAnsi="Times New Roman" w:cs="Times New Roman"/>
          <w:szCs w:val="20"/>
          <w:lang w:val="fr" w:eastAsia="en-IE"/>
        </w:rPr>
        <w:t>e</w:t>
      </w:r>
      <w:r w:rsidRPr="00657816">
        <w:rPr>
          <w:rFonts w:ascii="Times New Roman" w:eastAsia="Times New Roman" w:hAnsi="Times New Roman" w:cs="Times New Roman"/>
          <w:szCs w:val="20"/>
          <w:lang w:val="fr" w:eastAsia="en-IE"/>
        </w:rPr>
        <w:t>.</w:t>
      </w:r>
    </w:p>
    <w:p w14:paraId="37E41254" w14:textId="77777777" w:rsidR="008E22D9" w:rsidRPr="00657816"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439FEF57" w14:textId="18BE9634" w:rsidR="008E22D9" w:rsidRPr="00657816" w:rsidRDefault="008E22D9" w:rsidP="00AA4F20">
      <w:pPr>
        <w:pStyle w:val="BodyText"/>
        <w:ind w:left="567"/>
        <w:rPr>
          <w:i/>
          <w:iCs/>
          <w:sz w:val="20"/>
          <w:lang w:val="fr-BE"/>
        </w:rPr>
      </w:pPr>
      <w:bookmarkStart w:id="42" w:name="point40"/>
      <w:r w:rsidRPr="00657816">
        <w:rPr>
          <w:i/>
          <w:iCs/>
          <w:sz w:val="20"/>
          <w:lang w:val="fr-BE"/>
        </w:rPr>
        <w:t>« 40</w:t>
      </w:r>
      <w:bookmarkEnd w:id="42"/>
      <w:r w:rsidR="00116D32">
        <w:rPr>
          <w:i/>
          <w:iCs/>
          <w:sz w:val="20"/>
          <w:lang w:val="fr-BE"/>
        </w:rPr>
        <w:t xml:space="preserve">. </w:t>
      </w:r>
      <w:r w:rsidR="006141C3">
        <w:rPr>
          <w:i/>
          <w:iCs/>
          <w:sz w:val="20"/>
          <w:lang w:val="fr-BE"/>
        </w:rPr>
        <w:t>[…]</w:t>
      </w:r>
      <w:r w:rsidRPr="00657816">
        <w:rPr>
          <w:i/>
          <w:iCs/>
          <w:sz w:val="20"/>
          <w:lang w:val="fr-BE"/>
        </w:rPr>
        <w:t xml:space="preserve"> il ressort d’une jurisprudence constante que relève de cette catégorie</w:t>
      </w:r>
      <w:r w:rsidR="006141C3">
        <w:rPr>
          <w:i/>
          <w:iCs/>
          <w:sz w:val="20"/>
          <w:lang w:val="fr-BE"/>
        </w:rPr>
        <w:t xml:space="preserve"> </w:t>
      </w:r>
      <w:r w:rsidR="006141C3" w:rsidRPr="006141C3">
        <w:rPr>
          <w:sz w:val="20"/>
          <w:lang w:val="fr-BE"/>
        </w:rPr>
        <w:t>[des autres exigences]</w:t>
      </w:r>
      <w:r w:rsidRPr="006141C3">
        <w:rPr>
          <w:sz w:val="20"/>
          <w:lang w:val="fr-BE"/>
        </w:rPr>
        <w:t xml:space="preserve"> </w:t>
      </w:r>
      <w:r w:rsidRPr="00657816">
        <w:rPr>
          <w:i/>
          <w:iCs/>
          <w:sz w:val="20"/>
          <w:lang w:val="fr-BE"/>
        </w:rPr>
        <w:t>une réglementation qui fixe une condition pouvant influencer de manière significative la composition, la nature ou la commercialisation d’un produit (arrêts du 21 avril 2005, Lindberg, C</w:t>
      </w:r>
      <w:r w:rsidRPr="00657816">
        <w:rPr>
          <w:i/>
          <w:iCs/>
          <w:sz w:val="20"/>
          <w:lang w:val="fr-BE"/>
        </w:rPr>
        <w:noBreakHyphen/>
        <w:t>267/03, EU:C:2005:246, points 69 à 72, ainsi que du 19 juillet 2012, Fortuna e.a., C</w:t>
      </w:r>
      <w:r w:rsidRPr="00657816">
        <w:rPr>
          <w:i/>
          <w:iCs/>
          <w:sz w:val="20"/>
          <w:lang w:val="fr-BE"/>
        </w:rPr>
        <w:noBreakHyphen/>
        <w:t>213/11, C</w:t>
      </w:r>
      <w:r w:rsidRPr="00657816">
        <w:rPr>
          <w:i/>
          <w:iCs/>
          <w:sz w:val="20"/>
          <w:lang w:val="fr-BE"/>
        </w:rPr>
        <w:noBreakHyphen/>
        <w:t>214/11 et C</w:t>
      </w:r>
      <w:r w:rsidRPr="00657816">
        <w:rPr>
          <w:i/>
          <w:iCs/>
          <w:sz w:val="20"/>
          <w:lang w:val="fr-BE"/>
        </w:rPr>
        <w:noBreakHyphen/>
        <w:t>217/11, EU:C:2012:495, point 35), ces « autres exigences » visant les exigences nées de la prise en considération du cycle de vie du produit en cause après sa mise sur le marché et étant relatives, notamment, à l’utilisation de celui-ci.</w:t>
      </w:r>
    </w:p>
    <w:p w14:paraId="69ADB9BD" w14:textId="77777777" w:rsidR="008E22D9" w:rsidRPr="00657816" w:rsidRDefault="008E22D9" w:rsidP="00AA4F20">
      <w:pPr>
        <w:pStyle w:val="BodyText"/>
        <w:ind w:left="567"/>
        <w:rPr>
          <w:i/>
          <w:iCs/>
          <w:sz w:val="20"/>
          <w:lang w:val="fr-BE"/>
        </w:rPr>
      </w:pPr>
    </w:p>
    <w:p w14:paraId="48BB7F65" w14:textId="1BB91649" w:rsidR="008E22D9" w:rsidRPr="002F655D" w:rsidRDefault="008E22D9" w:rsidP="00AA4F20">
      <w:pPr>
        <w:pStyle w:val="BodyText"/>
        <w:ind w:left="567"/>
        <w:rPr>
          <w:i/>
          <w:iCs/>
          <w:sz w:val="20"/>
          <w:lang w:val="fr-BE"/>
        </w:rPr>
      </w:pPr>
      <w:bookmarkStart w:id="43" w:name="point41"/>
      <w:r w:rsidRPr="00657816">
        <w:rPr>
          <w:i/>
          <w:iCs/>
          <w:sz w:val="20"/>
          <w:lang w:val="fr-BE"/>
        </w:rPr>
        <w:t>41</w:t>
      </w:r>
      <w:bookmarkEnd w:id="43"/>
      <w:r w:rsidR="00116D32">
        <w:rPr>
          <w:i/>
          <w:iCs/>
          <w:sz w:val="20"/>
          <w:lang w:val="fr-BE"/>
        </w:rPr>
        <w:t xml:space="preserve">. </w:t>
      </w:r>
      <w:r w:rsidRPr="00657816">
        <w:rPr>
          <w:i/>
          <w:iCs/>
          <w:sz w:val="20"/>
          <w:lang w:val="fr-BE"/>
        </w:rPr>
        <w:t>Or, en l’occurrence, à l’instar de l’appréciation figurant au point 37 du présent arrêt, il y a lieu de relever que l’exigence selon laquelle l’installation d’une éolienne est soumise au respect d’une distance minimale entre celle-ci et des bâtiments ayant une fonction résidentielle ne présente pas de lien direct avec la composition, la nature ou la commercialisation d’un produit tel qu’un aérogénérateur. À cet égard, à supposer que cette exigence conduise à limiter les emplacements éligibles à l’installation d’éoliennes, et partant, qu’elle ait un effet sur la commercialisation des aérogénérateurs</w:t>
      </w:r>
      <w:r w:rsidRPr="002F655D">
        <w:rPr>
          <w:i/>
          <w:iCs/>
          <w:sz w:val="20"/>
          <w:lang w:val="fr-BE"/>
        </w:rPr>
        <w:t>, cet effet ne serait pas suffisamment direct pour que ladite exigence relève de la catégorie des « autres exigences » figurant à l’article 1, paragraphe 1, sous f), de la directive 2015/1535. »</w:t>
      </w:r>
    </w:p>
    <w:p w14:paraId="048139C0" w14:textId="77777777" w:rsidR="008E22D9" w:rsidRDefault="008E22D9" w:rsidP="00AA4F20">
      <w:pPr>
        <w:spacing w:after="0" w:line="240" w:lineRule="auto"/>
        <w:rPr>
          <w:lang w:val="fr-BE"/>
        </w:rPr>
      </w:pPr>
    </w:p>
    <w:p w14:paraId="12CDBD57" w14:textId="6C27D994" w:rsidR="008E22D9" w:rsidRPr="0065781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4" w:history="1">
        <w:r w:rsidR="008E22D9" w:rsidRPr="0051744C">
          <w:rPr>
            <w:rStyle w:val="Hyperlink"/>
            <w:rFonts w:ascii="Times New Roman" w:eastAsia="Times New Roman" w:hAnsi="Times New Roman" w:cs="Times New Roman"/>
            <w:b/>
            <w:i/>
            <w:color w:val="0000FF"/>
            <w:szCs w:val="20"/>
            <w:lang w:val="fr" w:eastAsia="en-IE"/>
          </w:rPr>
          <w:t>Arrêt du 24 novembre 2022</w:t>
        </w:r>
      </w:hyperlink>
      <w:r w:rsidR="008E22D9" w:rsidRPr="00657816">
        <w:rPr>
          <w:rFonts w:ascii="Times New Roman" w:eastAsia="Times New Roman" w:hAnsi="Times New Roman" w:cs="Times New Roman"/>
          <w:b/>
          <w:i/>
          <w:szCs w:val="20"/>
          <w:lang w:val="fr" w:eastAsia="en-IE"/>
        </w:rPr>
        <w:t xml:space="preserve">, </w:t>
      </w:r>
      <w:proofErr w:type="spellStart"/>
      <w:r w:rsidR="00437A3E" w:rsidRPr="00657816">
        <w:rPr>
          <w:rFonts w:ascii="Times New Roman" w:eastAsia="Times New Roman" w:hAnsi="Times New Roman" w:cs="Times New Roman"/>
          <w:b/>
          <w:i/>
          <w:szCs w:val="20"/>
          <w:lang w:val="fr" w:eastAsia="en-IE"/>
        </w:rPr>
        <w:t>Phytofar</w:t>
      </w:r>
      <w:proofErr w:type="spellEnd"/>
      <w:r w:rsidR="00437A3E" w:rsidRPr="00657816">
        <w:rPr>
          <w:rFonts w:ascii="Times New Roman" w:eastAsia="Times New Roman" w:hAnsi="Times New Roman" w:cs="Times New Roman"/>
          <w:b/>
          <w:i/>
          <w:szCs w:val="20"/>
          <w:lang w:val="fr" w:eastAsia="en-IE"/>
        </w:rPr>
        <w:t xml:space="preserve">, </w:t>
      </w:r>
      <w:r w:rsidR="008E22D9" w:rsidRPr="00657816">
        <w:rPr>
          <w:rFonts w:ascii="Times New Roman" w:eastAsia="Times New Roman" w:hAnsi="Times New Roman" w:cs="Times New Roman"/>
          <w:b/>
          <w:i/>
          <w:szCs w:val="20"/>
          <w:lang w:val="fr-BE" w:eastAsia="en-IE"/>
        </w:rPr>
        <w:t>C</w:t>
      </w:r>
      <w:r w:rsidR="008E22D9" w:rsidRPr="00657816">
        <w:rPr>
          <w:rFonts w:ascii="Times New Roman" w:eastAsia="Times New Roman" w:hAnsi="Times New Roman" w:cs="Times New Roman"/>
          <w:b/>
          <w:i/>
          <w:szCs w:val="20"/>
          <w:lang w:val="fr-BE" w:eastAsia="en-IE"/>
        </w:rPr>
        <w:noBreakHyphen/>
        <w:t>658/21</w:t>
      </w:r>
      <w:r w:rsidR="008E22D9" w:rsidRPr="00657816">
        <w:rPr>
          <w:rFonts w:ascii="Times New Roman" w:eastAsia="Times New Roman" w:hAnsi="Times New Roman" w:cs="Times New Roman"/>
          <w:b/>
          <w:i/>
          <w:szCs w:val="20"/>
          <w:lang w:val="fr" w:eastAsia="en-IE"/>
        </w:rPr>
        <w:t xml:space="preserve">, </w:t>
      </w:r>
      <w:r w:rsidR="008E22D9" w:rsidRPr="00657816">
        <w:rPr>
          <w:rFonts w:ascii="Times New Roman" w:eastAsia="Times New Roman" w:hAnsi="Times New Roman" w:cs="Times New Roman"/>
          <w:b/>
          <w:i/>
          <w:szCs w:val="20"/>
          <w:lang w:val="fr-BE" w:eastAsia="en-IE"/>
        </w:rPr>
        <w:t>EU:C:2022:925</w:t>
      </w:r>
      <w:r w:rsidR="008E22D9" w:rsidRPr="00657816">
        <w:rPr>
          <w:rFonts w:ascii="Times New Roman" w:eastAsia="Times New Roman" w:hAnsi="Times New Roman" w:cs="Times New Roman"/>
          <w:b/>
          <w:i/>
          <w:szCs w:val="20"/>
          <w:lang w:val="fr" w:eastAsia="en-IE"/>
        </w:rPr>
        <w:t>, points 36 à 42</w:t>
      </w:r>
    </w:p>
    <w:p w14:paraId="79E56CD2" w14:textId="77777777" w:rsidR="008E22D9" w:rsidRPr="00657816"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718CB9A9" w14:textId="4EEDC69D" w:rsidR="008E22D9" w:rsidRPr="00657816" w:rsidRDefault="008E22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r w:rsidRPr="00657816">
        <w:rPr>
          <w:rFonts w:ascii="Times New Roman" w:eastAsia="Times New Roman" w:hAnsi="Times New Roman" w:cs="Times New Roman"/>
          <w:szCs w:val="20"/>
          <w:lang w:val="fr" w:eastAsia="en-IE"/>
        </w:rPr>
        <w:t>U</w:t>
      </w:r>
      <w:r w:rsidRPr="00657816">
        <w:rPr>
          <w:rFonts w:ascii="Times New Roman" w:eastAsia="Times New Roman" w:hAnsi="Times New Roman" w:cs="Times New Roman"/>
          <w:szCs w:val="20"/>
          <w:lang w:val="fr-BE" w:eastAsia="en-IE"/>
        </w:rPr>
        <w:t xml:space="preserve">ne réglementation interdisant aux personnes qui ne sont pas titulaires d’une autorisation destinée aux professionnels d’utiliser des pesticides contenant du glyphosate est susceptible de constituer une </w:t>
      </w:r>
      <w:r w:rsidR="00EE4C2F">
        <w:rPr>
          <w:rFonts w:ascii="Times New Roman" w:eastAsia="Times New Roman" w:hAnsi="Times New Roman" w:cs="Times New Roman"/>
          <w:szCs w:val="20"/>
          <w:lang w:val="fr-BE" w:eastAsia="en-IE"/>
        </w:rPr>
        <w:t>« </w:t>
      </w:r>
      <w:r w:rsidRPr="00657816">
        <w:rPr>
          <w:rFonts w:ascii="Times New Roman" w:eastAsia="Times New Roman" w:hAnsi="Times New Roman" w:cs="Times New Roman"/>
          <w:szCs w:val="20"/>
          <w:lang w:val="fr-BE" w:eastAsia="en-IE"/>
        </w:rPr>
        <w:t>autre exigence</w:t>
      </w:r>
      <w:r w:rsidR="00EE4C2F">
        <w:rPr>
          <w:rFonts w:ascii="Times New Roman" w:eastAsia="Times New Roman" w:hAnsi="Times New Roman" w:cs="Times New Roman"/>
          <w:szCs w:val="20"/>
          <w:lang w:val="fr-BE" w:eastAsia="en-IE"/>
        </w:rPr>
        <w:t> »</w:t>
      </w:r>
      <w:r w:rsidRPr="00657816">
        <w:rPr>
          <w:rFonts w:ascii="Times New Roman" w:eastAsia="Times New Roman" w:hAnsi="Times New Roman" w:cs="Times New Roman"/>
          <w:szCs w:val="20"/>
          <w:lang w:val="fr-BE" w:eastAsia="en-IE"/>
        </w:rPr>
        <w:t>, dès lors qu’elle pourrait influencer de manière significative la commercialisation du glyphosate. Le caractère significatif de cette influence s’évalue au vu du volume d’achat des produits concernés et des modifications des habitudes et modalités de vente.</w:t>
      </w:r>
    </w:p>
    <w:p w14:paraId="3EBB6E86"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378BD456" w14:textId="0F8F4806"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 36</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En l’occurrence, il ressort, tout d’abord, du préambule de l’arrêté du 14 juillet 2017 que l’interdiction qu’il établit est imposée pour protéger la santé humaine et l’environnement.</w:t>
      </w:r>
    </w:p>
    <w:p w14:paraId="0A5DAFED"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4732D1EB" w14:textId="52DEAF19"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37</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Ensuite, il y a lieu de relever que cette interdiction concerne le cycle de vie des pesticides contenant du glyphosate après leur mise sur le marché, par la fixation d’une condition liée à l’utilisation de ces produits, en ce que, sur des terrains à usage privé, seuls les professionnels titulaires d’une </w:t>
      </w:r>
      <w:proofErr w:type="spellStart"/>
      <w:r w:rsidRPr="00657816">
        <w:rPr>
          <w:rFonts w:ascii="Times New Roman" w:hAnsi="Times New Roman" w:cs="Times New Roman"/>
          <w:i/>
          <w:iCs/>
          <w:sz w:val="20"/>
          <w:szCs w:val="20"/>
          <w:lang w:val="fr-BE"/>
        </w:rPr>
        <w:t>phytolicence</w:t>
      </w:r>
      <w:proofErr w:type="spellEnd"/>
      <w:r w:rsidRPr="00657816">
        <w:rPr>
          <w:rFonts w:ascii="Times New Roman" w:hAnsi="Times New Roman" w:cs="Times New Roman"/>
          <w:i/>
          <w:iCs/>
          <w:sz w:val="20"/>
          <w:szCs w:val="20"/>
          <w:lang w:val="fr-BE"/>
        </w:rPr>
        <w:t xml:space="preserve"> sont autorisés à les utiliser.</w:t>
      </w:r>
    </w:p>
    <w:p w14:paraId="03ABEE67"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75E5AA93" w14:textId="5ABD25B9"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38</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Enfin, force est de constater qu’une telle mesure d’interdiction est susceptible d’influencer la commercialisation des produits concernés.</w:t>
      </w:r>
    </w:p>
    <w:p w14:paraId="06CDBC59"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1DBF4806" w14:textId="328013FB"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39</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En effet, cette mesure entraîne la disparition d’une catégorie d’acheteurs potentiels de pesticides contenant du glyphosate, à savoir les particuliers souhaitant utiliser eux-mêmes de tels pesticides, sans recourir aux services de professionnels titulaires de la </w:t>
      </w:r>
      <w:proofErr w:type="spellStart"/>
      <w:r w:rsidRPr="00657816">
        <w:rPr>
          <w:rFonts w:ascii="Times New Roman" w:hAnsi="Times New Roman" w:cs="Times New Roman"/>
          <w:i/>
          <w:iCs/>
          <w:sz w:val="20"/>
          <w:szCs w:val="20"/>
          <w:lang w:val="fr-BE"/>
        </w:rPr>
        <w:t>phytolicence</w:t>
      </w:r>
      <w:proofErr w:type="spellEnd"/>
      <w:r w:rsidRPr="00657816">
        <w:rPr>
          <w:rFonts w:ascii="Times New Roman" w:hAnsi="Times New Roman" w:cs="Times New Roman"/>
          <w:i/>
          <w:iCs/>
          <w:sz w:val="20"/>
          <w:szCs w:val="20"/>
          <w:lang w:val="fr-BE"/>
        </w:rPr>
        <w:t xml:space="preserve"> requise. Une telle restriction de la possibilité d’utilisation des pesticides contenant du glyphosate affecte donc leur commercialisation (voir, par analogie, arrêt du 13 octobre 2016, M. et S., C‑303/15, EU:C:2016:771, point 26 et jurisprudence citée).</w:t>
      </w:r>
    </w:p>
    <w:p w14:paraId="4E3ACFAB"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413DA385" w14:textId="491A56DF"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40</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Toutefois, ainsi que l’indique la Commission dans ses observations écrites, pour que la mesure instituée par l’arrêté du 14 juillet 2017 puisse être qualifiée de « règle technique », relevant de la catégorie des « autres exigences », au sens de l’article 1er, paragraphe 1, sous d) et f), de la directive 2015/1535, il est nécessaire que la commercialisation de pesticides contenant du glyphosate soit influencée « de manière significative » par cette mesure.</w:t>
      </w:r>
    </w:p>
    <w:p w14:paraId="74B6FB55"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2AD4D9CD" w14:textId="50ABEE62"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4</w:t>
      </w:r>
      <w:r w:rsidR="00116D32">
        <w:rPr>
          <w:rFonts w:ascii="Times New Roman" w:hAnsi="Times New Roman" w:cs="Times New Roman"/>
          <w:i/>
          <w:iCs/>
          <w:sz w:val="20"/>
          <w:szCs w:val="20"/>
          <w:lang w:val="fr-BE"/>
        </w:rPr>
        <w:t xml:space="preserve">1. </w:t>
      </w:r>
      <w:r w:rsidRPr="00657816">
        <w:rPr>
          <w:rFonts w:ascii="Times New Roman" w:hAnsi="Times New Roman" w:cs="Times New Roman"/>
          <w:i/>
          <w:iCs/>
          <w:sz w:val="20"/>
          <w:szCs w:val="20"/>
          <w:lang w:val="fr-BE"/>
        </w:rPr>
        <w:t>Il incombe à la juridiction de renvoi de vérifier si tel est bien le cas en l’occurrence.</w:t>
      </w:r>
    </w:p>
    <w:p w14:paraId="42B452EE"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1ADE5CEA" w14:textId="14B71D63"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42</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Lors de cette appréciation, la juridiction de renvoi pourra tenir compte, notamment, du volume global des ventes de pesticides contenant du glyphosate sur le territoire de la Région flamande et de la modification des habitudes d’achat de chaque catégorie d’acheteurs, sur la base de la fréquence de leurs </w:t>
      </w:r>
      <w:r w:rsidRPr="00657816">
        <w:rPr>
          <w:rFonts w:ascii="Times New Roman" w:hAnsi="Times New Roman" w:cs="Times New Roman"/>
          <w:i/>
          <w:iCs/>
          <w:sz w:val="20"/>
          <w:szCs w:val="20"/>
          <w:lang w:val="fr-BE"/>
        </w:rPr>
        <w:lastRenderedPageBreak/>
        <w:t>achats et de la quantité de produit achetée, ainsi que du changement quant aux lieux d’achat et aux canaux de distribution. Dans ce contexte, cette juridiction pourra prendre en considération la mesure dans laquelle, d’une part, la demande des utilisateurs professionnels se substitue à celle des particuliers qui recourent aux services des premiers et, d’autre part, des utilisateurs particuliers se procurent désormais des pesticides sans glyphosate en lieu et place de ceux contenant cette substance. »</w:t>
      </w:r>
    </w:p>
    <w:p w14:paraId="527ECB91" w14:textId="77777777" w:rsidR="0076355C" w:rsidRDefault="0076355C" w:rsidP="00AA4F20">
      <w:pPr>
        <w:spacing w:after="0" w:line="240" w:lineRule="auto"/>
        <w:rPr>
          <w:lang w:val="fr-BE"/>
        </w:rPr>
      </w:pPr>
    </w:p>
    <w:p w14:paraId="759261C0" w14:textId="2CD1853B" w:rsidR="008E22D9" w:rsidRPr="0065781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5" w:history="1">
        <w:r w:rsidR="008E22D9" w:rsidRPr="0051744C">
          <w:rPr>
            <w:rStyle w:val="Hyperlink"/>
            <w:rFonts w:ascii="Times New Roman" w:eastAsia="Times New Roman" w:hAnsi="Times New Roman" w:cs="Times New Roman"/>
            <w:b/>
            <w:i/>
            <w:color w:val="0000FF"/>
            <w:szCs w:val="20"/>
            <w:lang w:val="fr" w:eastAsia="en-IE"/>
          </w:rPr>
          <w:t>Arrêt du 9 mars 2023</w:t>
        </w:r>
      </w:hyperlink>
      <w:r w:rsidR="008E22D9" w:rsidRPr="00657816">
        <w:rPr>
          <w:rFonts w:ascii="Times New Roman" w:eastAsia="Times New Roman" w:hAnsi="Times New Roman" w:cs="Times New Roman"/>
          <w:b/>
          <w:i/>
          <w:szCs w:val="20"/>
          <w:lang w:val="fr" w:eastAsia="en-IE"/>
        </w:rPr>
        <w:t xml:space="preserve">, </w:t>
      </w:r>
      <w:r w:rsidR="00437A3E" w:rsidRPr="00657816">
        <w:rPr>
          <w:rFonts w:ascii="Times New Roman" w:eastAsia="Times New Roman" w:hAnsi="Times New Roman" w:cs="Times New Roman"/>
          <w:b/>
          <w:i/>
          <w:szCs w:val="20"/>
          <w:lang w:val="fr" w:eastAsia="en-IE"/>
        </w:rPr>
        <w:t xml:space="preserve">Vapo Atlantic, </w:t>
      </w:r>
      <w:r w:rsidR="008E22D9" w:rsidRPr="00657816">
        <w:rPr>
          <w:rFonts w:ascii="Times New Roman" w:eastAsia="Times New Roman" w:hAnsi="Times New Roman" w:cs="Times New Roman"/>
          <w:b/>
          <w:i/>
          <w:szCs w:val="20"/>
          <w:lang w:val="fr-BE" w:eastAsia="en-IE"/>
        </w:rPr>
        <w:t>C</w:t>
      </w:r>
      <w:r w:rsidR="008E22D9" w:rsidRPr="00657816">
        <w:rPr>
          <w:rFonts w:ascii="Times New Roman" w:eastAsia="Times New Roman" w:hAnsi="Times New Roman" w:cs="Times New Roman"/>
          <w:b/>
          <w:i/>
          <w:szCs w:val="20"/>
          <w:lang w:val="fr-BE" w:eastAsia="en-IE"/>
        </w:rPr>
        <w:noBreakHyphen/>
        <w:t>604/21</w:t>
      </w:r>
      <w:r w:rsidR="008E22D9" w:rsidRPr="00657816">
        <w:rPr>
          <w:rFonts w:ascii="Times New Roman" w:eastAsia="Times New Roman" w:hAnsi="Times New Roman" w:cs="Times New Roman"/>
          <w:b/>
          <w:i/>
          <w:szCs w:val="20"/>
          <w:lang w:val="fr" w:eastAsia="en-IE"/>
        </w:rPr>
        <w:t xml:space="preserve">, </w:t>
      </w:r>
      <w:r w:rsidR="008E22D9" w:rsidRPr="00657816">
        <w:rPr>
          <w:rFonts w:ascii="Times New Roman" w:eastAsia="Times New Roman" w:hAnsi="Times New Roman" w:cs="Times New Roman"/>
          <w:b/>
          <w:i/>
          <w:szCs w:val="20"/>
          <w:lang w:val="fr-BE" w:eastAsia="en-IE"/>
        </w:rPr>
        <w:t>EU:C:2023:175</w:t>
      </w:r>
      <w:r w:rsidR="008E22D9" w:rsidRPr="00657816">
        <w:rPr>
          <w:rFonts w:ascii="Times New Roman" w:eastAsia="Times New Roman" w:hAnsi="Times New Roman" w:cs="Times New Roman"/>
          <w:b/>
          <w:i/>
          <w:szCs w:val="20"/>
          <w:lang w:val="fr" w:eastAsia="en-IE"/>
        </w:rPr>
        <w:t>, points 40 et 41</w:t>
      </w:r>
    </w:p>
    <w:p w14:paraId="0BBD0368" w14:textId="77777777" w:rsidR="008E22D9" w:rsidRPr="00657816"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6D385B9C" w14:textId="13C3CACC" w:rsidR="008E22D9" w:rsidRPr="00657816" w:rsidRDefault="008E22D9" w:rsidP="00AA4F20">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r w:rsidRPr="00657816">
        <w:rPr>
          <w:rFonts w:ascii="Times New Roman" w:eastAsia="Times New Roman" w:hAnsi="Times New Roman" w:cs="Times New Roman"/>
          <w:szCs w:val="20"/>
          <w:lang w:val="fr" w:eastAsia="en-IE"/>
        </w:rPr>
        <w:t xml:space="preserve">Une législation nationale qui exige des opérateurs mettant du carburant routier à la consommation qu’ils contribuent au respect des objectifs d’incorporation de biocarburants dans les carburants routiers est une </w:t>
      </w:r>
      <w:r w:rsidR="00EE4C2F">
        <w:rPr>
          <w:rFonts w:ascii="Times New Roman" w:eastAsia="Times New Roman" w:hAnsi="Times New Roman" w:cs="Times New Roman"/>
          <w:szCs w:val="20"/>
          <w:lang w:val="fr" w:eastAsia="en-IE"/>
        </w:rPr>
        <w:t>« </w:t>
      </w:r>
      <w:r w:rsidRPr="00657816">
        <w:rPr>
          <w:rFonts w:ascii="Times New Roman" w:eastAsia="Times New Roman" w:hAnsi="Times New Roman" w:cs="Times New Roman"/>
          <w:szCs w:val="20"/>
          <w:lang w:val="fr" w:eastAsia="en-IE"/>
        </w:rPr>
        <w:t xml:space="preserve">autre </w:t>
      </w:r>
      <w:r w:rsidR="00EE4C2F">
        <w:rPr>
          <w:rFonts w:ascii="Times New Roman" w:eastAsia="Times New Roman" w:hAnsi="Times New Roman" w:cs="Times New Roman"/>
          <w:szCs w:val="20"/>
          <w:lang w:val="fr" w:eastAsia="en-IE"/>
        </w:rPr>
        <w:t>exigence »</w:t>
      </w:r>
      <w:r w:rsidRPr="00657816">
        <w:rPr>
          <w:rFonts w:ascii="Times New Roman" w:eastAsia="Times New Roman" w:hAnsi="Times New Roman" w:cs="Times New Roman"/>
          <w:szCs w:val="20"/>
          <w:lang w:val="fr" w:eastAsia="en-IE"/>
        </w:rPr>
        <w:t xml:space="preserve"> car elle peut influencer de manière significative la commercialisation </w:t>
      </w:r>
      <w:r>
        <w:rPr>
          <w:rFonts w:ascii="Times New Roman" w:eastAsia="Times New Roman" w:hAnsi="Times New Roman" w:cs="Times New Roman"/>
          <w:szCs w:val="20"/>
          <w:lang w:val="fr" w:eastAsia="en-IE"/>
        </w:rPr>
        <w:t>des carburants</w:t>
      </w:r>
      <w:r w:rsidRPr="00657816">
        <w:rPr>
          <w:rFonts w:ascii="Times New Roman" w:eastAsia="Times New Roman" w:hAnsi="Times New Roman" w:cs="Times New Roman"/>
          <w:szCs w:val="20"/>
          <w:lang w:val="fr" w:eastAsia="en-IE"/>
        </w:rPr>
        <w:t>, en ce que sa méconnaissance est susceptible d’entraîner l’imposition d’une compensation financière.</w:t>
      </w:r>
    </w:p>
    <w:p w14:paraId="261F5DAB" w14:textId="77777777" w:rsidR="008E22D9" w:rsidRPr="00657816" w:rsidRDefault="008E22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1C59357A" w14:textId="5CB421E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 40</w:t>
      </w:r>
      <w:r w:rsidR="00116D32">
        <w:rPr>
          <w:rFonts w:ascii="Times New Roman" w:hAnsi="Times New Roman" w:cs="Times New Roman"/>
          <w:i/>
          <w:iCs/>
          <w:sz w:val="20"/>
          <w:szCs w:val="20"/>
          <w:lang w:val="fr-BE"/>
        </w:rPr>
        <w:t xml:space="preserve">. </w:t>
      </w:r>
      <w:r w:rsidR="004F52D0">
        <w:rPr>
          <w:rFonts w:ascii="Times New Roman" w:hAnsi="Times New Roman" w:cs="Times New Roman"/>
          <w:i/>
          <w:iCs/>
          <w:sz w:val="20"/>
          <w:szCs w:val="20"/>
          <w:lang w:val="fr-BE"/>
        </w:rPr>
        <w:t>[…]</w:t>
      </w:r>
      <w:r w:rsidRPr="00657816">
        <w:rPr>
          <w:rFonts w:ascii="Times New Roman" w:hAnsi="Times New Roman" w:cs="Times New Roman"/>
          <w:i/>
          <w:iCs/>
          <w:sz w:val="20"/>
          <w:szCs w:val="20"/>
          <w:lang w:val="fr-BE"/>
        </w:rPr>
        <w:t xml:space="preserve"> les interrogations de la juridiction de renvoi portent sur une réglementation nationale qui exige des opérateurs économiques qui procèdent à la mise à la consommation de carburants routiers, à l’exception du GPL et du gaz naturel, qu’ils contribuent au respect des objectifs d’incorporation de biocarburants dans les quantités annuelles de carburants routiers qu’ils mettent à la consommation, à savoir un objectif de 10 % au titre de l’année 2020. Même si une telle réglementation ne précise pas le type de carburant routier visé, ni ne fixe de pourcentage de biocarburant devant être physiquement incorporé dans les carburants routiers, ni ne précise le type de biocarburant à incorporer, l’exigence qu’elle prévoit, adoptée à des fins de protection de l’environnement, vise le cycle de vie des carburants routiers après leur mise sur le marché et peut influencer de manière significative la commercialisation desdits produits, en ce que la méconnaissance de l’obligation d’incorporation de biocarburants qu’elle prévoit est susceptible d’entraîner l’imposition d’une compensation financière.</w:t>
      </w:r>
    </w:p>
    <w:p w14:paraId="25654052" w14:textId="77777777" w:rsidR="008E22D9" w:rsidRPr="00657816" w:rsidRDefault="008E22D9" w:rsidP="00AA4F20">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0CF99144" w14:textId="387928A5" w:rsidR="008E22D9" w:rsidRPr="006141C3" w:rsidRDefault="008E22D9"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41</w:t>
      </w:r>
      <w:r w:rsidR="00116D32">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Il en découle qu’une réglementation nationale qui fixe un objectif tenant à l’incorporation de 10 % de biocarburants aux carburants routiers mis à la consommation par un opérateur économique au titre de l’année 2020 relève de la notion d’« autre exigence », au sens de l’article 1er, point 4, de la directive 98/34, et constitue ainsi une « règle technique », au sens de l’article 1er, point 11, de cette directive. »</w:t>
      </w:r>
    </w:p>
    <w:p w14:paraId="125AEC7E" w14:textId="0EE6A37D" w:rsidR="008E22D9" w:rsidRDefault="008E22D9" w:rsidP="00AA4F20">
      <w:pPr>
        <w:spacing w:after="0" w:line="240" w:lineRule="auto"/>
        <w:rPr>
          <w:lang w:val="fr-BE"/>
        </w:rPr>
      </w:pPr>
      <w:r>
        <w:rPr>
          <w:lang w:val="fr-BE"/>
        </w:rPr>
        <w:br w:type="page"/>
      </w:r>
    </w:p>
    <w:p w14:paraId="39F57DA0" w14:textId="53965CA7" w:rsidR="008E22D9" w:rsidRPr="00745699" w:rsidRDefault="00745699" w:rsidP="002C17AE">
      <w:pPr>
        <w:pStyle w:val="Heading2"/>
        <w:spacing w:after="0"/>
        <w:jc w:val="center"/>
        <w:rPr>
          <w:color w:val="auto"/>
          <w:lang w:val="fr-BE"/>
        </w:rPr>
      </w:pPr>
      <w:bookmarkStart w:id="44" w:name="_Toc203035381"/>
      <w:r w:rsidRPr="00745699">
        <w:rPr>
          <w:color w:val="auto"/>
          <w:lang w:val="fr-BE"/>
        </w:rPr>
        <w:lastRenderedPageBreak/>
        <w:t xml:space="preserve">d. </w:t>
      </w:r>
      <w:bookmarkStart w:id="45" w:name="_Ref194484508"/>
      <w:r w:rsidR="008E22D9" w:rsidRPr="00745699">
        <w:rPr>
          <w:color w:val="auto"/>
          <w:lang w:val="fr-BE"/>
        </w:rPr>
        <w:t>Règles relatives aux services</w:t>
      </w:r>
      <w:bookmarkEnd w:id="45"/>
      <w:bookmarkEnd w:id="44"/>
    </w:p>
    <w:p w14:paraId="19E12A03" w14:textId="77777777" w:rsidR="008E22D9" w:rsidRDefault="008E22D9" w:rsidP="00AA4F20">
      <w:pPr>
        <w:pStyle w:val="BodyText"/>
      </w:pPr>
    </w:p>
    <w:p w14:paraId="6E15621F" w14:textId="77777777" w:rsidR="008E22D9" w:rsidRDefault="008E22D9" w:rsidP="00AA4F20">
      <w:pPr>
        <w:pStyle w:val="BodyText"/>
        <w:ind w:left="567"/>
        <w:rPr>
          <w:i/>
          <w:iCs/>
          <w:lang w:val="fr-BE"/>
        </w:rPr>
      </w:pPr>
      <w:r w:rsidRPr="002A04C0">
        <w:rPr>
          <w:i/>
          <w:iCs/>
          <w:lang w:val="fr-BE"/>
        </w:rPr>
        <w:t>« </w:t>
      </w:r>
      <w:r w:rsidRPr="00AE28CE">
        <w:rPr>
          <w:i/>
          <w:iCs/>
          <w:lang w:val="fr-BE"/>
        </w:rPr>
        <w:t xml:space="preserve">«règle relative aux services», une exigence de nature générale relative à l'accès aux activités de services au sens du point b) et à leur exercice, notamment les dispositions relatives au prestataire de services, aux services et au destinataire de services, à l'exclusion des règles qui ne visent pas spécifiquement les services définis audit point. </w:t>
      </w:r>
    </w:p>
    <w:p w14:paraId="45621F78" w14:textId="77777777" w:rsidR="008E22D9" w:rsidRDefault="008E22D9" w:rsidP="00AA4F20">
      <w:pPr>
        <w:pStyle w:val="BodyText"/>
        <w:ind w:left="567"/>
        <w:rPr>
          <w:i/>
          <w:iCs/>
          <w:lang w:val="fr-BE"/>
        </w:rPr>
      </w:pPr>
    </w:p>
    <w:p w14:paraId="605E211F" w14:textId="77777777" w:rsidR="008E22D9" w:rsidRDefault="008E22D9" w:rsidP="00AA4F20">
      <w:pPr>
        <w:pStyle w:val="BodyText"/>
        <w:ind w:left="567"/>
        <w:rPr>
          <w:i/>
          <w:iCs/>
          <w:lang w:val="fr-BE"/>
        </w:rPr>
      </w:pPr>
      <w:r w:rsidRPr="00AE28CE">
        <w:rPr>
          <w:i/>
          <w:iCs/>
          <w:lang w:val="fr-BE"/>
        </w:rPr>
        <w:t xml:space="preserve">Aux fins de la présente définition: </w:t>
      </w:r>
    </w:p>
    <w:p w14:paraId="16299CFF" w14:textId="77777777" w:rsidR="008E22D9" w:rsidRDefault="008E22D9" w:rsidP="00AA4F20">
      <w:pPr>
        <w:pStyle w:val="BodyText"/>
        <w:ind w:left="567"/>
        <w:rPr>
          <w:i/>
          <w:iCs/>
          <w:lang w:val="fr-BE"/>
        </w:rPr>
      </w:pPr>
    </w:p>
    <w:p w14:paraId="5578AA58" w14:textId="77777777" w:rsidR="008E22D9" w:rsidRDefault="008E22D9" w:rsidP="00AA4F20">
      <w:pPr>
        <w:pStyle w:val="BodyText"/>
        <w:numPr>
          <w:ilvl w:val="0"/>
          <w:numId w:val="4"/>
        </w:numPr>
        <w:rPr>
          <w:i/>
          <w:iCs/>
          <w:lang w:val="fr-BE"/>
        </w:rPr>
      </w:pPr>
      <w:r w:rsidRPr="00AE28CE">
        <w:rPr>
          <w:i/>
          <w:iCs/>
          <w:lang w:val="fr-BE"/>
        </w:rPr>
        <w:t>une règle est considérée comme visant spécifiquement les services de la société de l'information lorsque, au regard de sa motivation et du texte de son dispositif, elle a pour finalité et pour objet spécifiques, dans sa totalité ou dans certaines dispositions ponctuelles, de réglementer de manière explicite et ciblée ces services;</w:t>
      </w:r>
    </w:p>
    <w:p w14:paraId="112BC54B" w14:textId="77777777" w:rsidR="008E22D9" w:rsidRPr="00AE28CE" w:rsidRDefault="008E22D9" w:rsidP="00AA4F20">
      <w:pPr>
        <w:pStyle w:val="BodyText"/>
        <w:numPr>
          <w:ilvl w:val="0"/>
          <w:numId w:val="4"/>
        </w:numPr>
        <w:rPr>
          <w:i/>
          <w:iCs/>
          <w:lang w:val="fr-BE"/>
        </w:rPr>
      </w:pPr>
      <w:r w:rsidRPr="00AE28CE">
        <w:rPr>
          <w:i/>
          <w:iCs/>
          <w:lang w:val="fr-BE"/>
        </w:rPr>
        <w:t>une règle n'est pas considérée comme visant spécifiquement les services de la société de l'information si elle ne concerne ces services que d'une manière implicite ou incidente</w:t>
      </w:r>
      <w:r>
        <w:rPr>
          <w:i/>
          <w:iCs/>
          <w:lang w:val="fr-BE"/>
        </w:rPr>
        <w:t> ; »</w:t>
      </w:r>
    </w:p>
    <w:p w14:paraId="573C811F" w14:textId="77777777" w:rsidR="008E22D9" w:rsidRPr="002A04C0" w:rsidRDefault="008E22D9" w:rsidP="00AA4F20">
      <w:pPr>
        <w:pStyle w:val="BodyText"/>
        <w:ind w:left="567"/>
        <w:rPr>
          <w:i/>
          <w:iCs/>
          <w:lang w:val="fr-BE"/>
        </w:rPr>
      </w:pPr>
    </w:p>
    <w:p w14:paraId="2735376A" w14:textId="19D30F87" w:rsidR="00973E73" w:rsidRPr="00551C5D" w:rsidRDefault="008E22D9" w:rsidP="00551C5D">
      <w:pPr>
        <w:pStyle w:val="BodyText"/>
        <w:ind w:left="1440"/>
        <w:jc w:val="right"/>
      </w:pPr>
      <w:r>
        <w:t xml:space="preserve">(article </w:t>
      </w:r>
      <w:r w:rsidR="000A18C4">
        <w:t>1</w:t>
      </w:r>
      <w:r w:rsidR="000A18C4" w:rsidRPr="000A18C4">
        <w:rPr>
          <w:vertAlign w:val="superscript"/>
        </w:rPr>
        <w:t>er</w:t>
      </w:r>
      <w:r w:rsidRPr="00311E84">
        <w:t xml:space="preserve">, paragraphe 1, </w:t>
      </w:r>
      <w:r w:rsidR="001305B4">
        <w:t>point</w:t>
      </w:r>
      <w:r w:rsidRPr="00311E84">
        <w:t xml:space="preserve"> </w:t>
      </w:r>
      <w:r>
        <w:t>e</w:t>
      </w:r>
      <w:r w:rsidR="00B63F8E">
        <w:t>)</w:t>
      </w:r>
      <w:r>
        <w:t xml:space="preserve">, de la directive </w:t>
      </w:r>
      <w:r w:rsidR="006C60E5">
        <w:t xml:space="preserve">(UE) </w:t>
      </w:r>
      <w:r>
        <w:t>2015/1535</w:t>
      </w:r>
      <w:r w:rsidRPr="00311E84">
        <w:t>)</w:t>
      </w:r>
    </w:p>
    <w:p w14:paraId="2412BA9D" w14:textId="7742CFA6" w:rsidR="0023316E" w:rsidRDefault="0023316E" w:rsidP="00AA4F20">
      <w:pPr>
        <w:spacing w:after="0" w:line="240" w:lineRule="auto"/>
        <w:rPr>
          <w:lang w:val="fr-BE"/>
        </w:rPr>
      </w:pPr>
    </w:p>
    <w:p w14:paraId="15D2EC4B" w14:textId="1619707A" w:rsidR="0023316E" w:rsidRDefault="0023316E" w:rsidP="0023316E">
      <w:pPr>
        <w:spacing w:after="0" w:line="240" w:lineRule="auto"/>
        <w:ind w:left="567"/>
        <w:jc w:val="both"/>
        <w:rPr>
          <w:rFonts w:ascii="Times New Roman" w:hAnsi="Times New Roman" w:cs="Times New Roman"/>
          <w:i/>
          <w:iCs/>
          <w:sz w:val="24"/>
          <w:szCs w:val="24"/>
          <w:lang w:val="fr-BE"/>
        </w:rPr>
      </w:pPr>
      <w:r>
        <w:rPr>
          <w:rFonts w:ascii="Times New Roman" w:hAnsi="Times New Roman" w:cs="Times New Roman"/>
          <w:i/>
          <w:iCs/>
          <w:sz w:val="24"/>
          <w:szCs w:val="24"/>
          <w:lang w:val="fr-BE"/>
        </w:rPr>
        <w:t>« </w:t>
      </w:r>
      <w:r w:rsidRPr="0023316E">
        <w:rPr>
          <w:rFonts w:ascii="Times New Roman" w:hAnsi="Times New Roman" w:cs="Times New Roman"/>
          <w:i/>
          <w:iCs/>
          <w:sz w:val="24"/>
          <w:szCs w:val="24"/>
          <w:lang w:val="fr-BE"/>
        </w:rPr>
        <w:t xml:space="preserve">b) «service», tout service de la société de l'information, c'est-à-dire tout service presté normalement contre rémunération, à distance, par voie électronique et à la demande individuelle d'un destinataire de services. </w:t>
      </w:r>
    </w:p>
    <w:p w14:paraId="43B5DBFC" w14:textId="77777777" w:rsidR="0023316E" w:rsidRPr="0023316E" w:rsidRDefault="0023316E" w:rsidP="0023316E">
      <w:pPr>
        <w:spacing w:after="0" w:line="240" w:lineRule="auto"/>
        <w:ind w:left="567"/>
        <w:jc w:val="both"/>
        <w:rPr>
          <w:rFonts w:ascii="Times New Roman" w:hAnsi="Times New Roman" w:cs="Times New Roman"/>
          <w:i/>
          <w:iCs/>
          <w:sz w:val="24"/>
          <w:szCs w:val="24"/>
          <w:lang w:val="fr-BE"/>
        </w:rPr>
      </w:pPr>
    </w:p>
    <w:p w14:paraId="57BFB9D6" w14:textId="77777777" w:rsidR="0023316E" w:rsidRPr="0023316E" w:rsidRDefault="0023316E" w:rsidP="0023316E">
      <w:pPr>
        <w:spacing w:after="0" w:line="240" w:lineRule="auto"/>
        <w:ind w:left="567"/>
        <w:jc w:val="both"/>
        <w:rPr>
          <w:rFonts w:ascii="Times New Roman" w:hAnsi="Times New Roman" w:cs="Times New Roman"/>
          <w:i/>
          <w:iCs/>
          <w:sz w:val="24"/>
          <w:szCs w:val="24"/>
          <w:lang w:val="fr-BE"/>
        </w:rPr>
      </w:pPr>
      <w:r w:rsidRPr="0023316E">
        <w:rPr>
          <w:rFonts w:ascii="Times New Roman" w:hAnsi="Times New Roman" w:cs="Times New Roman"/>
          <w:i/>
          <w:iCs/>
          <w:sz w:val="24"/>
          <w:szCs w:val="24"/>
          <w:lang w:val="fr-BE"/>
        </w:rPr>
        <w:t xml:space="preserve">Aux fins de la présente définition, on entend par: </w:t>
      </w:r>
    </w:p>
    <w:p w14:paraId="71491DE6" w14:textId="77777777" w:rsidR="0023316E" w:rsidRPr="0023316E" w:rsidRDefault="0023316E" w:rsidP="0023316E">
      <w:pPr>
        <w:spacing w:after="0" w:line="240" w:lineRule="auto"/>
        <w:ind w:left="1287" w:firstLine="153"/>
        <w:jc w:val="both"/>
        <w:rPr>
          <w:rFonts w:ascii="Times New Roman" w:hAnsi="Times New Roman" w:cs="Times New Roman"/>
          <w:i/>
          <w:iCs/>
          <w:sz w:val="24"/>
          <w:szCs w:val="24"/>
          <w:lang w:val="fr-BE"/>
        </w:rPr>
      </w:pPr>
      <w:r w:rsidRPr="0023316E">
        <w:rPr>
          <w:rFonts w:ascii="Times New Roman" w:hAnsi="Times New Roman" w:cs="Times New Roman"/>
          <w:i/>
          <w:iCs/>
          <w:sz w:val="24"/>
          <w:szCs w:val="24"/>
          <w:lang w:val="fr-BE"/>
        </w:rPr>
        <w:t xml:space="preserve">i) «à distance», un service fourni sans que les parties soient simultanément présentes; </w:t>
      </w:r>
    </w:p>
    <w:p w14:paraId="136758AA" w14:textId="05EF38CD" w:rsidR="0023316E" w:rsidRPr="0023316E" w:rsidRDefault="0023316E" w:rsidP="0023316E">
      <w:pPr>
        <w:spacing w:after="0" w:line="240" w:lineRule="auto"/>
        <w:ind w:left="1287" w:firstLine="153"/>
        <w:jc w:val="both"/>
        <w:rPr>
          <w:rFonts w:ascii="Times New Roman" w:hAnsi="Times New Roman" w:cs="Times New Roman"/>
          <w:i/>
          <w:iCs/>
          <w:sz w:val="24"/>
          <w:szCs w:val="24"/>
          <w:lang w:val="fr-BE"/>
        </w:rPr>
      </w:pPr>
      <w:r w:rsidRPr="0023316E">
        <w:rPr>
          <w:rFonts w:ascii="Times New Roman" w:hAnsi="Times New Roman" w:cs="Times New Roman"/>
          <w:i/>
          <w:iCs/>
          <w:sz w:val="24"/>
          <w:szCs w:val="24"/>
          <w:lang w:val="fr-BE"/>
        </w:rPr>
        <w:t xml:space="preserve">ii) «par voie électronique», un service envoyé à l'origine et reçu à destination au moyen d'équipements électroniques de traitement (y compris la compression numérique) et de stockage de données, et qui est entièrement transmis, acheminé et reçu par fils, par radio, par moyens optiques ou par d'autres moyens électromagnétiques; </w:t>
      </w:r>
    </w:p>
    <w:p w14:paraId="519ECD67" w14:textId="4562BD81" w:rsidR="0023316E" w:rsidRDefault="0023316E" w:rsidP="0023316E">
      <w:pPr>
        <w:spacing w:after="0" w:line="240" w:lineRule="auto"/>
        <w:ind w:left="1287" w:firstLine="153"/>
        <w:jc w:val="both"/>
        <w:rPr>
          <w:rFonts w:ascii="Times New Roman" w:hAnsi="Times New Roman" w:cs="Times New Roman"/>
          <w:i/>
          <w:iCs/>
          <w:sz w:val="24"/>
          <w:szCs w:val="24"/>
          <w:lang w:val="fr-BE"/>
        </w:rPr>
      </w:pPr>
      <w:r w:rsidRPr="0023316E">
        <w:rPr>
          <w:rFonts w:ascii="Times New Roman" w:hAnsi="Times New Roman" w:cs="Times New Roman"/>
          <w:i/>
          <w:iCs/>
          <w:sz w:val="24"/>
          <w:szCs w:val="24"/>
          <w:lang w:val="fr-BE"/>
        </w:rPr>
        <w:t xml:space="preserve">iii) «à la demande individuelle d'un destinataire de services», un service fourni par transmission de données sur demande individuelle. </w:t>
      </w:r>
    </w:p>
    <w:p w14:paraId="20B03B12" w14:textId="77777777" w:rsidR="0023316E" w:rsidRPr="0023316E" w:rsidRDefault="0023316E" w:rsidP="0023316E">
      <w:pPr>
        <w:spacing w:after="0" w:line="240" w:lineRule="auto"/>
        <w:ind w:left="720" w:firstLine="720"/>
        <w:jc w:val="both"/>
        <w:rPr>
          <w:rFonts w:ascii="Times New Roman" w:hAnsi="Times New Roman" w:cs="Times New Roman"/>
          <w:i/>
          <w:iCs/>
          <w:sz w:val="24"/>
          <w:szCs w:val="24"/>
          <w:lang w:val="fr-BE"/>
        </w:rPr>
      </w:pPr>
    </w:p>
    <w:p w14:paraId="272EC227" w14:textId="190F850D" w:rsidR="0023316E" w:rsidRDefault="0023316E" w:rsidP="0023316E">
      <w:pPr>
        <w:spacing w:after="0" w:line="240" w:lineRule="auto"/>
        <w:ind w:left="567"/>
        <w:jc w:val="both"/>
        <w:rPr>
          <w:rFonts w:ascii="Times New Roman" w:hAnsi="Times New Roman" w:cs="Times New Roman"/>
          <w:i/>
          <w:iCs/>
          <w:sz w:val="24"/>
          <w:szCs w:val="24"/>
          <w:lang w:val="fr-BE"/>
        </w:rPr>
      </w:pPr>
      <w:r w:rsidRPr="0023316E">
        <w:rPr>
          <w:rFonts w:ascii="Times New Roman" w:hAnsi="Times New Roman" w:cs="Times New Roman"/>
          <w:i/>
          <w:iCs/>
          <w:sz w:val="24"/>
          <w:szCs w:val="24"/>
          <w:lang w:val="fr-BE"/>
        </w:rPr>
        <w:t>Une liste indicative des services non visés par cette définition figure à l'annexe I;</w:t>
      </w:r>
      <w:r>
        <w:rPr>
          <w:rFonts w:ascii="Times New Roman" w:hAnsi="Times New Roman" w:cs="Times New Roman"/>
          <w:i/>
          <w:iCs/>
          <w:sz w:val="24"/>
          <w:szCs w:val="24"/>
          <w:lang w:val="fr-BE"/>
        </w:rPr>
        <w:t> »</w:t>
      </w:r>
      <w:r w:rsidRPr="0023316E">
        <w:rPr>
          <w:rFonts w:ascii="Times New Roman" w:hAnsi="Times New Roman" w:cs="Times New Roman"/>
          <w:i/>
          <w:iCs/>
          <w:sz w:val="24"/>
          <w:szCs w:val="24"/>
          <w:lang w:val="fr-BE"/>
        </w:rPr>
        <w:t xml:space="preserve"> </w:t>
      </w:r>
    </w:p>
    <w:p w14:paraId="11E4DACC" w14:textId="77777777" w:rsidR="0023316E" w:rsidRDefault="0023316E" w:rsidP="0023316E">
      <w:pPr>
        <w:spacing w:after="0" w:line="240" w:lineRule="auto"/>
        <w:ind w:left="567"/>
        <w:jc w:val="both"/>
        <w:rPr>
          <w:rFonts w:ascii="Times New Roman" w:hAnsi="Times New Roman" w:cs="Times New Roman"/>
          <w:i/>
          <w:iCs/>
          <w:sz w:val="24"/>
          <w:szCs w:val="24"/>
          <w:lang w:val="fr-BE"/>
        </w:rPr>
      </w:pPr>
    </w:p>
    <w:p w14:paraId="6EAE1680" w14:textId="1D75C08B" w:rsidR="0023316E" w:rsidRPr="00551C5D" w:rsidRDefault="0023316E" w:rsidP="0023316E">
      <w:pPr>
        <w:pStyle w:val="BodyText"/>
        <w:ind w:left="1440"/>
        <w:jc w:val="right"/>
      </w:pPr>
      <w:r>
        <w:t>(article 1</w:t>
      </w:r>
      <w:r w:rsidRPr="000A18C4">
        <w:rPr>
          <w:vertAlign w:val="superscript"/>
        </w:rPr>
        <w:t>er</w:t>
      </w:r>
      <w:r w:rsidRPr="00311E84">
        <w:t xml:space="preserve">, paragraphe 1, </w:t>
      </w:r>
      <w:r>
        <w:t>point</w:t>
      </w:r>
      <w:r w:rsidRPr="00311E84">
        <w:t xml:space="preserve"> </w:t>
      </w:r>
      <w:r>
        <w:t xml:space="preserve">b), de la directive </w:t>
      </w:r>
      <w:r w:rsidR="006C60E5">
        <w:t xml:space="preserve">(UE) </w:t>
      </w:r>
      <w:r>
        <w:t>2015/1535</w:t>
      </w:r>
      <w:r w:rsidRPr="00311E84">
        <w:t>)</w:t>
      </w:r>
    </w:p>
    <w:p w14:paraId="3979F0D8" w14:textId="77777777" w:rsidR="0023316E" w:rsidRPr="0023316E" w:rsidRDefault="0023316E" w:rsidP="0023316E">
      <w:pPr>
        <w:spacing w:after="0" w:line="240" w:lineRule="auto"/>
        <w:ind w:left="567"/>
        <w:jc w:val="both"/>
        <w:rPr>
          <w:rFonts w:ascii="Times New Roman" w:hAnsi="Times New Roman" w:cs="Times New Roman"/>
          <w:i/>
          <w:iCs/>
          <w:sz w:val="24"/>
          <w:szCs w:val="24"/>
          <w:lang w:val="fr"/>
        </w:rPr>
      </w:pPr>
    </w:p>
    <w:p w14:paraId="325579F5" w14:textId="47DB0C76" w:rsidR="00D17E5E" w:rsidRPr="00D17E5E" w:rsidRDefault="00D17E5E" w:rsidP="0023316E">
      <w:pPr>
        <w:spacing w:after="0" w:line="240" w:lineRule="auto"/>
        <w:ind w:left="567"/>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 Liste indicative des services non couverts par l'article 1er, paragraphe 1, point b), deuxième alinéa </w:t>
      </w:r>
    </w:p>
    <w:p w14:paraId="2833D888" w14:textId="77777777" w:rsidR="00D17E5E" w:rsidRPr="00D17E5E" w:rsidRDefault="00D17E5E" w:rsidP="00D17E5E">
      <w:pPr>
        <w:spacing w:after="0" w:line="240" w:lineRule="auto"/>
        <w:ind w:left="567"/>
        <w:jc w:val="both"/>
        <w:rPr>
          <w:rFonts w:ascii="Times New Roman" w:hAnsi="Times New Roman" w:cs="Times New Roman"/>
          <w:i/>
          <w:iCs/>
          <w:sz w:val="24"/>
          <w:szCs w:val="24"/>
          <w:lang w:val="fr-BE"/>
        </w:rPr>
      </w:pPr>
    </w:p>
    <w:p w14:paraId="14346C5F" w14:textId="4128E37C" w:rsidR="00D17E5E" w:rsidRPr="00D17E5E" w:rsidRDefault="00D17E5E" w:rsidP="00D17E5E">
      <w:pPr>
        <w:pStyle w:val="ListParagraph"/>
        <w:numPr>
          <w:ilvl w:val="0"/>
          <w:numId w:val="21"/>
        </w:numPr>
        <w:spacing w:after="0" w:line="240" w:lineRule="auto"/>
        <w:jc w:val="center"/>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Services non fournis «à distance»</w:t>
      </w:r>
    </w:p>
    <w:p w14:paraId="6100CD1F" w14:textId="77777777" w:rsidR="00D17E5E" w:rsidRPr="00D17E5E" w:rsidRDefault="00D17E5E" w:rsidP="00D17E5E">
      <w:pPr>
        <w:pStyle w:val="ListParagraph"/>
        <w:spacing w:after="0" w:line="240" w:lineRule="auto"/>
        <w:ind w:left="927"/>
        <w:jc w:val="both"/>
        <w:rPr>
          <w:rFonts w:ascii="Times New Roman" w:hAnsi="Times New Roman" w:cs="Times New Roman"/>
          <w:i/>
          <w:iCs/>
          <w:sz w:val="24"/>
          <w:szCs w:val="24"/>
          <w:lang w:val="fr-BE"/>
        </w:rPr>
      </w:pPr>
    </w:p>
    <w:p w14:paraId="188578A5" w14:textId="0115A234" w:rsidR="00D17E5E" w:rsidRPr="00D17E5E" w:rsidRDefault="00D17E5E" w:rsidP="00D17E5E">
      <w:pPr>
        <w:spacing w:after="0" w:line="240" w:lineRule="auto"/>
        <w:ind w:left="567"/>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prestés en présence physique du prestataire et du destinataire, même s'ils impliquent l'utilisation de dispositifs électroniques: </w:t>
      </w:r>
    </w:p>
    <w:p w14:paraId="5E2B684D" w14:textId="5865C531" w:rsidR="00D17E5E" w:rsidRPr="00D17E5E" w:rsidRDefault="00D17E5E" w:rsidP="00D17E5E">
      <w:pPr>
        <w:pStyle w:val="ListParagraph"/>
        <w:numPr>
          <w:ilvl w:val="0"/>
          <w:numId w:val="22"/>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examen ou traitement dans un cabinet de médecin au moyen d'équipements électroniques, mais en présence physique du patient; </w:t>
      </w:r>
    </w:p>
    <w:p w14:paraId="1CE4E99D" w14:textId="3C670CE0" w:rsidR="00D17E5E" w:rsidRPr="00D17E5E" w:rsidRDefault="00D17E5E" w:rsidP="00D17E5E">
      <w:pPr>
        <w:pStyle w:val="ListParagraph"/>
        <w:numPr>
          <w:ilvl w:val="0"/>
          <w:numId w:val="22"/>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consultation d'un catalogue électronique dans un magasin en présence physique du client; </w:t>
      </w:r>
    </w:p>
    <w:p w14:paraId="23924450" w14:textId="52B9C929" w:rsidR="00D17E5E" w:rsidRPr="00D17E5E" w:rsidRDefault="00D17E5E" w:rsidP="00D17E5E">
      <w:pPr>
        <w:pStyle w:val="ListParagraph"/>
        <w:numPr>
          <w:ilvl w:val="0"/>
          <w:numId w:val="22"/>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lastRenderedPageBreak/>
        <w:t xml:space="preserve">réservation d'un billet d'avion via un réseau d'ordinateurs dans une agence de voyage en présence physique du client; </w:t>
      </w:r>
    </w:p>
    <w:p w14:paraId="2C022EC1" w14:textId="7CEEC504" w:rsidR="00D17E5E" w:rsidRPr="00D17E5E" w:rsidRDefault="00D17E5E" w:rsidP="00D17E5E">
      <w:pPr>
        <w:pStyle w:val="ListParagraph"/>
        <w:numPr>
          <w:ilvl w:val="0"/>
          <w:numId w:val="22"/>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mise à disposition de jeux électroniques dans une galerie en présence physique de l'utilisateur. </w:t>
      </w:r>
    </w:p>
    <w:p w14:paraId="756D6702" w14:textId="77777777" w:rsidR="00D17E5E" w:rsidRPr="00D17E5E" w:rsidRDefault="00D17E5E" w:rsidP="00D17E5E">
      <w:pPr>
        <w:pStyle w:val="ListParagraph"/>
        <w:spacing w:after="0" w:line="240" w:lineRule="auto"/>
        <w:ind w:left="927"/>
        <w:jc w:val="both"/>
        <w:rPr>
          <w:rFonts w:ascii="Times New Roman" w:hAnsi="Times New Roman" w:cs="Times New Roman"/>
          <w:i/>
          <w:iCs/>
          <w:sz w:val="24"/>
          <w:szCs w:val="24"/>
          <w:lang w:val="fr-BE"/>
        </w:rPr>
      </w:pPr>
    </w:p>
    <w:p w14:paraId="48B7FE02" w14:textId="1FCF01BD" w:rsidR="00D17E5E" w:rsidRPr="00D17E5E" w:rsidRDefault="00D17E5E" w:rsidP="00D17E5E">
      <w:pPr>
        <w:pStyle w:val="ListParagraph"/>
        <w:numPr>
          <w:ilvl w:val="0"/>
          <w:numId w:val="21"/>
        </w:numPr>
        <w:spacing w:after="0" w:line="240" w:lineRule="auto"/>
        <w:jc w:val="center"/>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Services non fournis «par voie électronique»</w:t>
      </w:r>
    </w:p>
    <w:p w14:paraId="54A3826A" w14:textId="77777777" w:rsidR="00D17E5E" w:rsidRPr="00D17E5E" w:rsidRDefault="00D17E5E" w:rsidP="0023316E">
      <w:pPr>
        <w:pStyle w:val="ListParagraph"/>
        <w:spacing w:after="0" w:line="240" w:lineRule="auto"/>
        <w:ind w:left="927"/>
        <w:rPr>
          <w:rFonts w:ascii="Times New Roman" w:hAnsi="Times New Roman" w:cs="Times New Roman"/>
          <w:i/>
          <w:iCs/>
          <w:sz w:val="24"/>
          <w:szCs w:val="24"/>
          <w:lang w:val="fr-BE"/>
        </w:rPr>
      </w:pPr>
    </w:p>
    <w:p w14:paraId="29ABC04A" w14:textId="1A93EBCA" w:rsidR="00D17E5E" w:rsidRPr="00D17E5E" w:rsidRDefault="00D17E5E" w:rsidP="00D17E5E">
      <w:pPr>
        <w:pStyle w:val="ListParagraph"/>
        <w:numPr>
          <w:ilvl w:val="0"/>
          <w:numId w:val="25"/>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dont le contenu est matériel même s'ils impliquent l'utilisation de dispositifs électroniques: </w:t>
      </w:r>
    </w:p>
    <w:p w14:paraId="6F0925B5" w14:textId="77777777" w:rsidR="00D17E5E" w:rsidRPr="00D17E5E" w:rsidRDefault="00D17E5E" w:rsidP="00D17E5E">
      <w:pPr>
        <w:pStyle w:val="ListParagraph"/>
        <w:numPr>
          <w:ilvl w:val="0"/>
          <w:numId w:val="23"/>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distribution automatique de billets (billets de banque, billets de trains); </w:t>
      </w:r>
    </w:p>
    <w:p w14:paraId="4CF88950" w14:textId="77777777" w:rsidR="00D17E5E" w:rsidRPr="00D17E5E" w:rsidRDefault="00D17E5E" w:rsidP="00D17E5E">
      <w:pPr>
        <w:pStyle w:val="ListParagraph"/>
        <w:numPr>
          <w:ilvl w:val="0"/>
          <w:numId w:val="23"/>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accès aux réseaux routiers, parkings, etc., payants même si à l'entrée et/ou à la sortie des dispositifs électroniques </w:t>
      </w:r>
    </w:p>
    <w:p w14:paraId="75B8A5F0" w14:textId="77777777" w:rsidR="00D17E5E" w:rsidRPr="00D17E5E" w:rsidRDefault="00D17E5E" w:rsidP="00D17E5E">
      <w:pPr>
        <w:pStyle w:val="ListParagraph"/>
        <w:numPr>
          <w:ilvl w:val="0"/>
          <w:numId w:val="23"/>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interviennent pour contrôler l'accès et/ou assurer le paiement correct. </w:t>
      </w:r>
    </w:p>
    <w:p w14:paraId="7B61E236" w14:textId="77777777" w:rsidR="00D17E5E" w:rsidRPr="00D17E5E" w:rsidRDefault="00D17E5E" w:rsidP="00D17E5E">
      <w:pPr>
        <w:spacing w:after="0" w:line="240" w:lineRule="auto"/>
        <w:ind w:left="567"/>
        <w:jc w:val="both"/>
        <w:rPr>
          <w:rFonts w:ascii="Times New Roman" w:hAnsi="Times New Roman" w:cs="Times New Roman"/>
          <w:i/>
          <w:iCs/>
          <w:sz w:val="24"/>
          <w:szCs w:val="24"/>
          <w:lang w:val="fr-BE"/>
        </w:rPr>
      </w:pPr>
    </w:p>
    <w:p w14:paraId="07B9F563" w14:textId="04079190" w:rsidR="00D17E5E" w:rsidRPr="00D17E5E" w:rsidRDefault="00D17E5E" w:rsidP="00D17E5E">
      <w:pPr>
        <w:pStyle w:val="ListParagraph"/>
        <w:numPr>
          <w:ilvl w:val="0"/>
          <w:numId w:val="24"/>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«off-line»: distribution de CD-ROM ou de logiciels sur disquette. </w:t>
      </w:r>
    </w:p>
    <w:p w14:paraId="709F26E0" w14:textId="77777777" w:rsidR="00D17E5E" w:rsidRPr="00D17E5E" w:rsidRDefault="00D17E5E" w:rsidP="00D17E5E">
      <w:pPr>
        <w:pStyle w:val="ListParagraph"/>
        <w:numPr>
          <w:ilvl w:val="0"/>
          <w:numId w:val="24"/>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qui ne sont pas fournis au moyen de systèmes électroniques de stockage et de traitement de données: </w:t>
      </w:r>
    </w:p>
    <w:p w14:paraId="29B0F515" w14:textId="77777777"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 services de téléphonie vocale; </w:t>
      </w:r>
    </w:p>
    <w:p w14:paraId="19224670" w14:textId="77777777"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 services de télécopieur/télex; </w:t>
      </w:r>
    </w:p>
    <w:p w14:paraId="349D5688" w14:textId="77777777"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 services prestés par téléphonie vocale ou télécopieur; </w:t>
      </w:r>
    </w:p>
    <w:p w14:paraId="7315C53C" w14:textId="77777777"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consultation d'un médecin par téléphone/télécopieur; </w:t>
      </w:r>
    </w:p>
    <w:p w14:paraId="3C4C3887" w14:textId="77777777"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consultation d'un avocat par téléphone/télécopieur; </w:t>
      </w:r>
    </w:p>
    <w:p w14:paraId="453F7188" w14:textId="2F778745" w:rsidR="00D17E5E" w:rsidRPr="00D17E5E" w:rsidRDefault="00D17E5E" w:rsidP="00D17E5E">
      <w:pPr>
        <w:pStyle w:val="ListParagraph"/>
        <w:numPr>
          <w:ilvl w:val="0"/>
          <w:numId w:val="26"/>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marketing direct par téléphone/télécopieur. </w:t>
      </w:r>
    </w:p>
    <w:p w14:paraId="2076A280" w14:textId="77777777" w:rsidR="00D17E5E" w:rsidRPr="00D17E5E" w:rsidRDefault="00D17E5E" w:rsidP="00D17E5E">
      <w:pPr>
        <w:pStyle w:val="ListParagraph"/>
        <w:spacing w:after="0" w:line="240" w:lineRule="auto"/>
        <w:ind w:left="927"/>
        <w:jc w:val="both"/>
        <w:rPr>
          <w:rFonts w:ascii="Times New Roman" w:hAnsi="Times New Roman" w:cs="Times New Roman"/>
          <w:i/>
          <w:iCs/>
          <w:sz w:val="24"/>
          <w:szCs w:val="24"/>
          <w:lang w:val="fr-BE"/>
        </w:rPr>
      </w:pPr>
    </w:p>
    <w:p w14:paraId="136FF7E7" w14:textId="390FA57E" w:rsidR="00D17E5E" w:rsidRPr="0051744C" w:rsidRDefault="00D17E5E" w:rsidP="0051744C">
      <w:pPr>
        <w:pStyle w:val="ListParagraph"/>
        <w:numPr>
          <w:ilvl w:val="0"/>
          <w:numId w:val="21"/>
        </w:numPr>
        <w:spacing w:after="0" w:line="240" w:lineRule="auto"/>
        <w:jc w:val="center"/>
        <w:rPr>
          <w:rFonts w:ascii="Times New Roman" w:hAnsi="Times New Roman" w:cs="Times New Roman"/>
          <w:i/>
          <w:iCs/>
          <w:sz w:val="24"/>
          <w:szCs w:val="24"/>
          <w:lang w:val="fr-BE"/>
        </w:rPr>
      </w:pPr>
      <w:r w:rsidRPr="0051744C">
        <w:rPr>
          <w:rFonts w:ascii="Times New Roman" w:hAnsi="Times New Roman" w:cs="Times New Roman"/>
          <w:i/>
          <w:iCs/>
          <w:sz w:val="24"/>
          <w:szCs w:val="24"/>
          <w:lang w:val="fr-BE"/>
        </w:rPr>
        <w:t>Services non fournis «à la demande individuelle d'un destinataire de services»</w:t>
      </w:r>
    </w:p>
    <w:p w14:paraId="0D20A968" w14:textId="77777777" w:rsidR="0051744C" w:rsidRPr="0051744C" w:rsidRDefault="0051744C" w:rsidP="0051744C">
      <w:pPr>
        <w:pStyle w:val="ListParagraph"/>
        <w:spacing w:after="0" w:line="240" w:lineRule="auto"/>
        <w:ind w:left="927"/>
        <w:rPr>
          <w:rFonts w:ascii="Times New Roman" w:hAnsi="Times New Roman" w:cs="Times New Roman"/>
          <w:i/>
          <w:iCs/>
          <w:sz w:val="24"/>
          <w:szCs w:val="24"/>
          <w:lang w:val="fr-BE"/>
        </w:rPr>
      </w:pPr>
    </w:p>
    <w:p w14:paraId="5ECF1D22" w14:textId="77777777" w:rsidR="00D17E5E" w:rsidRPr="00D17E5E" w:rsidRDefault="00D17E5E" w:rsidP="00D17E5E">
      <w:pPr>
        <w:spacing w:after="0" w:line="240" w:lineRule="auto"/>
        <w:ind w:left="567"/>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fournis par l'envoi de données sans appel individuel et destinés à la réception simultanée d'un nombre illimité de destinataires (transmission «point à </w:t>
      </w:r>
      <w:proofErr w:type="spellStart"/>
      <w:r w:rsidRPr="00D17E5E">
        <w:rPr>
          <w:rFonts w:ascii="Times New Roman" w:hAnsi="Times New Roman" w:cs="Times New Roman"/>
          <w:i/>
          <w:iCs/>
          <w:sz w:val="24"/>
          <w:szCs w:val="24"/>
          <w:lang w:val="fr-BE"/>
        </w:rPr>
        <w:t>multi-point</w:t>
      </w:r>
      <w:proofErr w:type="spellEnd"/>
      <w:r w:rsidRPr="00D17E5E">
        <w:rPr>
          <w:rFonts w:ascii="Times New Roman" w:hAnsi="Times New Roman" w:cs="Times New Roman"/>
          <w:i/>
          <w:iCs/>
          <w:sz w:val="24"/>
          <w:szCs w:val="24"/>
          <w:lang w:val="fr-BE"/>
        </w:rPr>
        <w:t xml:space="preserve">»): </w:t>
      </w:r>
    </w:p>
    <w:p w14:paraId="38EEDAB7" w14:textId="77777777" w:rsidR="00D17E5E" w:rsidRPr="00D17E5E" w:rsidRDefault="00D17E5E" w:rsidP="00D17E5E">
      <w:pPr>
        <w:pStyle w:val="ListParagraph"/>
        <w:numPr>
          <w:ilvl w:val="0"/>
          <w:numId w:val="27"/>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de radiodiffusion télévisuelle (y compris la quasi-vidéo à la demande) visés à l'article 1er, paragraphe 1, point e), de la directive 2010/13/UE; </w:t>
      </w:r>
    </w:p>
    <w:p w14:paraId="65935DF5" w14:textId="77777777" w:rsidR="00D17E5E" w:rsidRPr="00D17E5E" w:rsidRDefault="00D17E5E" w:rsidP="00D17E5E">
      <w:pPr>
        <w:pStyle w:val="ListParagraph"/>
        <w:numPr>
          <w:ilvl w:val="0"/>
          <w:numId w:val="27"/>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 xml:space="preserve">services de radiodiffusion sonore; </w:t>
      </w:r>
    </w:p>
    <w:p w14:paraId="62A47551" w14:textId="02ED52EF" w:rsidR="00D17E5E" w:rsidRPr="00D17E5E" w:rsidRDefault="00D17E5E" w:rsidP="00D17E5E">
      <w:pPr>
        <w:pStyle w:val="ListParagraph"/>
        <w:numPr>
          <w:ilvl w:val="0"/>
          <w:numId w:val="27"/>
        </w:numPr>
        <w:spacing w:after="0" w:line="240" w:lineRule="auto"/>
        <w:jc w:val="both"/>
        <w:rPr>
          <w:rFonts w:ascii="Times New Roman" w:hAnsi="Times New Roman" w:cs="Times New Roman"/>
          <w:i/>
          <w:iCs/>
          <w:sz w:val="24"/>
          <w:szCs w:val="24"/>
          <w:lang w:val="fr-BE"/>
        </w:rPr>
      </w:pPr>
      <w:r w:rsidRPr="00D17E5E">
        <w:rPr>
          <w:rFonts w:ascii="Times New Roman" w:hAnsi="Times New Roman" w:cs="Times New Roman"/>
          <w:i/>
          <w:iCs/>
          <w:sz w:val="24"/>
          <w:szCs w:val="24"/>
          <w:lang w:val="fr-BE"/>
        </w:rPr>
        <w:t>télétexte (télévisuel). »</w:t>
      </w:r>
    </w:p>
    <w:p w14:paraId="50FD6B17" w14:textId="77777777" w:rsidR="00D17E5E" w:rsidRDefault="00D17E5E" w:rsidP="00AA4F20">
      <w:pPr>
        <w:spacing w:after="0" w:line="240" w:lineRule="auto"/>
        <w:rPr>
          <w:lang w:val="fr-BE"/>
        </w:rPr>
      </w:pPr>
    </w:p>
    <w:p w14:paraId="4CB8A09D" w14:textId="4A5F51AB" w:rsidR="00D17E5E" w:rsidRPr="00D17E5E" w:rsidRDefault="00D17E5E" w:rsidP="00D17E5E">
      <w:pPr>
        <w:pStyle w:val="BodyText"/>
        <w:ind w:left="1440"/>
        <w:jc w:val="right"/>
      </w:pPr>
      <w:r>
        <w:t xml:space="preserve">(annexe I de la directive </w:t>
      </w:r>
      <w:r w:rsidR="006C60E5">
        <w:t xml:space="preserve">(UE) </w:t>
      </w:r>
      <w:r>
        <w:t>2015/1535</w:t>
      </w:r>
      <w:r w:rsidRPr="00311E84">
        <w:t>)</w:t>
      </w:r>
    </w:p>
    <w:p w14:paraId="4AFCA90D" w14:textId="77777777" w:rsidR="00D17E5E" w:rsidRPr="00973E73" w:rsidRDefault="00D17E5E" w:rsidP="00AA4F20">
      <w:pPr>
        <w:spacing w:after="0" w:line="240" w:lineRule="auto"/>
        <w:rPr>
          <w:lang w:val="fr-BE"/>
        </w:rPr>
      </w:pPr>
    </w:p>
    <w:p w14:paraId="27152DAF" w14:textId="1F4E189C" w:rsidR="00D17E5E" w:rsidRPr="00411B0D" w:rsidRDefault="00B3389F" w:rsidP="00D17E5E">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hyperlink r:id="rId46" w:history="1">
        <w:r w:rsidR="00D17E5E" w:rsidRPr="0051744C">
          <w:rPr>
            <w:rStyle w:val="Hyperlink"/>
            <w:rFonts w:ascii="Times New Roman" w:eastAsia="Times New Roman" w:hAnsi="Times New Roman" w:cs="Times New Roman"/>
            <w:b/>
            <w:i/>
            <w:color w:val="0000FF"/>
            <w:szCs w:val="20"/>
            <w:lang w:val="fr" w:eastAsia="en-IE"/>
          </w:rPr>
          <w:t>Arrêt du 2 juin 2005</w:t>
        </w:r>
      </w:hyperlink>
      <w:r w:rsidR="00D17E5E" w:rsidRPr="005F1D97">
        <w:rPr>
          <w:rFonts w:ascii="Times New Roman" w:eastAsia="Times New Roman" w:hAnsi="Times New Roman" w:cs="Times New Roman"/>
          <w:b/>
          <w:i/>
          <w:szCs w:val="20"/>
          <w:lang w:val="fr" w:eastAsia="en-IE"/>
        </w:rPr>
        <w:t xml:space="preserve">, </w:t>
      </w:r>
      <w:proofErr w:type="spellStart"/>
      <w:r w:rsidR="00437A3E">
        <w:rPr>
          <w:rFonts w:ascii="Times New Roman" w:eastAsia="Times New Roman" w:hAnsi="Times New Roman" w:cs="Times New Roman"/>
          <w:b/>
          <w:i/>
          <w:szCs w:val="20"/>
          <w:lang w:val="fr" w:eastAsia="en-IE"/>
        </w:rPr>
        <w:t>Mediakabel</w:t>
      </w:r>
      <w:proofErr w:type="spellEnd"/>
      <w:r w:rsidR="00437A3E">
        <w:rPr>
          <w:rFonts w:ascii="Times New Roman" w:eastAsia="Times New Roman" w:hAnsi="Times New Roman" w:cs="Times New Roman"/>
          <w:b/>
          <w:i/>
          <w:szCs w:val="20"/>
          <w:lang w:val="fr" w:eastAsia="en-IE"/>
        </w:rPr>
        <w:t xml:space="preserve"> BV</w:t>
      </w:r>
      <w:r w:rsidR="00437A3E" w:rsidRPr="005F1D97">
        <w:rPr>
          <w:rFonts w:ascii="Times New Roman" w:eastAsia="Times New Roman" w:hAnsi="Times New Roman" w:cs="Times New Roman"/>
          <w:b/>
          <w:i/>
          <w:szCs w:val="20"/>
          <w:lang w:val="fr" w:eastAsia="en-IE"/>
        </w:rPr>
        <w:t>,</w:t>
      </w:r>
      <w:r w:rsidR="00437A3E">
        <w:rPr>
          <w:rFonts w:ascii="Times New Roman" w:eastAsia="Times New Roman" w:hAnsi="Times New Roman" w:cs="Times New Roman"/>
          <w:b/>
          <w:i/>
          <w:szCs w:val="20"/>
          <w:lang w:val="fr" w:eastAsia="en-IE"/>
        </w:rPr>
        <w:t xml:space="preserve"> </w:t>
      </w:r>
      <w:r w:rsidR="00D17E5E" w:rsidRPr="005F1D97">
        <w:rPr>
          <w:rFonts w:ascii="Times New Roman" w:eastAsia="Times New Roman" w:hAnsi="Times New Roman" w:cs="Times New Roman"/>
          <w:b/>
          <w:i/>
          <w:szCs w:val="20"/>
          <w:lang w:val="fr" w:eastAsia="en-IE"/>
        </w:rPr>
        <w:t>C-</w:t>
      </w:r>
      <w:r w:rsidR="00D17E5E">
        <w:rPr>
          <w:rFonts w:ascii="Times New Roman" w:eastAsia="Times New Roman" w:hAnsi="Times New Roman" w:cs="Times New Roman"/>
          <w:b/>
          <w:i/>
          <w:szCs w:val="20"/>
          <w:lang w:val="fr" w:eastAsia="en-IE"/>
        </w:rPr>
        <w:t>89/04</w:t>
      </w:r>
      <w:r w:rsidR="00D17E5E" w:rsidRPr="005F1D97">
        <w:rPr>
          <w:rFonts w:ascii="Times New Roman" w:eastAsia="Times New Roman" w:hAnsi="Times New Roman" w:cs="Times New Roman"/>
          <w:b/>
          <w:i/>
          <w:szCs w:val="20"/>
          <w:lang w:val="fr" w:eastAsia="en-IE"/>
        </w:rPr>
        <w:t>,</w:t>
      </w:r>
      <w:r w:rsidR="00D17E5E">
        <w:rPr>
          <w:rFonts w:ascii="Times New Roman" w:eastAsia="Times New Roman" w:hAnsi="Times New Roman" w:cs="Times New Roman"/>
          <w:b/>
          <w:i/>
          <w:szCs w:val="20"/>
          <w:lang w:val="fr" w:eastAsia="en-IE"/>
        </w:rPr>
        <w:t xml:space="preserve"> </w:t>
      </w:r>
      <w:r w:rsidR="00D17E5E" w:rsidRPr="007E3AA5">
        <w:rPr>
          <w:rFonts w:ascii="Times New Roman" w:eastAsia="Times New Roman" w:hAnsi="Times New Roman" w:cs="Times New Roman"/>
          <w:b/>
          <w:i/>
          <w:szCs w:val="20"/>
          <w:lang w:val="fr-BE" w:eastAsia="en-IE"/>
        </w:rPr>
        <w:t>EU:C:2005:348</w:t>
      </w:r>
      <w:r w:rsidR="00D17E5E" w:rsidRPr="005F1D97">
        <w:rPr>
          <w:rFonts w:ascii="Times New Roman" w:eastAsia="Times New Roman" w:hAnsi="Times New Roman" w:cs="Times New Roman"/>
          <w:b/>
          <w:i/>
          <w:szCs w:val="20"/>
          <w:lang w:val="fr" w:eastAsia="en-IE"/>
        </w:rPr>
        <w:t>, point</w:t>
      </w:r>
      <w:r w:rsidR="00D17E5E">
        <w:rPr>
          <w:rFonts w:ascii="Times New Roman" w:eastAsia="Times New Roman" w:hAnsi="Times New Roman" w:cs="Times New Roman"/>
          <w:b/>
          <w:i/>
          <w:szCs w:val="20"/>
          <w:lang w:val="fr" w:eastAsia="en-IE"/>
        </w:rPr>
        <w:t xml:space="preserve"> 38 et 39</w:t>
      </w:r>
    </w:p>
    <w:p w14:paraId="72864DFD" w14:textId="77777777" w:rsidR="00D17E5E" w:rsidRPr="005F1D97" w:rsidRDefault="00D17E5E" w:rsidP="00D17E5E">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56AE4B0" w14:textId="45892BF7" w:rsidR="00D17E5E" w:rsidRDefault="00D17E5E" w:rsidP="00D17E5E">
      <w:pPr>
        <w:widowControl w:val="0"/>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 service de diffusion télévisuelle disponible sur appel de l’abonné et consistant en des films dont la fréquence et l’horaire de diffusion sont déterminés par le prestataire n’est pas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un service de la société de l’information</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car les films sont sélectionnés par le prestataire et ne sont donc pas fournis à la demande individuelle du destinataire.</w:t>
      </w:r>
    </w:p>
    <w:p w14:paraId="10D3FE7F" w14:textId="77777777" w:rsidR="00D17E5E" w:rsidRPr="005F1D97" w:rsidRDefault="00D17E5E" w:rsidP="00D17E5E">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40D7081C" w14:textId="660484EE" w:rsidR="00D17E5E" w:rsidRDefault="00D17E5E" w:rsidP="00D17E5E">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 w:eastAsia="en-IE"/>
        </w:rPr>
        <w:t>« </w:t>
      </w:r>
      <w:r w:rsidRPr="00D17E5E">
        <w:rPr>
          <w:rFonts w:ascii="Times New Roman" w:eastAsia="Times New Roman" w:hAnsi="Times New Roman" w:cs="Times New Roman"/>
          <w:i/>
          <w:iCs/>
          <w:sz w:val="20"/>
          <w:szCs w:val="16"/>
          <w:lang w:val="fr-BE" w:eastAsia="en-IE"/>
        </w:rPr>
        <w:t>38</w:t>
      </w:r>
      <w:r w:rsidR="00116D32">
        <w:rPr>
          <w:rFonts w:ascii="Times New Roman" w:eastAsia="Times New Roman" w:hAnsi="Times New Roman" w:cs="Times New Roman"/>
          <w:i/>
          <w:iCs/>
          <w:sz w:val="20"/>
          <w:szCs w:val="16"/>
          <w:lang w:val="fr-BE" w:eastAsia="en-IE"/>
        </w:rPr>
        <w:t xml:space="preserve">. </w:t>
      </w:r>
      <w:r w:rsidRPr="00D17E5E">
        <w:rPr>
          <w:rFonts w:ascii="Times New Roman" w:eastAsia="Times New Roman" w:hAnsi="Times New Roman" w:cs="Times New Roman"/>
          <w:i/>
          <w:iCs/>
          <w:sz w:val="20"/>
          <w:szCs w:val="16"/>
          <w:lang w:val="fr-BE" w:eastAsia="en-IE"/>
        </w:rPr>
        <w:t>En effet, si un tel service remplit les deux premiers critères de la notion de «service de la société de l’information», au sens de l’article 1</w:t>
      </w:r>
      <w:r w:rsidRPr="00D17E5E">
        <w:rPr>
          <w:rFonts w:ascii="Times New Roman" w:eastAsia="Times New Roman" w:hAnsi="Times New Roman" w:cs="Times New Roman"/>
          <w:i/>
          <w:iCs/>
          <w:sz w:val="20"/>
          <w:szCs w:val="16"/>
          <w:vertAlign w:val="superscript"/>
          <w:lang w:val="fr-BE" w:eastAsia="en-IE"/>
        </w:rPr>
        <w:t>er</w:t>
      </w:r>
      <w:r w:rsidRPr="00D17E5E">
        <w:rPr>
          <w:rFonts w:ascii="Times New Roman" w:eastAsia="Times New Roman" w:hAnsi="Times New Roman" w:cs="Times New Roman"/>
          <w:i/>
          <w:iCs/>
          <w:sz w:val="20"/>
          <w:szCs w:val="16"/>
          <w:lang w:val="fr-BE" w:eastAsia="en-IE"/>
        </w:rPr>
        <w:t>, point 2, de la directive 98/34, à savoir qu’il est fourni à distance et transmis en partie par des équipements électroniques, il ne satisfait pas au troisième critère de ladite notion, en vertu duquel le service concerné doit être fourni «à la demande individuelle d’un destinataire de services». La liste des films proposés dans le cadre d’un service tel que le service «</w:t>
      </w:r>
      <w:proofErr w:type="spellStart"/>
      <w:r w:rsidRPr="00D17E5E">
        <w:rPr>
          <w:rFonts w:ascii="Times New Roman" w:eastAsia="Times New Roman" w:hAnsi="Times New Roman" w:cs="Times New Roman"/>
          <w:i/>
          <w:iCs/>
          <w:sz w:val="20"/>
          <w:szCs w:val="16"/>
          <w:lang w:val="fr-BE" w:eastAsia="en-IE"/>
        </w:rPr>
        <w:t>Filmtime</w:t>
      </w:r>
      <w:proofErr w:type="spellEnd"/>
      <w:r w:rsidRPr="00D17E5E">
        <w:rPr>
          <w:rFonts w:ascii="Times New Roman" w:eastAsia="Times New Roman" w:hAnsi="Times New Roman" w:cs="Times New Roman"/>
          <w:i/>
          <w:iCs/>
          <w:sz w:val="20"/>
          <w:szCs w:val="16"/>
          <w:lang w:val="fr-BE" w:eastAsia="en-IE"/>
        </w:rPr>
        <w:t>» est établie par le prestataire du service. Cette sélection de films est proposée à tous les abonnés dans les mêmes conditions, soit au moyen de journaux, soit au moyen d’informations diffusées sur l’écran télévisé, et lesdits films sont accessibles aux horaires de diffusion fixés par le prestataire. La clé personnelle permettant d’accéder aux films ne constitue qu’un moyen de décryptage d’images dont les signaux sont adressés simultanément à tous les abonnés.</w:t>
      </w:r>
    </w:p>
    <w:p w14:paraId="0981591B" w14:textId="77777777" w:rsidR="00D17E5E" w:rsidRPr="00D17E5E" w:rsidRDefault="00D17E5E" w:rsidP="00D17E5E">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45EEF38" w14:textId="7200CD73" w:rsidR="00D17E5E" w:rsidRPr="00D17E5E" w:rsidRDefault="00D17E5E" w:rsidP="00D17E5E">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D17E5E">
        <w:rPr>
          <w:rFonts w:ascii="Times New Roman" w:eastAsia="Times New Roman" w:hAnsi="Times New Roman" w:cs="Times New Roman"/>
          <w:i/>
          <w:iCs/>
          <w:sz w:val="20"/>
          <w:szCs w:val="16"/>
          <w:lang w:val="fr-BE" w:eastAsia="en-IE"/>
        </w:rPr>
        <w:lastRenderedPageBreak/>
        <w:t>39</w:t>
      </w:r>
      <w:r w:rsidR="00116D32">
        <w:rPr>
          <w:rFonts w:ascii="Times New Roman" w:eastAsia="Times New Roman" w:hAnsi="Times New Roman" w:cs="Times New Roman"/>
          <w:i/>
          <w:iCs/>
          <w:sz w:val="20"/>
          <w:szCs w:val="16"/>
          <w:lang w:val="fr-BE" w:eastAsia="en-IE"/>
        </w:rPr>
        <w:t xml:space="preserve">. </w:t>
      </w:r>
      <w:r w:rsidRPr="00D17E5E">
        <w:rPr>
          <w:rFonts w:ascii="Times New Roman" w:eastAsia="Times New Roman" w:hAnsi="Times New Roman" w:cs="Times New Roman"/>
          <w:i/>
          <w:iCs/>
          <w:sz w:val="20"/>
          <w:szCs w:val="16"/>
          <w:lang w:val="fr-BE" w:eastAsia="en-IE"/>
        </w:rPr>
        <w:t>Un tel service n’est donc pas commandé individuellement par un destinataire isolé qui aurait le libre choix de ses programmes dans un cadre interactif. Il doit être regardé comme un service de quasi vidéo à la demande, fourni sur une base «point à multipoint» et non «à la demande individuelle d’un destinataire de services»</w:t>
      </w:r>
      <w:r>
        <w:rPr>
          <w:rFonts w:ascii="Times New Roman" w:eastAsia="Times New Roman" w:hAnsi="Times New Roman" w:cs="Times New Roman"/>
          <w:i/>
          <w:iCs/>
          <w:sz w:val="20"/>
          <w:szCs w:val="16"/>
          <w:lang w:val="fr-BE" w:eastAsia="en-IE"/>
        </w:rPr>
        <w:t>. »</w:t>
      </w:r>
    </w:p>
    <w:p w14:paraId="5E8F8952" w14:textId="190BF10B" w:rsidR="00D17E5E" w:rsidRDefault="00D17E5E" w:rsidP="00D17E5E">
      <w:pPr>
        <w:widowControl w:val="0"/>
        <w:autoSpaceDE w:val="0"/>
        <w:autoSpaceDN w:val="0"/>
        <w:spacing w:after="0" w:line="240" w:lineRule="auto"/>
        <w:ind w:left="567"/>
        <w:jc w:val="both"/>
        <w:rPr>
          <w:lang w:val="fr"/>
        </w:rPr>
      </w:pPr>
    </w:p>
    <w:p w14:paraId="6027638F" w14:textId="33B6D86F" w:rsidR="008E22D9"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7" w:history="1">
        <w:r w:rsidR="008E22D9" w:rsidRPr="005F1D97">
          <w:rPr>
            <w:rFonts w:ascii="Times New Roman" w:eastAsia="Times New Roman" w:hAnsi="Times New Roman" w:cs="Times New Roman"/>
            <w:b/>
            <w:i/>
            <w:color w:val="0000FF"/>
            <w:szCs w:val="20"/>
            <w:u w:val="single"/>
            <w:lang w:val="fr" w:eastAsia="en-IE"/>
          </w:rPr>
          <w:t>Arrêt du 2 février 2016</w:t>
        </w:r>
      </w:hyperlink>
      <w:r w:rsidR="008E22D9" w:rsidRPr="005F1D97">
        <w:rPr>
          <w:rFonts w:ascii="Times New Roman" w:eastAsia="Times New Roman" w:hAnsi="Times New Roman" w:cs="Times New Roman"/>
          <w:b/>
          <w:i/>
          <w:szCs w:val="20"/>
          <w:lang w:val="fr" w:eastAsia="en-IE"/>
        </w:rPr>
        <w:t xml:space="preserve">, </w:t>
      </w:r>
      <w:r w:rsidR="00437A3E" w:rsidRPr="005F1D97">
        <w:rPr>
          <w:rFonts w:ascii="Times New Roman" w:eastAsia="Times New Roman" w:hAnsi="Times New Roman" w:cs="Times New Roman"/>
          <w:b/>
          <w:i/>
          <w:szCs w:val="20"/>
          <w:lang w:val="fr" w:eastAsia="en-IE"/>
        </w:rPr>
        <w:t xml:space="preserve">Ince, </w:t>
      </w:r>
      <w:r w:rsidR="008E22D9" w:rsidRPr="005F1D97">
        <w:rPr>
          <w:rFonts w:ascii="Times New Roman" w:eastAsia="Times New Roman" w:hAnsi="Times New Roman" w:cs="Times New Roman"/>
          <w:b/>
          <w:i/>
          <w:szCs w:val="20"/>
          <w:lang w:val="fr" w:eastAsia="en-IE"/>
        </w:rPr>
        <w:t xml:space="preserve">C-336/14, EU:C:2016:72, points 75 </w:t>
      </w:r>
      <w:r w:rsidR="006141C3">
        <w:rPr>
          <w:rFonts w:ascii="Times New Roman" w:eastAsia="Times New Roman" w:hAnsi="Times New Roman" w:cs="Times New Roman"/>
          <w:b/>
          <w:i/>
          <w:szCs w:val="20"/>
          <w:lang w:val="fr" w:eastAsia="en-IE"/>
        </w:rPr>
        <w:t xml:space="preserve">et </w:t>
      </w:r>
      <w:r w:rsidR="008E22D9" w:rsidRPr="005F1D97">
        <w:rPr>
          <w:rFonts w:ascii="Times New Roman" w:eastAsia="Times New Roman" w:hAnsi="Times New Roman" w:cs="Times New Roman"/>
          <w:b/>
          <w:i/>
          <w:szCs w:val="20"/>
          <w:lang w:val="fr" w:eastAsia="en-IE"/>
        </w:rPr>
        <w:t>76</w:t>
      </w:r>
    </w:p>
    <w:p w14:paraId="62235723" w14:textId="77777777" w:rsidR="008E22D9" w:rsidRPr="005F1D97" w:rsidRDefault="008E22D9" w:rsidP="00AA4F20">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lang w:val="fr" w:eastAsia="en-IE"/>
        </w:rPr>
      </w:pPr>
    </w:p>
    <w:p w14:paraId="00D2D307" w14:textId="1F647129" w:rsidR="008E22D9" w:rsidRPr="005F1D97" w:rsidRDefault="008E22D9" w:rsidP="00AA4F20">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Les dispositions nationales </w:t>
      </w:r>
      <w:r w:rsidR="00E277F3">
        <w:rPr>
          <w:rFonts w:ascii="Times New Roman" w:eastAsia="Times New Roman" w:hAnsi="Times New Roman" w:cs="Times New Roman"/>
          <w:szCs w:val="20"/>
          <w:lang w:val="fr" w:eastAsia="en-IE"/>
        </w:rPr>
        <w:t>restreignant</w:t>
      </w:r>
      <w:r w:rsidRPr="005F1D97">
        <w:rPr>
          <w:rFonts w:ascii="Times New Roman" w:eastAsia="Times New Roman" w:hAnsi="Times New Roman" w:cs="Times New Roman"/>
          <w:szCs w:val="20"/>
          <w:lang w:val="fr" w:eastAsia="en-IE"/>
        </w:rPr>
        <w:t xml:space="preserve"> l’offre de jeux de hasard en ligne</w:t>
      </w:r>
      <w:r w:rsidR="00E277F3">
        <w:rPr>
          <w:rFonts w:ascii="Times New Roman" w:eastAsia="Times New Roman" w:hAnsi="Times New Roman" w:cs="Times New Roman"/>
          <w:szCs w:val="20"/>
          <w:lang w:val="fr" w:eastAsia="en-IE"/>
        </w:rPr>
        <w:t xml:space="preserve"> </w:t>
      </w:r>
      <w:r w:rsidRPr="005F1D97">
        <w:rPr>
          <w:rFonts w:ascii="Times New Roman" w:eastAsia="Times New Roman" w:hAnsi="Times New Roman" w:cs="Times New Roman"/>
          <w:szCs w:val="20"/>
          <w:lang w:val="fr" w:eastAsia="en-IE"/>
        </w:rPr>
        <w:t xml:space="preserve">ou interdisant la publicité </w:t>
      </w:r>
      <w:r w:rsidR="00E277F3">
        <w:rPr>
          <w:rFonts w:ascii="Times New Roman" w:eastAsia="Times New Roman" w:hAnsi="Times New Roman" w:cs="Times New Roman"/>
          <w:szCs w:val="20"/>
          <w:lang w:val="fr" w:eastAsia="en-IE"/>
        </w:rPr>
        <w:t xml:space="preserve">en ligne </w:t>
      </w:r>
      <w:r w:rsidRPr="005F1D97">
        <w:rPr>
          <w:rFonts w:ascii="Times New Roman" w:eastAsia="Times New Roman" w:hAnsi="Times New Roman" w:cs="Times New Roman"/>
          <w:szCs w:val="20"/>
          <w:lang w:val="fr" w:eastAsia="en-IE"/>
        </w:rPr>
        <w:t xml:space="preserve">pour ces jeux peuvent être considérées comme des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règles relatives aux services</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w:t>
      </w:r>
      <w:r w:rsidR="00E277F3">
        <w:rPr>
          <w:rFonts w:ascii="Times New Roman" w:eastAsia="Times New Roman" w:hAnsi="Times New Roman" w:cs="Times New Roman"/>
          <w:szCs w:val="20"/>
          <w:lang w:val="fr" w:eastAsia="en-IE"/>
        </w:rPr>
        <w:t xml:space="preserve">car </w:t>
      </w:r>
      <w:r w:rsidRPr="005F1D97">
        <w:rPr>
          <w:rFonts w:ascii="Times New Roman" w:eastAsia="Times New Roman" w:hAnsi="Times New Roman" w:cs="Times New Roman"/>
          <w:szCs w:val="20"/>
          <w:lang w:val="fr" w:eastAsia="en-IE"/>
        </w:rPr>
        <w:t xml:space="preserve">elles concernent un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service de la société de l’information</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w:t>
      </w:r>
      <w:r w:rsidR="00E277F3">
        <w:rPr>
          <w:rFonts w:ascii="Times New Roman" w:eastAsia="Times New Roman" w:hAnsi="Times New Roman" w:cs="Times New Roman"/>
          <w:szCs w:val="20"/>
          <w:lang w:val="fr" w:eastAsia="en-IE"/>
        </w:rPr>
        <w:t xml:space="preserve">En revanche, </w:t>
      </w:r>
      <w:r w:rsidRPr="005F1D97">
        <w:rPr>
          <w:rFonts w:ascii="Times New Roman" w:eastAsia="Times New Roman" w:hAnsi="Times New Roman" w:cs="Times New Roman"/>
          <w:szCs w:val="20"/>
          <w:lang w:val="fr" w:eastAsia="en-IE"/>
        </w:rPr>
        <w:t xml:space="preserve">des règles imposant une autorisation préalable </w:t>
      </w:r>
      <w:r w:rsidR="00E277F3">
        <w:rPr>
          <w:rFonts w:ascii="Times New Roman" w:eastAsia="Times New Roman" w:hAnsi="Times New Roman" w:cs="Times New Roman"/>
          <w:szCs w:val="20"/>
          <w:lang w:val="fr" w:eastAsia="en-IE"/>
        </w:rPr>
        <w:t xml:space="preserve">aux opérateurs organisant des jeux de hasard </w:t>
      </w:r>
      <w:r w:rsidRPr="005F1D97">
        <w:rPr>
          <w:rFonts w:ascii="Times New Roman" w:eastAsia="Times New Roman" w:hAnsi="Times New Roman" w:cs="Times New Roman"/>
          <w:szCs w:val="20"/>
          <w:lang w:val="fr" w:eastAsia="en-IE"/>
        </w:rPr>
        <w:t>ou interdisant son octroi à des opérateurs privés</w:t>
      </w:r>
      <w:r w:rsidR="00E277F3">
        <w:rPr>
          <w:rFonts w:ascii="Times New Roman" w:eastAsia="Times New Roman" w:hAnsi="Times New Roman" w:cs="Times New Roman"/>
          <w:szCs w:val="20"/>
          <w:lang w:val="fr" w:eastAsia="en-IE"/>
        </w:rPr>
        <w:t xml:space="preserve"> ne sont pas relatives aux services mais aux conditions d’établissement des entreprises et ne constituent donc pas des </w:t>
      </w:r>
      <w:r w:rsidR="008224AE">
        <w:rPr>
          <w:rFonts w:ascii="Times New Roman" w:eastAsia="Times New Roman" w:hAnsi="Times New Roman" w:cs="Times New Roman"/>
          <w:szCs w:val="20"/>
          <w:lang w:val="fr" w:eastAsia="en-IE"/>
        </w:rPr>
        <w:t>« </w:t>
      </w:r>
      <w:r w:rsidR="00E277F3">
        <w:rPr>
          <w:rFonts w:ascii="Times New Roman" w:eastAsia="Times New Roman" w:hAnsi="Times New Roman" w:cs="Times New Roman"/>
          <w:szCs w:val="20"/>
          <w:lang w:val="fr" w:eastAsia="en-IE"/>
        </w:rPr>
        <w:t>règles relatives aux services</w:t>
      </w:r>
      <w:r w:rsidR="008224AE">
        <w:rPr>
          <w:rFonts w:ascii="Times New Roman" w:eastAsia="Times New Roman" w:hAnsi="Times New Roman" w:cs="Times New Roman"/>
          <w:szCs w:val="20"/>
          <w:lang w:val="fr" w:eastAsia="en-IE"/>
        </w:rPr>
        <w:t> »</w:t>
      </w:r>
      <w:r w:rsidR="00E277F3">
        <w:rPr>
          <w:rFonts w:ascii="Times New Roman" w:eastAsia="Times New Roman" w:hAnsi="Times New Roman" w:cs="Times New Roman"/>
          <w:szCs w:val="20"/>
          <w:lang w:val="fr" w:eastAsia="en-IE"/>
        </w:rPr>
        <w:t>.</w:t>
      </w:r>
    </w:p>
    <w:p w14:paraId="32F669F1" w14:textId="77777777" w:rsidR="008E22D9" w:rsidRPr="005F1D97" w:rsidRDefault="008E22D9" w:rsidP="00AA4F20">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lang w:val="fr" w:eastAsia="en-IE"/>
        </w:rPr>
      </w:pPr>
    </w:p>
    <w:p w14:paraId="324B1772" w14:textId="23D6ADCA" w:rsidR="008E22D9" w:rsidRPr="005F1D97"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 w:eastAsia="en-IE"/>
        </w:rPr>
        <w:t>« </w:t>
      </w:r>
      <w:bookmarkStart w:id="46" w:name="point75"/>
      <w:r w:rsidRPr="005F1D97">
        <w:rPr>
          <w:rFonts w:ascii="Times New Roman" w:eastAsia="Times New Roman" w:hAnsi="Times New Roman" w:cs="Times New Roman"/>
          <w:i/>
          <w:iCs/>
          <w:sz w:val="20"/>
          <w:szCs w:val="16"/>
          <w:lang w:val="fr-BE" w:eastAsia="en-IE"/>
        </w:rPr>
        <w:t>75</w:t>
      </w:r>
      <w:bookmarkEnd w:id="46"/>
      <w:r w:rsidR="00116D32">
        <w:rPr>
          <w:rFonts w:ascii="Times New Roman" w:eastAsia="Times New Roman" w:hAnsi="Times New Roman" w:cs="Times New Roman"/>
          <w:i/>
          <w:iCs/>
          <w:sz w:val="20"/>
          <w:szCs w:val="16"/>
          <w:lang w:val="fr-BE" w:eastAsia="en-IE"/>
        </w:rPr>
        <w:t>.</w:t>
      </w:r>
      <w:r w:rsidRPr="005F1D97">
        <w:rPr>
          <w:rFonts w:ascii="Times New Roman" w:eastAsia="Times New Roman" w:hAnsi="Times New Roman" w:cs="Times New Roman"/>
          <w:i/>
          <w:iCs/>
          <w:sz w:val="20"/>
          <w:szCs w:val="16"/>
          <w:lang w:val="fr-BE" w:eastAsia="en-IE"/>
        </w:rPr>
        <w:t> </w:t>
      </w:r>
      <w:r w:rsidR="006141C3">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il convient de constater que, ainsi que la Commission l’a fait valoir lors de l’audience, certaines des dispositions du traité sur les jeux de hasard sont susceptibles d’être qualifiées de «règles relatives aux services», dans la mesure où elles concernent un «service de la société de l’information»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point 2, de la directive 98/34. Ces dispositions incluent l’interdiction de proposer des jeux de hasard sur Internet prévue à l’article 4, paragraphe 4, du traité sur les jeux de hasard, les exceptions à cette interdiction énumérées à l’article 25, paragraphe 6, de ce traité, les limitations apportées à la possibilité de proposer des paris sportifs par des moyens de télécommunication au titre de l’article 21, paragraphe 2, dudit traité, ainsi que l’interdiction de diffuser de la publicité pour les jeux de hasard sur Internet ou par des moyens de télécommunication en vertu de l’article 5, paragraphe 3, de ce même traité.</w:t>
      </w:r>
    </w:p>
    <w:p w14:paraId="05CF4E0A" w14:textId="77777777" w:rsidR="008E22D9" w:rsidRPr="005F1D97"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CF19AC0" w14:textId="674C3313" w:rsidR="008E22D9" w:rsidRPr="005F1D97"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47" w:name="point76"/>
      <w:r w:rsidRPr="005F1D97">
        <w:rPr>
          <w:rFonts w:ascii="Times New Roman" w:eastAsia="Times New Roman" w:hAnsi="Times New Roman" w:cs="Times New Roman"/>
          <w:i/>
          <w:iCs/>
          <w:sz w:val="20"/>
          <w:szCs w:val="16"/>
          <w:lang w:val="fr-BE" w:eastAsia="en-IE"/>
        </w:rPr>
        <w:t>76</w:t>
      </w:r>
      <w:bookmarkEnd w:id="47"/>
      <w:r w:rsidR="00116D32">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S’agissant, en revanche, des dispositions du traité sur les jeux de hasard autres que celles relatives à un «service de la société de l’information»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point 2, de la directive 98/34, telles que les dispositions instituant l’obligation d’obtenir une autorisation pour l’organisation ou la collecte de paris sportifs ainsi que l’impossibilité de délivrer une telle autorisation à des opérateurs privés, elles ne constituent pas des «règles techniques»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point 11, de cette directive. En effet, des dispositions nationales qui se limitent à prévoir les conditions pour l’établissement ou la prestation de services par des entreprises, telles que des dispositions qui soumettent l’exercice d’une activité professionnelle à un agrément préalable, ne constituent pas des règles techniques au sens de cette disposition (voir, en ce sens, arrêt Lindberg, C</w:t>
      </w:r>
      <w:r w:rsidRPr="005F1D97">
        <w:rPr>
          <w:rFonts w:ascii="Times New Roman" w:eastAsia="Times New Roman" w:hAnsi="Times New Roman" w:cs="Times New Roman"/>
          <w:i/>
          <w:iCs/>
          <w:sz w:val="20"/>
          <w:szCs w:val="16"/>
          <w:lang w:val="fr-BE" w:eastAsia="en-IE"/>
        </w:rPr>
        <w:noBreakHyphen/>
        <w:t>267/03, EU:C:2005:246, point 87). »</w:t>
      </w:r>
    </w:p>
    <w:p w14:paraId="284BC1DD" w14:textId="77777777" w:rsidR="008E22D9" w:rsidRDefault="008E22D9" w:rsidP="00AA4F20">
      <w:pPr>
        <w:spacing w:after="0" w:line="240" w:lineRule="auto"/>
        <w:rPr>
          <w:lang w:val="fr-BE"/>
        </w:rPr>
      </w:pPr>
    </w:p>
    <w:p w14:paraId="792D1FCB" w14:textId="4842BF90" w:rsidR="00E277F3" w:rsidRPr="00DE3BF6" w:rsidRDefault="00B3389F" w:rsidP="00E277F3">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8" w:history="1">
        <w:r w:rsidR="00E277F3" w:rsidRPr="00DE3BF6">
          <w:rPr>
            <w:rFonts w:ascii="Times New Roman" w:eastAsia="Times New Roman" w:hAnsi="Times New Roman" w:cs="Times New Roman"/>
            <w:b/>
            <w:i/>
            <w:color w:val="0000FF"/>
            <w:szCs w:val="20"/>
            <w:u w:val="single"/>
            <w:lang w:val="fr" w:eastAsia="en-IE"/>
          </w:rPr>
          <w:t>Arrêt de la Cour du 13 octobre 2016</w:t>
        </w:r>
      </w:hyperlink>
      <w:r w:rsidR="00E277F3"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Naczelnik</w:t>
      </w:r>
      <w:proofErr w:type="spellEnd"/>
      <w:r w:rsidR="00437A3E"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Urzędu</w:t>
      </w:r>
      <w:proofErr w:type="spellEnd"/>
      <w:r w:rsidR="00437A3E" w:rsidRPr="00DE3BF6">
        <w:rPr>
          <w:rFonts w:ascii="Times New Roman" w:eastAsia="Times New Roman" w:hAnsi="Times New Roman" w:cs="Times New Roman"/>
          <w:b/>
          <w:i/>
          <w:szCs w:val="20"/>
          <w:lang w:val="fr" w:eastAsia="en-IE"/>
        </w:rPr>
        <w:t xml:space="preserve"> </w:t>
      </w:r>
      <w:proofErr w:type="spellStart"/>
      <w:r w:rsidR="00437A3E" w:rsidRPr="00DE3BF6">
        <w:rPr>
          <w:rFonts w:ascii="Times New Roman" w:eastAsia="Times New Roman" w:hAnsi="Times New Roman" w:cs="Times New Roman"/>
          <w:b/>
          <w:i/>
          <w:szCs w:val="20"/>
          <w:lang w:val="fr" w:eastAsia="en-IE"/>
        </w:rPr>
        <w:t>Celnego</w:t>
      </w:r>
      <w:proofErr w:type="spellEnd"/>
      <w:r w:rsidR="00437A3E" w:rsidRPr="00DE3BF6">
        <w:rPr>
          <w:rFonts w:ascii="Times New Roman" w:eastAsia="Times New Roman" w:hAnsi="Times New Roman" w:cs="Times New Roman"/>
          <w:b/>
          <w:i/>
          <w:szCs w:val="20"/>
          <w:lang w:val="fr" w:eastAsia="en-IE"/>
        </w:rPr>
        <w:t xml:space="preserve"> I w Ł., </w:t>
      </w:r>
      <w:r w:rsidR="00E277F3" w:rsidRPr="00DE3BF6">
        <w:rPr>
          <w:rFonts w:ascii="Times New Roman" w:eastAsia="Times New Roman" w:hAnsi="Times New Roman" w:cs="Times New Roman"/>
          <w:b/>
          <w:i/>
          <w:szCs w:val="20"/>
          <w:lang w:val="fr" w:eastAsia="en-IE"/>
        </w:rPr>
        <w:t xml:space="preserve">C-303/15, EU:C:2016:771, point </w:t>
      </w:r>
      <w:r w:rsidR="00D46B84">
        <w:rPr>
          <w:rFonts w:ascii="Times New Roman" w:eastAsia="Times New Roman" w:hAnsi="Times New Roman" w:cs="Times New Roman"/>
          <w:b/>
          <w:i/>
          <w:szCs w:val="20"/>
          <w:lang w:val="fr" w:eastAsia="en-IE"/>
        </w:rPr>
        <w:t>24</w:t>
      </w:r>
    </w:p>
    <w:p w14:paraId="5329A61B" w14:textId="77777777" w:rsidR="00E277F3" w:rsidRPr="00DE3BF6" w:rsidRDefault="00E277F3" w:rsidP="00E277F3">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p>
    <w:p w14:paraId="7FD64148" w14:textId="5FE4911A" w:rsidR="00E277F3" w:rsidRDefault="00E277F3" w:rsidP="00E277F3">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Une disposition soumettant l’exercice des activités de jeux de hasard à une autorisation d’exploitation de casinos ne constitue pas une </w:t>
      </w:r>
      <w:r w:rsidR="008224AE">
        <w:rPr>
          <w:rFonts w:ascii="Times New Roman" w:eastAsia="Times New Roman" w:hAnsi="Times New Roman" w:cs="Times New Roman"/>
          <w:szCs w:val="20"/>
          <w:lang w:val="fr" w:eastAsia="en-IE"/>
        </w:rPr>
        <w:t>« </w:t>
      </w:r>
      <w:r w:rsidR="00455195">
        <w:rPr>
          <w:rFonts w:ascii="Times New Roman" w:eastAsia="Times New Roman" w:hAnsi="Times New Roman" w:cs="Times New Roman"/>
          <w:szCs w:val="20"/>
          <w:lang w:val="fr" w:eastAsia="en-IE"/>
        </w:rPr>
        <w:t>règle relative aux services</w:t>
      </w:r>
      <w:r w:rsidR="008224AE">
        <w:rPr>
          <w:rFonts w:ascii="Times New Roman" w:eastAsia="Times New Roman" w:hAnsi="Times New Roman" w:cs="Times New Roman"/>
          <w:szCs w:val="20"/>
          <w:lang w:val="fr" w:eastAsia="en-IE"/>
        </w:rPr>
        <w:t> »</w:t>
      </w:r>
      <w:r w:rsidR="00455195">
        <w:rPr>
          <w:rFonts w:ascii="Times New Roman" w:eastAsia="Times New Roman" w:hAnsi="Times New Roman" w:cs="Times New Roman"/>
          <w:szCs w:val="20"/>
          <w:lang w:val="fr" w:eastAsia="en-IE"/>
        </w:rPr>
        <w:t xml:space="preserve"> car elle ne concerne pas des </w:t>
      </w:r>
      <w:r w:rsidR="008224AE">
        <w:rPr>
          <w:rFonts w:ascii="Times New Roman" w:eastAsia="Times New Roman" w:hAnsi="Times New Roman" w:cs="Times New Roman"/>
          <w:szCs w:val="20"/>
          <w:lang w:val="fr" w:eastAsia="en-IE"/>
        </w:rPr>
        <w:t>« </w:t>
      </w:r>
      <w:r w:rsidR="00455195">
        <w:rPr>
          <w:rFonts w:ascii="Times New Roman" w:eastAsia="Times New Roman" w:hAnsi="Times New Roman" w:cs="Times New Roman"/>
          <w:szCs w:val="20"/>
          <w:lang w:val="fr" w:eastAsia="en-IE"/>
        </w:rPr>
        <w:t>services de la société d</w:t>
      </w:r>
      <w:r w:rsidR="000F7992">
        <w:rPr>
          <w:rFonts w:ascii="Times New Roman" w:eastAsia="Times New Roman" w:hAnsi="Times New Roman" w:cs="Times New Roman"/>
          <w:szCs w:val="20"/>
          <w:lang w:val="fr" w:eastAsia="en-IE"/>
        </w:rPr>
        <w:t>e l’</w:t>
      </w:r>
      <w:r w:rsidR="00455195">
        <w:rPr>
          <w:rFonts w:ascii="Times New Roman" w:eastAsia="Times New Roman" w:hAnsi="Times New Roman" w:cs="Times New Roman"/>
          <w:szCs w:val="20"/>
          <w:lang w:val="fr" w:eastAsia="en-IE"/>
        </w:rPr>
        <w:t>information</w:t>
      </w:r>
      <w:r w:rsidR="008224AE">
        <w:rPr>
          <w:rFonts w:ascii="Times New Roman" w:eastAsia="Times New Roman" w:hAnsi="Times New Roman" w:cs="Times New Roman"/>
          <w:szCs w:val="20"/>
          <w:lang w:val="fr" w:eastAsia="en-IE"/>
        </w:rPr>
        <w:t> »</w:t>
      </w:r>
      <w:r w:rsidR="00455195">
        <w:rPr>
          <w:rFonts w:ascii="Times New Roman" w:eastAsia="Times New Roman" w:hAnsi="Times New Roman" w:cs="Times New Roman"/>
          <w:szCs w:val="20"/>
          <w:lang w:val="fr" w:eastAsia="en-IE"/>
        </w:rPr>
        <w:t>.</w:t>
      </w:r>
    </w:p>
    <w:p w14:paraId="0996FF96" w14:textId="77777777" w:rsidR="00455195" w:rsidRDefault="00455195" w:rsidP="00455195">
      <w:pPr>
        <w:widowControl w:val="0"/>
        <w:tabs>
          <w:tab w:val="left" w:pos="396"/>
          <w:tab w:val="left" w:pos="399"/>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7469D564" w14:textId="50747951" w:rsidR="00455195" w:rsidRPr="00455195" w:rsidRDefault="00455195" w:rsidP="00E277F3">
      <w:pPr>
        <w:widowControl w:val="0"/>
        <w:tabs>
          <w:tab w:val="left" w:pos="396"/>
          <w:tab w:val="left" w:pos="399"/>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w:t>
      </w:r>
      <w:r w:rsidRPr="00455195">
        <w:rPr>
          <w:rFonts w:ascii="Times New Roman" w:eastAsia="Times New Roman" w:hAnsi="Times New Roman" w:cs="Times New Roman"/>
          <w:i/>
          <w:iCs/>
          <w:sz w:val="20"/>
          <w:szCs w:val="16"/>
          <w:lang w:val="fr-BE" w:eastAsia="en-IE"/>
        </w:rPr>
        <w:t>24</w:t>
      </w:r>
      <w:r w:rsidR="00116D32">
        <w:rPr>
          <w:rFonts w:ascii="Times New Roman" w:eastAsia="Times New Roman" w:hAnsi="Times New Roman" w:cs="Times New Roman"/>
          <w:i/>
          <w:iCs/>
          <w:sz w:val="20"/>
          <w:szCs w:val="16"/>
          <w:lang w:val="fr-BE" w:eastAsia="en-IE"/>
        </w:rPr>
        <w:t xml:space="preserve">. </w:t>
      </w:r>
      <w:r>
        <w:rPr>
          <w:rFonts w:ascii="Times New Roman" w:eastAsia="Times New Roman" w:hAnsi="Times New Roman" w:cs="Times New Roman"/>
          <w:i/>
          <w:iCs/>
          <w:sz w:val="20"/>
          <w:szCs w:val="16"/>
          <w:lang w:val="fr-BE" w:eastAsia="en-IE"/>
        </w:rPr>
        <w:t>[…]</w:t>
      </w:r>
      <w:r w:rsidRPr="00455195">
        <w:rPr>
          <w:rFonts w:ascii="Times New Roman" w:eastAsia="Times New Roman" w:hAnsi="Times New Roman" w:cs="Times New Roman"/>
          <w:i/>
          <w:iCs/>
          <w:sz w:val="20"/>
          <w:szCs w:val="16"/>
          <w:lang w:val="fr-BE" w:eastAsia="en-IE"/>
        </w:rPr>
        <w:t xml:space="preserve"> ladite disposition ne relève pas de la catégorie des « règles relatives aux services » de la société de l’information, au sens de l’article 1er, point 5, de la directive 98/34, dès lors qu’elle ne concerne pas des « services de la société de l’information », au sens de l’article 1er, point 2, de cette directive.</w:t>
      </w:r>
      <w:r>
        <w:rPr>
          <w:rFonts w:ascii="Times New Roman" w:eastAsia="Times New Roman" w:hAnsi="Times New Roman" w:cs="Times New Roman"/>
          <w:i/>
          <w:iCs/>
          <w:sz w:val="20"/>
          <w:szCs w:val="16"/>
          <w:lang w:val="fr-BE" w:eastAsia="en-IE"/>
        </w:rPr>
        <w:t> »</w:t>
      </w:r>
    </w:p>
    <w:p w14:paraId="2022FC13" w14:textId="77777777" w:rsidR="00E277F3" w:rsidRDefault="00E277F3" w:rsidP="00AA4F20">
      <w:pPr>
        <w:spacing w:after="0" w:line="240" w:lineRule="auto"/>
        <w:rPr>
          <w:lang w:val="fr-BE"/>
        </w:rPr>
      </w:pPr>
    </w:p>
    <w:p w14:paraId="3ED876F3" w14:textId="3F325453" w:rsidR="008E22D9"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49" w:history="1">
        <w:r w:rsidR="008E22D9" w:rsidRPr="005F1D97">
          <w:rPr>
            <w:rFonts w:ascii="Times New Roman" w:eastAsia="Times New Roman" w:hAnsi="Times New Roman" w:cs="Times New Roman"/>
            <w:b/>
            <w:i/>
            <w:color w:val="0000FF"/>
            <w:szCs w:val="20"/>
            <w:u w:val="single"/>
            <w:lang w:val="fr" w:eastAsia="en-IE"/>
          </w:rPr>
          <w:t>Arrêt du 20 décembre 2017</w:t>
        </w:r>
      </w:hyperlink>
      <w:r w:rsidR="008E22D9" w:rsidRPr="005F1D97">
        <w:rPr>
          <w:rFonts w:ascii="Times New Roman" w:eastAsia="Times New Roman" w:hAnsi="Times New Roman" w:cs="Times New Roman"/>
          <w:b/>
          <w:i/>
          <w:szCs w:val="20"/>
          <w:lang w:val="fr" w:eastAsia="en-IE"/>
        </w:rPr>
        <w:t xml:space="preserve">, </w:t>
      </w:r>
      <w:proofErr w:type="spellStart"/>
      <w:r w:rsidR="00437A3E" w:rsidRPr="005F1D97">
        <w:rPr>
          <w:rFonts w:ascii="Times New Roman" w:eastAsia="Times New Roman" w:hAnsi="Times New Roman" w:cs="Times New Roman"/>
          <w:b/>
          <w:i/>
          <w:szCs w:val="20"/>
          <w:lang w:val="fr" w:eastAsia="en-IE"/>
        </w:rPr>
        <w:t>Falbert</w:t>
      </w:r>
      <w:proofErr w:type="spellEnd"/>
      <w:r w:rsidR="00437A3E" w:rsidRPr="005F1D97">
        <w:rPr>
          <w:rFonts w:ascii="Times New Roman" w:eastAsia="Times New Roman" w:hAnsi="Times New Roman" w:cs="Times New Roman"/>
          <w:b/>
          <w:i/>
          <w:szCs w:val="20"/>
          <w:lang w:val="fr" w:eastAsia="en-IE"/>
        </w:rPr>
        <w:t xml:space="preserve"> e.a., </w:t>
      </w:r>
      <w:r w:rsidR="008E22D9" w:rsidRPr="005F1D97">
        <w:rPr>
          <w:rFonts w:ascii="Times New Roman" w:eastAsia="Times New Roman" w:hAnsi="Times New Roman" w:cs="Times New Roman"/>
          <w:b/>
          <w:i/>
          <w:szCs w:val="20"/>
          <w:lang w:val="fr" w:eastAsia="en-IE"/>
        </w:rPr>
        <w:t xml:space="preserve">C-255/16, EU:C:2017:983, points 27 à </w:t>
      </w:r>
      <w:r w:rsidR="00455195">
        <w:rPr>
          <w:rFonts w:ascii="Times New Roman" w:eastAsia="Times New Roman" w:hAnsi="Times New Roman" w:cs="Times New Roman"/>
          <w:b/>
          <w:i/>
          <w:szCs w:val="20"/>
          <w:lang w:val="fr" w:eastAsia="en-IE"/>
        </w:rPr>
        <w:t xml:space="preserve">29, 32 et </w:t>
      </w:r>
      <w:r w:rsidR="008E22D9" w:rsidRPr="005F1D97">
        <w:rPr>
          <w:rFonts w:ascii="Times New Roman" w:eastAsia="Times New Roman" w:hAnsi="Times New Roman" w:cs="Times New Roman"/>
          <w:b/>
          <w:i/>
          <w:szCs w:val="20"/>
          <w:lang w:val="fr" w:eastAsia="en-IE"/>
        </w:rPr>
        <w:t>3</w:t>
      </w:r>
      <w:r w:rsidR="008E22D9">
        <w:rPr>
          <w:rFonts w:ascii="Times New Roman" w:eastAsia="Times New Roman" w:hAnsi="Times New Roman" w:cs="Times New Roman"/>
          <w:b/>
          <w:i/>
          <w:szCs w:val="20"/>
          <w:lang w:val="fr" w:eastAsia="en-IE"/>
        </w:rPr>
        <w:t>3</w:t>
      </w:r>
    </w:p>
    <w:p w14:paraId="1158306E" w14:textId="77777777" w:rsidR="008E22D9" w:rsidRPr="005F1D97"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7F46B1DE" w14:textId="5DEBD2C2" w:rsidR="008E22D9" w:rsidRPr="005F1D97"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Des dispositions nationales relatives aux services de jeux ou de publicité peuvent constituer des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règles relatives aux services</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si elles visent directement ces services fournis à distance, par voie électronique, suite à une demande individuelle. Même si </w:t>
      </w:r>
      <w:r w:rsidR="0051744C">
        <w:rPr>
          <w:rFonts w:ascii="Times New Roman" w:eastAsia="Times New Roman" w:hAnsi="Times New Roman" w:cs="Times New Roman"/>
          <w:szCs w:val="20"/>
          <w:lang w:val="fr" w:eastAsia="en-IE"/>
        </w:rPr>
        <w:t>le</w:t>
      </w:r>
      <w:r w:rsidRPr="005F1D97">
        <w:rPr>
          <w:rFonts w:ascii="Times New Roman" w:eastAsia="Times New Roman" w:hAnsi="Times New Roman" w:cs="Times New Roman"/>
          <w:szCs w:val="20"/>
          <w:lang w:val="fr" w:eastAsia="en-IE"/>
        </w:rPr>
        <w:t xml:space="preserve"> libellé </w:t>
      </w:r>
      <w:r w:rsidR="0051744C">
        <w:rPr>
          <w:rFonts w:ascii="Times New Roman" w:eastAsia="Times New Roman" w:hAnsi="Times New Roman" w:cs="Times New Roman"/>
          <w:szCs w:val="20"/>
          <w:lang w:val="fr" w:eastAsia="en-IE"/>
        </w:rPr>
        <w:t xml:space="preserve">de ces dispositions </w:t>
      </w:r>
      <w:r w:rsidRPr="005F1D97">
        <w:rPr>
          <w:rFonts w:ascii="Times New Roman" w:eastAsia="Times New Roman" w:hAnsi="Times New Roman" w:cs="Times New Roman"/>
          <w:szCs w:val="20"/>
          <w:lang w:val="fr" w:eastAsia="en-IE"/>
        </w:rPr>
        <w:t xml:space="preserve">ne distingue pas entre services en ligne et hors ligne, </w:t>
      </w:r>
      <w:r w:rsidR="0051744C">
        <w:rPr>
          <w:rFonts w:ascii="Times New Roman" w:eastAsia="Times New Roman" w:hAnsi="Times New Roman" w:cs="Times New Roman"/>
          <w:szCs w:val="20"/>
          <w:lang w:val="fr" w:eastAsia="en-IE"/>
        </w:rPr>
        <w:t>leur</w:t>
      </w:r>
      <w:r w:rsidRPr="005F1D97">
        <w:rPr>
          <w:rFonts w:ascii="Times New Roman" w:eastAsia="Times New Roman" w:hAnsi="Times New Roman" w:cs="Times New Roman"/>
          <w:szCs w:val="20"/>
          <w:lang w:val="fr" w:eastAsia="en-IE"/>
        </w:rPr>
        <w:t xml:space="preserve"> objectif relatif aux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services de la société d</w:t>
      </w:r>
      <w:r w:rsidR="000F7992">
        <w:rPr>
          <w:rFonts w:ascii="Times New Roman" w:eastAsia="Times New Roman" w:hAnsi="Times New Roman" w:cs="Times New Roman"/>
          <w:szCs w:val="20"/>
          <w:lang w:val="fr" w:eastAsia="en-IE"/>
        </w:rPr>
        <w:t>e l’</w:t>
      </w:r>
      <w:r w:rsidRPr="005F1D97">
        <w:rPr>
          <w:rFonts w:ascii="Times New Roman" w:eastAsia="Times New Roman" w:hAnsi="Times New Roman" w:cs="Times New Roman"/>
          <w:szCs w:val="20"/>
          <w:lang w:val="fr" w:eastAsia="en-IE"/>
        </w:rPr>
        <w:t>information</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peut être déduit de </w:t>
      </w:r>
      <w:r w:rsidR="0051744C">
        <w:rPr>
          <w:rFonts w:ascii="Times New Roman" w:eastAsia="Times New Roman" w:hAnsi="Times New Roman" w:cs="Times New Roman"/>
          <w:szCs w:val="20"/>
          <w:lang w:val="fr" w:eastAsia="en-IE"/>
        </w:rPr>
        <w:t>leur</w:t>
      </w:r>
      <w:r w:rsidRPr="005F1D97">
        <w:rPr>
          <w:rFonts w:ascii="Times New Roman" w:eastAsia="Times New Roman" w:hAnsi="Times New Roman" w:cs="Times New Roman"/>
          <w:szCs w:val="20"/>
          <w:lang w:val="fr" w:eastAsia="en-IE"/>
        </w:rPr>
        <w:t xml:space="preserve"> motivation ou des travaux préparatoires.</w:t>
      </w:r>
    </w:p>
    <w:p w14:paraId="56227D8B" w14:textId="77777777" w:rsidR="008E22D9" w:rsidRPr="005F1D97" w:rsidRDefault="008E22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04372CEB" w14:textId="2ED8C3E8"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E369B">
        <w:rPr>
          <w:rFonts w:ascii="Times New Roman" w:eastAsia="Times New Roman" w:hAnsi="Times New Roman" w:cs="Times New Roman"/>
          <w:i/>
          <w:iCs/>
          <w:sz w:val="20"/>
          <w:szCs w:val="16"/>
          <w:lang w:val="fr-BE" w:eastAsia="en-IE"/>
        </w:rPr>
        <w:t>« 27</w:t>
      </w:r>
      <w:r w:rsidR="00116D32">
        <w:rPr>
          <w:rFonts w:ascii="Times New Roman" w:eastAsia="Times New Roman" w:hAnsi="Times New Roman" w:cs="Times New Roman"/>
          <w:i/>
          <w:iCs/>
          <w:sz w:val="20"/>
          <w:szCs w:val="16"/>
          <w:lang w:val="fr-BE" w:eastAsia="en-IE"/>
        </w:rPr>
        <w:t xml:space="preserve">. </w:t>
      </w:r>
      <w:r w:rsidRPr="006E369B">
        <w:rPr>
          <w:rFonts w:ascii="Times New Roman" w:eastAsia="Times New Roman" w:hAnsi="Times New Roman" w:cs="Times New Roman"/>
          <w:i/>
          <w:iCs/>
          <w:sz w:val="20"/>
          <w:szCs w:val="16"/>
          <w:lang w:val="fr-BE" w:eastAsia="en-IE"/>
        </w:rPr>
        <w:t>Il y a lieu de rappeler que, aux termes de l’article 1</w:t>
      </w:r>
      <w:r w:rsidRPr="006E369B">
        <w:rPr>
          <w:rFonts w:ascii="Times New Roman" w:eastAsia="Times New Roman" w:hAnsi="Times New Roman" w:cs="Times New Roman"/>
          <w:i/>
          <w:iCs/>
          <w:sz w:val="20"/>
          <w:szCs w:val="16"/>
          <w:vertAlign w:val="superscript"/>
          <w:lang w:val="fr-BE" w:eastAsia="en-IE"/>
        </w:rPr>
        <w:t>er</w:t>
      </w:r>
      <w:r w:rsidRPr="006E369B">
        <w:rPr>
          <w:rFonts w:ascii="Times New Roman" w:eastAsia="Times New Roman" w:hAnsi="Times New Roman" w:cs="Times New Roman"/>
          <w:i/>
          <w:iCs/>
          <w:sz w:val="20"/>
          <w:szCs w:val="16"/>
          <w:lang w:val="fr-BE" w:eastAsia="en-IE"/>
        </w:rPr>
        <w:t>, point 2, de cette directive, cette catégorie de « règle technique » couvre uniquement les règles relatives aux services de la société de l’information, c’est-à-dire à tout service effectué à distance par voie électronique et à la demande individuelle d’un destinataire de services (arrêts du 13 octobre 2016, M. et S., C</w:t>
      </w:r>
      <w:r w:rsidRPr="006E369B">
        <w:rPr>
          <w:rFonts w:ascii="Times New Roman" w:eastAsia="Times New Roman" w:hAnsi="Times New Roman" w:cs="Times New Roman"/>
          <w:i/>
          <w:iCs/>
          <w:sz w:val="20"/>
          <w:szCs w:val="16"/>
          <w:lang w:val="fr-BE" w:eastAsia="en-IE"/>
        </w:rPr>
        <w:noBreakHyphen/>
        <w:t xml:space="preserve">303/15, EU:C:2016:771, point 21, ainsi </w:t>
      </w:r>
      <w:r w:rsidRPr="006E369B">
        <w:rPr>
          <w:rFonts w:ascii="Times New Roman" w:eastAsia="Times New Roman" w:hAnsi="Times New Roman" w:cs="Times New Roman"/>
          <w:i/>
          <w:iCs/>
          <w:sz w:val="20"/>
          <w:szCs w:val="16"/>
          <w:lang w:val="fr-BE" w:eastAsia="en-IE"/>
        </w:rPr>
        <w:lastRenderedPageBreak/>
        <w:t>que du 1</w:t>
      </w:r>
      <w:r w:rsidRPr="006E369B">
        <w:rPr>
          <w:rFonts w:ascii="Times New Roman" w:eastAsia="Times New Roman" w:hAnsi="Times New Roman" w:cs="Times New Roman"/>
          <w:i/>
          <w:iCs/>
          <w:sz w:val="20"/>
          <w:szCs w:val="16"/>
          <w:vertAlign w:val="superscript"/>
          <w:lang w:val="fr-BE" w:eastAsia="en-IE"/>
        </w:rPr>
        <w:t>er</w:t>
      </w:r>
      <w:r w:rsidRPr="006E369B">
        <w:rPr>
          <w:rFonts w:ascii="Times New Roman" w:eastAsia="Times New Roman" w:hAnsi="Times New Roman" w:cs="Times New Roman"/>
          <w:i/>
          <w:iCs/>
          <w:sz w:val="20"/>
          <w:szCs w:val="16"/>
          <w:lang w:val="fr-BE" w:eastAsia="en-IE"/>
        </w:rPr>
        <w:t xml:space="preserve"> février 2017, </w:t>
      </w:r>
      <w:proofErr w:type="spellStart"/>
      <w:r w:rsidRPr="006E369B">
        <w:rPr>
          <w:rFonts w:ascii="Times New Roman" w:eastAsia="Times New Roman" w:hAnsi="Times New Roman" w:cs="Times New Roman"/>
          <w:i/>
          <w:iCs/>
          <w:sz w:val="20"/>
          <w:szCs w:val="16"/>
          <w:lang w:val="fr-BE" w:eastAsia="en-IE"/>
        </w:rPr>
        <w:t>Município</w:t>
      </w:r>
      <w:proofErr w:type="spellEnd"/>
      <w:r w:rsidRPr="006E369B">
        <w:rPr>
          <w:rFonts w:ascii="Times New Roman" w:eastAsia="Times New Roman" w:hAnsi="Times New Roman" w:cs="Times New Roman"/>
          <w:i/>
          <w:iCs/>
          <w:sz w:val="20"/>
          <w:szCs w:val="16"/>
          <w:lang w:val="fr-BE" w:eastAsia="en-IE"/>
        </w:rPr>
        <w:t xml:space="preserve"> de </w:t>
      </w:r>
      <w:proofErr w:type="spellStart"/>
      <w:r w:rsidRPr="006E369B">
        <w:rPr>
          <w:rFonts w:ascii="Times New Roman" w:eastAsia="Times New Roman" w:hAnsi="Times New Roman" w:cs="Times New Roman"/>
          <w:i/>
          <w:iCs/>
          <w:sz w:val="20"/>
          <w:szCs w:val="16"/>
          <w:lang w:val="fr-BE" w:eastAsia="en-IE"/>
        </w:rPr>
        <w:t>Palmela</w:t>
      </w:r>
      <w:proofErr w:type="spellEnd"/>
      <w:r w:rsidRPr="006E369B">
        <w:rPr>
          <w:rFonts w:ascii="Times New Roman" w:eastAsia="Times New Roman" w:hAnsi="Times New Roman" w:cs="Times New Roman"/>
          <w:i/>
          <w:iCs/>
          <w:sz w:val="20"/>
          <w:szCs w:val="16"/>
          <w:lang w:val="fr-BE" w:eastAsia="en-IE"/>
        </w:rPr>
        <w:t>, C</w:t>
      </w:r>
      <w:r w:rsidRPr="006E369B">
        <w:rPr>
          <w:rFonts w:ascii="Times New Roman" w:eastAsia="Times New Roman" w:hAnsi="Times New Roman" w:cs="Times New Roman"/>
          <w:i/>
          <w:iCs/>
          <w:sz w:val="20"/>
          <w:szCs w:val="16"/>
          <w:lang w:val="fr-BE" w:eastAsia="en-IE"/>
        </w:rPr>
        <w:noBreakHyphen/>
        <w:t>144/16, EU:C:2017:76, point 28).</w:t>
      </w:r>
    </w:p>
    <w:p w14:paraId="53C2EAAB" w14:textId="77777777"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7B17DE8" w14:textId="5266425C"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E369B">
        <w:rPr>
          <w:rFonts w:ascii="Times New Roman" w:eastAsia="Times New Roman" w:hAnsi="Times New Roman" w:cs="Times New Roman"/>
          <w:i/>
          <w:iCs/>
          <w:sz w:val="20"/>
          <w:szCs w:val="16"/>
          <w:lang w:val="fr-BE" w:eastAsia="en-IE"/>
        </w:rPr>
        <w:t>28</w:t>
      </w:r>
      <w:r w:rsidR="00116D32">
        <w:rPr>
          <w:rFonts w:ascii="Times New Roman" w:eastAsia="Times New Roman" w:hAnsi="Times New Roman" w:cs="Times New Roman"/>
          <w:i/>
          <w:iCs/>
          <w:sz w:val="20"/>
          <w:szCs w:val="16"/>
          <w:lang w:val="fr-BE" w:eastAsia="en-IE"/>
        </w:rPr>
        <w:t xml:space="preserve">. </w:t>
      </w:r>
      <w:r w:rsidRPr="006E369B">
        <w:rPr>
          <w:rFonts w:ascii="Times New Roman" w:eastAsia="Times New Roman" w:hAnsi="Times New Roman" w:cs="Times New Roman"/>
          <w:i/>
          <w:iCs/>
          <w:sz w:val="20"/>
          <w:szCs w:val="16"/>
          <w:lang w:val="fr-BE" w:eastAsia="en-IE"/>
        </w:rPr>
        <w:t>À cet égard, il y a lieu de relever que l’article 10, paragraphe 3, point 3, de la loi sur les jeux concerne, en principe, deux types de services, à savoir, d’une part, les services de publicité, qui font l’objet immédiat des sanctions prévues par cette disposition, et, d’autre part, les services de jeux auxquels l’interdiction de publicité se réfère et qui constituent l’objet principal de la loi sur les jeux, vue dans son ensemble.</w:t>
      </w:r>
    </w:p>
    <w:p w14:paraId="6F381AAD" w14:textId="77777777"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664402E" w14:textId="4D5D0A39"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E369B">
        <w:rPr>
          <w:rFonts w:ascii="Times New Roman" w:eastAsia="Times New Roman" w:hAnsi="Times New Roman" w:cs="Times New Roman"/>
          <w:i/>
          <w:iCs/>
          <w:sz w:val="20"/>
          <w:szCs w:val="16"/>
          <w:lang w:val="fr-BE" w:eastAsia="en-IE"/>
        </w:rPr>
        <w:t>29</w:t>
      </w:r>
      <w:r w:rsidR="00116D32">
        <w:rPr>
          <w:rFonts w:ascii="Times New Roman" w:eastAsia="Times New Roman" w:hAnsi="Times New Roman" w:cs="Times New Roman"/>
          <w:i/>
          <w:iCs/>
          <w:sz w:val="20"/>
          <w:szCs w:val="16"/>
          <w:lang w:val="fr-BE" w:eastAsia="en-IE"/>
        </w:rPr>
        <w:t xml:space="preserve">. </w:t>
      </w:r>
      <w:r w:rsidRPr="006E369B">
        <w:rPr>
          <w:rFonts w:ascii="Times New Roman" w:eastAsia="Times New Roman" w:hAnsi="Times New Roman" w:cs="Times New Roman"/>
          <w:i/>
          <w:iCs/>
          <w:sz w:val="20"/>
          <w:szCs w:val="16"/>
          <w:lang w:val="fr-BE" w:eastAsia="en-IE"/>
        </w:rPr>
        <w:t>Or, tant les services de publicité que les services de jeux, dans la mesure où ils sont prestés, notamment, par voie électronique (en ligne), constituent des « services de la société de l’information » au sens de l’article 1</w:t>
      </w:r>
      <w:r w:rsidRPr="006E369B">
        <w:rPr>
          <w:rFonts w:ascii="Times New Roman" w:eastAsia="Times New Roman" w:hAnsi="Times New Roman" w:cs="Times New Roman"/>
          <w:i/>
          <w:iCs/>
          <w:sz w:val="20"/>
          <w:szCs w:val="16"/>
          <w:vertAlign w:val="superscript"/>
          <w:lang w:val="fr-BE" w:eastAsia="en-IE"/>
        </w:rPr>
        <w:t>er</w:t>
      </w:r>
      <w:r w:rsidRPr="006E369B">
        <w:rPr>
          <w:rFonts w:ascii="Times New Roman" w:eastAsia="Times New Roman" w:hAnsi="Times New Roman" w:cs="Times New Roman"/>
          <w:i/>
          <w:iCs/>
          <w:sz w:val="20"/>
          <w:szCs w:val="16"/>
          <w:lang w:val="fr-BE" w:eastAsia="en-IE"/>
        </w:rPr>
        <w:t>, point 2, de la directive 98/34 et les règles qui y sont relatives sont, dès lors, susceptibles d’être qualifiées de « règles relatives aux services » au sens de l’article 1</w:t>
      </w:r>
      <w:r w:rsidRPr="006E369B">
        <w:rPr>
          <w:rFonts w:ascii="Times New Roman" w:eastAsia="Times New Roman" w:hAnsi="Times New Roman" w:cs="Times New Roman"/>
          <w:i/>
          <w:iCs/>
          <w:sz w:val="20"/>
          <w:szCs w:val="16"/>
          <w:vertAlign w:val="superscript"/>
          <w:lang w:val="fr-BE" w:eastAsia="en-IE"/>
        </w:rPr>
        <w:t>er</w:t>
      </w:r>
      <w:r w:rsidRPr="006E369B">
        <w:rPr>
          <w:rFonts w:ascii="Times New Roman" w:eastAsia="Times New Roman" w:hAnsi="Times New Roman" w:cs="Times New Roman"/>
          <w:i/>
          <w:iCs/>
          <w:sz w:val="20"/>
          <w:szCs w:val="16"/>
          <w:lang w:val="fr-BE" w:eastAsia="en-IE"/>
        </w:rPr>
        <w:t>, point 5, de la directive 98/34. »</w:t>
      </w:r>
    </w:p>
    <w:p w14:paraId="5EFEFCC0" w14:textId="77777777"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Cs w:val="20"/>
          <w:lang w:val="fr-BE" w:eastAsia="en-IE"/>
        </w:rPr>
      </w:pPr>
    </w:p>
    <w:p w14:paraId="77333BFF" w14:textId="3F571F6C"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E369B">
        <w:rPr>
          <w:rFonts w:ascii="Times New Roman" w:eastAsia="Times New Roman" w:hAnsi="Times New Roman" w:cs="Times New Roman"/>
          <w:i/>
          <w:iCs/>
          <w:sz w:val="20"/>
          <w:szCs w:val="16"/>
          <w:lang w:val="fr" w:eastAsia="en-IE"/>
        </w:rPr>
        <w:t>« </w:t>
      </w:r>
      <w:r w:rsidRPr="006E369B">
        <w:rPr>
          <w:rFonts w:ascii="Times New Roman" w:eastAsia="Times New Roman" w:hAnsi="Times New Roman" w:cs="Times New Roman"/>
          <w:i/>
          <w:iCs/>
          <w:sz w:val="20"/>
          <w:szCs w:val="16"/>
          <w:lang w:val="fr-BE" w:eastAsia="en-IE"/>
        </w:rPr>
        <w:t>32</w:t>
      </w:r>
      <w:r w:rsidR="00116D32">
        <w:rPr>
          <w:rFonts w:ascii="Times New Roman" w:eastAsia="Times New Roman" w:hAnsi="Times New Roman" w:cs="Times New Roman"/>
          <w:i/>
          <w:iCs/>
          <w:sz w:val="20"/>
          <w:szCs w:val="16"/>
          <w:lang w:val="fr-BE" w:eastAsia="en-IE"/>
        </w:rPr>
        <w:t xml:space="preserve">. </w:t>
      </w:r>
      <w:r w:rsidRPr="006E369B">
        <w:rPr>
          <w:rFonts w:ascii="Times New Roman" w:eastAsia="Times New Roman" w:hAnsi="Times New Roman" w:cs="Times New Roman"/>
          <w:i/>
          <w:iCs/>
          <w:sz w:val="20"/>
          <w:szCs w:val="16"/>
          <w:lang w:val="fr-BE" w:eastAsia="en-IE"/>
        </w:rPr>
        <w:t>À cet égard, il convient de relever, premièrement, que la question de savoir si une règle vise spécifiquement des services de la société de l’information doit, aux termes de l’article 1</w:t>
      </w:r>
      <w:r w:rsidRPr="006E369B">
        <w:rPr>
          <w:rFonts w:ascii="Times New Roman" w:eastAsia="Times New Roman" w:hAnsi="Times New Roman" w:cs="Times New Roman"/>
          <w:i/>
          <w:iCs/>
          <w:sz w:val="20"/>
          <w:szCs w:val="16"/>
          <w:vertAlign w:val="superscript"/>
          <w:lang w:val="fr-BE" w:eastAsia="en-IE"/>
        </w:rPr>
        <w:t>er</w:t>
      </w:r>
      <w:r w:rsidRPr="006E369B">
        <w:rPr>
          <w:rFonts w:ascii="Times New Roman" w:eastAsia="Times New Roman" w:hAnsi="Times New Roman" w:cs="Times New Roman"/>
          <w:i/>
          <w:iCs/>
          <w:sz w:val="20"/>
          <w:szCs w:val="16"/>
          <w:lang w:val="fr-BE" w:eastAsia="en-IE"/>
        </w:rPr>
        <w:t>, point 5, premier tiret, de la directive 98/34, être déterminée au regard tant de la motivation que du texte du dispositif de cette règle. En outre, en vertu de cette même disposition, il n’est pas requis que la règle en cause ait dans sa totalité « pour finalité et pour objet spécifiques » de réglementer des services de la société de l’information, dès lors qu’il est suffisant que cette règle poursuive cette finalité ou cet objet dans certaines de ses dispositions.</w:t>
      </w:r>
    </w:p>
    <w:p w14:paraId="03919535" w14:textId="77777777"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315D791" w14:textId="1B3B0729" w:rsidR="008E22D9" w:rsidRPr="006E369B"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E369B">
        <w:rPr>
          <w:rFonts w:ascii="Times New Roman" w:eastAsia="Times New Roman" w:hAnsi="Times New Roman" w:cs="Times New Roman"/>
          <w:i/>
          <w:iCs/>
          <w:sz w:val="20"/>
          <w:szCs w:val="16"/>
          <w:lang w:val="fr-BE" w:eastAsia="en-IE"/>
        </w:rPr>
        <w:t>33</w:t>
      </w:r>
      <w:r w:rsidR="00116D32">
        <w:rPr>
          <w:rFonts w:ascii="Times New Roman" w:eastAsia="Times New Roman" w:hAnsi="Times New Roman" w:cs="Times New Roman"/>
          <w:i/>
          <w:iCs/>
          <w:sz w:val="20"/>
          <w:szCs w:val="16"/>
          <w:lang w:val="fr-BE" w:eastAsia="en-IE"/>
        </w:rPr>
        <w:t xml:space="preserve">. </w:t>
      </w:r>
      <w:r w:rsidRPr="006E369B">
        <w:rPr>
          <w:rFonts w:ascii="Times New Roman" w:eastAsia="Times New Roman" w:hAnsi="Times New Roman" w:cs="Times New Roman"/>
          <w:i/>
          <w:iCs/>
          <w:sz w:val="20"/>
          <w:szCs w:val="16"/>
          <w:lang w:val="fr-BE" w:eastAsia="en-IE"/>
        </w:rPr>
        <w:t>Par conséquent, s’il ne ressort pas du seul libellé d’une règle nationale qu’elle vise, au moins en partie, à réglementer spécifiquement des services de la société de l’information – par exemple en ce que le libellé de la règle n’établit, comme en l’espèce, aucune distinction entre des services prestés hors ligne et des services prestés en ligne –, cet objet peut néanmoins clairement découler de la motivation de cette règle, telle qu’elle ressort, conformément aux règles d’interprétation nationales pertinentes à cet égard, notamment des travaux préparatoires de ladite règle »</w:t>
      </w:r>
    </w:p>
    <w:p w14:paraId="4FC111DB" w14:textId="77777777" w:rsidR="008E22D9" w:rsidRDefault="008E22D9" w:rsidP="00AA4F20">
      <w:pPr>
        <w:spacing w:after="0" w:line="240" w:lineRule="auto"/>
        <w:rPr>
          <w:lang w:val="fr-BE"/>
        </w:rPr>
      </w:pPr>
    </w:p>
    <w:p w14:paraId="61BC4E90" w14:textId="0AE8F401" w:rsidR="008E22D9"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0" w:history="1">
        <w:r w:rsidR="008E22D9" w:rsidRPr="005F1D97">
          <w:rPr>
            <w:rFonts w:ascii="Times New Roman" w:eastAsia="Times New Roman" w:hAnsi="Times New Roman" w:cs="Times New Roman"/>
            <w:b/>
            <w:i/>
            <w:color w:val="0000FF"/>
            <w:szCs w:val="20"/>
            <w:u w:val="single"/>
            <w:lang w:val="fr" w:eastAsia="en-IE"/>
          </w:rPr>
          <w:t>Arrêt du 20 décembre 2017</w:t>
        </w:r>
      </w:hyperlink>
      <w:r w:rsidR="008E22D9" w:rsidRPr="005F1D97">
        <w:rPr>
          <w:rFonts w:ascii="Times New Roman" w:eastAsia="Times New Roman" w:hAnsi="Times New Roman" w:cs="Times New Roman"/>
          <w:b/>
          <w:i/>
          <w:szCs w:val="20"/>
          <w:lang w:val="fr" w:eastAsia="en-IE"/>
        </w:rPr>
        <w:t xml:space="preserve">, </w:t>
      </w:r>
      <w:proofErr w:type="spellStart"/>
      <w:r w:rsidR="00437A3E" w:rsidRPr="005F1D97">
        <w:rPr>
          <w:rFonts w:ascii="Times New Roman" w:eastAsia="Times New Roman" w:hAnsi="Times New Roman" w:cs="Times New Roman"/>
          <w:b/>
          <w:i/>
          <w:szCs w:val="20"/>
          <w:lang w:val="fr" w:eastAsia="en-IE"/>
        </w:rPr>
        <w:t>Asociación</w:t>
      </w:r>
      <w:proofErr w:type="spellEnd"/>
      <w:r w:rsidR="00437A3E" w:rsidRPr="005F1D97">
        <w:rPr>
          <w:rFonts w:ascii="Times New Roman" w:eastAsia="Times New Roman" w:hAnsi="Times New Roman" w:cs="Times New Roman"/>
          <w:b/>
          <w:i/>
          <w:szCs w:val="20"/>
          <w:lang w:val="fr" w:eastAsia="en-IE"/>
        </w:rPr>
        <w:t xml:space="preserve"> </w:t>
      </w:r>
      <w:proofErr w:type="spellStart"/>
      <w:r w:rsidR="00437A3E" w:rsidRPr="005F1D97">
        <w:rPr>
          <w:rFonts w:ascii="Times New Roman" w:eastAsia="Times New Roman" w:hAnsi="Times New Roman" w:cs="Times New Roman"/>
          <w:b/>
          <w:i/>
          <w:szCs w:val="20"/>
          <w:lang w:val="fr" w:eastAsia="en-IE"/>
        </w:rPr>
        <w:t>Profesional</w:t>
      </w:r>
      <w:proofErr w:type="spellEnd"/>
      <w:r w:rsidR="00437A3E" w:rsidRPr="005F1D97">
        <w:rPr>
          <w:rFonts w:ascii="Times New Roman" w:eastAsia="Times New Roman" w:hAnsi="Times New Roman" w:cs="Times New Roman"/>
          <w:b/>
          <w:i/>
          <w:szCs w:val="20"/>
          <w:lang w:val="fr" w:eastAsia="en-IE"/>
        </w:rPr>
        <w:t xml:space="preserve"> Elite Taxi, </w:t>
      </w:r>
      <w:r w:rsidR="008E22D9" w:rsidRPr="005F1D97">
        <w:rPr>
          <w:rFonts w:ascii="Times New Roman" w:eastAsia="Times New Roman" w:hAnsi="Times New Roman" w:cs="Times New Roman"/>
          <w:b/>
          <w:i/>
          <w:szCs w:val="20"/>
          <w:lang w:val="fr" w:eastAsia="en-IE"/>
        </w:rPr>
        <w:t xml:space="preserve">C-434/15, EU:C:2017:981, points 37 </w:t>
      </w:r>
      <w:r w:rsidR="006E369B">
        <w:rPr>
          <w:rFonts w:ascii="Times New Roman" w:eastAsia="Times New Roman" w:hAnsi="Times New Roman" w:cs="Times New Roman"/>
          <w:b/>
          <w:i/>
          <w:szCs w:val="20"/>
          <w:lang w:val="fr" w:eastAsia="en-IE"/>
        </w:rPr>
        <w:t xml:space="preserve">et 39 </w:t>
      </w:r>
      <w:r w:rsidR="008E22D9" w:rsidRPr="005F1D97">
        <w:rPr>
          <w:rFonts w:ascii="Times New Roman" w:eastAsia="Times New Roman" w:hAnsi="Times New Roman" w:cs="Times New Roman"/>
          <w:b/>
          <w:i/>
          <w:szCs w:val="20"/>
          <w:lang w:val="fr" w:eastAsia="en-IE"/>
        </w:rPr>
        <w:t>à 4</w:t>
      </w:r>
      <w:r w:rsidR="008E22D9">
        <w:rPr>
          <w:rFonts w:ascii="Times New Roman" w:eastAsia="Times New Roman" w:hAnsi="Times New Roman" w:cs="Times New Roman"/>
          <w:b/>
          <w:i/>
          <w:szCs w:val="20"/>
          <w:lang w:val="fr" w:eastAsia="en-IE"/>
        </w:rPr>
        <w:t>1</w:t>
      </w:r>
    </w:p>
    <w:p w14:paraId="101ED876" w14:textId="77777777" w:rsidR="008E22D9" w:rsidRPr="005F1D97"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A62DACC" w14:textId="4FE4B73A" w:rsidR="008E22D9" w:rsidRPr="005F1D97" w:rsidRDefault="008E22D9" w:rsidP="00AA4F20">
      <w:pPr>
        <w:widowControl w:val="0"/>
        <w:tabs>
          <w:tab w:val="left" w:pos="446"/>
        </w:tabs>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Un service d’intermédiation dont l’objet est de relier, au moyen d’une application pour smartphone et contre rémunération, des conducteurs non professionnels utilisant leur propre véhicule à des personnes souhaitant effectuer des trajets urbains doit être considéré comme étant intrinsèquement lié à un service de transport et, partant, doit être qualifié de « service dans le domaine des transports » (et non de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service de la société de l’information</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w:t>
      </w:r>
    </w:p>
    <w:p w14:paraId="0D7072DE" w14:textId="77777777" w:rsidR="008E22D9" w:rsidRPr="005F1D97" w:rsidRDefault="008E22D9" w:rsidP="00AA4F20">
      <w:pPr>
        <w:widowControl w:val="0"/>
        <w:tabs>
          <w:tab w:val="left" w:pos="446"/>
        </w:tabs>
        <w:autoSpaceDE w:val="0"/>
        <w:autoSpaceDN w:val="0"/>
        <w:spacing w:after="0" w:line="240" w:lineRule="auto"/>
        <w:jc w:val="both"/>
        <w:rPr>
          <w:rFonts w:ascii="Times New Roman" w:eastAsia="Times New Roman" w:hAnsi="Times New Roman" w:cs="Times New Roman"/>
          <w:szCs w:val="20"/>
          <w:lang w:val="fr" w:eastAsia="en-IE"/>
        </w:rPr>
      </w:pPr>
    </w:p>
    <w:p w14:paraId="2DF36F50" w14:textId="76D2277E" w:rsidR="008E22D9"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 w:eastAsia="en-IE"/>
        </w:rPr>
        <w:t>« </w:t>
      </w:r>
      <w:r w:rsidRPr="005F1D97">
        <w:rPr>
          <w:rFonts w:ascii="Times New Roman" w:eastAsia="Times New Roman" w:hAnsi="Times New Roman" w:cs="Times New Roman"/>
          <w:i/>
          <w:iCs/>
          <w:sz w:val="20"/>
          <w:szCs w:val="16"/>
          <w:lang w:val="fr-BE" w:eastAsia="en-IE"/>
        </w:rPr>
        <w:t>37</w:t>
      </w:r>
      <w:r w:rsidR="00116D32">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Il convient toutefois de relever qu’un service tel que celui en cause au principal ne se résume pas à un service d’intermédiation consistant à mettre en relation, au moyen d’une application pour téléphone intelligent, un chauffeur non professionnel utilisant son propre véhicule et une personne qui souhaite effectuer un déplacement urbain. »</w:t>
      </w:r>
    </w:p>
    <w:p w14:paraId="6F022088" w14:textId="77777777"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FA704C2" w14:textId="3B33B61B"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BE" w:eastAsia="en-IE"/>
        </w:rPr>
        <w:t>« 39</w:t>
      </w:r>
      <w:r w:rsidR="00116D32">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À cet égard, il ressort des informations dont la Cour dispose que le service d’intermédiation d’Uber repose sur la sélection de chauffeurs non professionnels utilisant leur propre véhicule auxquels cette société fournit une application sans laquelle, d’une part, ces chauffeurs ne seraient pas amenés à fournir des services de transport et, d’autre part, les personnes désireuses d’effectuer un déplacement urbain n’auraient pas recours aux services desdits chauffeurs. De surcroît, Uber exerce une influence décisive sur les conditions de la prestation de tels chauffeurs. Sur ce dernier point, il apparaît notamment qu’Uber établit, au moyen de l’application éponyme, à tout le moins le prix maximum de la course, que cette société collecte ce prix auprès du client avant d’en reverser une partie au chauffeur non professionnel du véhicule, et qu’elle exerce un certain contrôle sur la qualité des véhicules et de leurs chauffeurs ainsi que sur le comportement de ces derniers, pouvant entraîner, le cas échéant, leur exclusion.</w:t>
      </w:r>
    </w:p>
    <w:p w14:paraId="056E49FE" w14:textId="77777777"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3193BA2" w14:textId="4AA99D70"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BE" w:eastAsia="en-IE"/>
        </w:rPr>
        <w:t>40</w:t>
      </w:r>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Ce service d’intermédiation doit donc être considéré comme faisant partie intégrante d’un service global dont l’élément principal est un service de transport et, partant, comme répondant à la qualification non pas de « service de la société de l’information »,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point 2, de la directive 98/34, auquel renvoie l’article 2, sous a), de la directive 2000/31, mais de « service dans le domaine des transports », au sens de l’article 2, paragraphe 2, sous d), de la directive 2006/123.</w:t>
      </w:r>
    </w:p>
    <w:p w14:paraId="2A11B60E" w14:textId="77777777"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48208D6" w14:textId="717232E0" w:rsidR="008E22D9" w:rsidRPr="005F1D97" w:rsidRDefault="008E22D9" w:rsidP="00AA4F20">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BE" w:eastAsia="en-IE"/>
        </w:rPr>
        <w:t>41</w:t>
      </w:r>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 xml:space="preserve">Une telle qualification est d’ailleurs confortée par la jurisprudence de la Cour selon laquelle la notion </w:t>
      </w:r>
      <w:r w:rsidRPr="005F1D97">
        <w:rPr>
          <w:rFonts w:ascii="Times New Roman" w:eastAsia="Times New Roman" w:hAnsi="Times New Roman" w:cs="Times New Roman"/>
          <w:i/>
          <w:iCs/>
          <w:sz w:val="20"/>
          <w:szCs w:val="16"/>
          <w:lang w:val="fr-BE" w:eastAsia="en-IE"/>
        </w:rPr>
        <w:lastRenderedPageBreak/>
        <w:t xml:space="preserve">de « service dans le domaine des transports » englobe non seulement les services de transport pris en tant que tels, mais également tout service intrinsèquement lié à un acte physique de déplacement de personnes ou de marchandises d’un endroit à un autre grâce à un moyen de transport [voir, en ce sens, arrêt du 15 octobre 2015, Grupo </w:t>
      </w:r>
      <w:proofErr w:type="spellStart"/>
      <w:r w:rsidRPr="005F1D97">
        <w:rPr>
          <w:rFonts w:ascii="Times New Roman" w:eastAsia="Times New Roman" w:hAnsi="Times New Roman" w:cs="Times New Roman"/>
          <w:i/>
          <w:iCs/>
          <w:sz w:val="20"/>
          <w:szCs w:val="16"/>
          <w:lang w:val="fr-BE" w:eastAsia="en-IE"/>
        </w:rPr>
        <w:t>Itevelesa</w:t>
      </w:r>
      <w:proofErr w:type="spellEnd"/>
      <w:r w:rsidRPr="005F1D97">
        <w:rPr>
          <w:rFonts w:ascii="Times New Roman" w:eastAsia="Times New Roman" w:hAnsi="Times New Roman" w:cs="Times New Roman"/>
          <w:i/>
          <w:iCs/>
          <w:sz w:val="20"/>
          <w:szCs w:val="16"/>
          <w:lang w:val="fr-BE" w:eastAsia="en-IE"/>
        </w:rPr>
        <w:t xml:space="preserve"> e.a., C</w:t>
      </w:r>
      <w:r w:rsidRPr="005F1D97">
        <w:rPr>
          <w:rFonts w:ascii="Times New Roman" w:eastAsia="Times New Roman" w:hAnsi="Times New Roman" w:cs="Times New Roman"/>
          <w:i/>
          <w:iCs/>
          <w:sz w:val="20"/>
          <w:szCs w:val="16"/>
          <w:lang w:val="fr-BE" w:eastAsia="en-IE"/>
        </w:rPr>
        <w:noBreakHyphen/>
        <w:t>168/14, EU:C:2015:685, points 45 et 46, ainsi que avis 2/15 (Accord de libre-échange avec Singapour), du 16 mai 2017, EU:C:2017:376, point 61].»</w:t>
      </w:r>
    </w:p>
    <w:p w14:paraId="058FA7B6" w14:textId="77777777" w:rsidR="008E22D9" w:rsidRDefault="008E22D9" w:rsidP="00AA4F20">
      <w:pPr>
        <w:spacing w:after="0" w:line="240" w:lineRule="auto"/>
        <w:rPr>
          <w:lang w:val="fr-BE"/>
        </w:rPr>
      </w:pPr>
    </w:p>
    <w:p w14:paraId="21433E65" w14:textId="0686F90B" w:rsidR="008E22D9"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1" w:history="1">
        <w:r w:rsidR="008E22D9" w:rsidRPr="005F1D97">
          <w:rPr>
            <w:rFonts w:ascii="Times New Roman" w:eastAsia="Times New Roman" w:hAnsi="Times New Roman" w:cs="Times New Roman"/>
            <w:b/>
            <w:i/>
            <w:color w:val="0000FF"/>
            <w:szCs w:val="20"/>
            <w:u w:val="single"/>
            <w:lang w:val="fr" w:eastAsia="en-IE"/>
          </w:rPr>
          <w:t>Arrêt du 10 avril 2018</w:t>
        </w:r>
      </w:hyperlink>
      <w:r w:rsidR="008E22D9" w:rsidRPr="005F1D97">
        <w:rPr>
          <w:rFonts w:ascii="Times New Roman" w:eastAsia="Times New Roman" w:hAnsi="Times New Roman" w:cs="Times New Roman"/>
          <w:b/>
          <w:i/>
          <w:szCs w:val="20"/>
          <w:lang w:val="fr" w:eastAsia="en-IE"/>
        </w:rPr>
        <w:t xml:space="preserve">, </w:t>
      </w:r>
      <w:r w:rsidR="001A278B" w:rsidRPr="005F1D97">
        <w:rPr>
          <w:rFonts w:ascii="Times New Roman" w:eastAsia="Times New Roman" w:hAnsi="Times New Roman" w:cs="Times New Roman"/>
          <w:b/>
          <w:i/>
          <w:szCs w:val="20"/>
          <w:lang w:val="fr" w:eastAsia="en-IE"/>
        </w:rPr>
        <w:t xml:space="preserve">Uber France, </w:t>
      </w:r>
      <w:r w:rsidR="008E22D9">
        <w:rPr>
          <w:rFonts w:ascii="Times New Roman" w:eastAsia="Times New Roman" w:hAnsi="Times New Roman" w:cs="Times New Roman"/>
          <w:b/>
          <w:i/>
          <w:szCs w:val="20"/>
          <w:lang w:val="fr" w:eastAsia="en-IE"/>
        </w:rPr>
        <w:t>C-</w:t>
      </w:r>
      <w:r w:rsidR="008E22D9" w:rsidRPr="005F1D97">
        <w:rPr>
          <w:rFonts w:ascii="Times New Roman" w:eastAsia="Times New Roman" w:hAnsi="Times New Roman" w:cs="Times New Roman"/>
          <w:b/>
          <w:i/>
          <w:szCs w:val="20"/>
          <w:lang w:val="fr" w:eastAsia="en-IE"/>
        </w:rPr>
        <w:t xml:space="preserve">320/16, EU:C:2018:221, points </w:t>
      </w:r>
      <w:r w:rsidR="008E22D9">
        <w:rPr>
          <w:rFonts w:ascii="Times New Roman" w:eastAsia="Times New Roman" w:hAnsi="Times New Roman" w:cs="Times New Roman"/>
          <w:b/>
          <w:i/>
          <w:szCs w:val="20"/>
          <w:lang w:val="fr" w:eastAsia="en-IE"/>
        </w:rPr>
        <w:t>21 et 22</w:t>
      </w:r>
    </w:p>
    <w:p w14:paraId="2BBD6503" w14:textId="77777777" w:rsidR="008E22D9" w:rsidRPr="005F1D97" w:rsidRDefault="008E22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1BD8E009" w14:textId="62652C8A" w:rsidR="008E22D9" w:rsidRPr="005F1D97" w:rsidRDefault="008E22D9" w:rsidP="00AA4F20">
      <w:pPr>
        <w:widowControl w:val="0"/>
        <w:tabs>
          <w:tab w:val="left" w:pos="412"/>
        </w:tabs>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Une disposition de droit national qui prévoit des sanctions pénales pour l’organisation d’un système de mise en contact des clients avec les personnes transportant des voyageurs, sans y être autorisée, concerne un «</w:t>
      </w:r>
      <w:r w:rsidR="008224AE">
        <w:rPr>
          <w:rFonts w:ascii="Times New Roman" w:eastAsia="Times New Roman" w:hAnsi="Times New Roman" w:cs="Times New Roman"/>
          <w:szCs w:val="20"/>
          <w:lang w:val="fr" w:eastAsia="en-IE"/>
        </w:rPr>
        <w:t xml:space="preserve"> </w:t>
      </w:r>
      <w:r w:rsidRPr="005F1D97">
        <w:rPr>
          <w:rFonts w:ascii="Times New Roman" w:eastAsia="Times New Roman" w:hAnsi="Times New Roman" w:cs="Times New Roman"/>
          <w:szCs w:val="20"/>
          <w:lang w:val="fr" w:eastAsia="en-IE"/>
        </w:rPr>
        <w:t>service dans le domaine des transports</w:t>
      </w:r>
      <w:r w:rsidR="008224AE">
        <w:rPr>
          <w:rFonts w:ascii="Times New Roman" w:eastAsia="Times New Roman" w:hAnsi="Times New Roman" w:cs="Times New Roman"/>
          <w:szCs w:val="20"/>
          <w:lang w:val="fr" w:eastAsia="en-IE"/>
        </w:rPr>
        <w:t xml:space="preserve"> </w:t>
      </w:r>
      <w:r w:rsidRPr="005F1D97">
        <w:rPr>
          <w:rFonts w:ascii="Times New Roman" w:eastAsia="Times New Roman" w:hAnsi="Times New Roman" w:cs="Times New Roman"/>
          <w:szCs w:val="20"/>
          <w:lang w:val="fr" w:eastAsia="en-IE"/>
        </w:rPr>
        <w:t>»</w:t>
      </w:r>
      <w:r w:rsidR="008224AE">
        <w:rPr>
          <w:rFonts w:ascii="Times New Roman" w:eastAsia="Times New Roman" w:hAnsi="Times New Roman" w:cs="Times New Roman"/>
          <w:szCs w:val="20"/>
          <w:lang w:val="fr" w:eastAsia="en-IE"/>
        </w:rPr>
        <w:t xml:space="preserve"> </w:t>
      </w:r>
      <w:r w:rsidR="008224AE" w:rsidRPr="005F1D97">
        <w:rPr>
          <w:rFonts w:ascii="Times New Roman" w:eastAsia="Times New Roman" w:hAnsi="Times New Roman" w:cs="Times New Roman"/>
          <w:szCs w:val="20"/>
          <w:lang w:val="fr" w:eastAsia="en-IE"/>
        </w:rPr>
        <w:t xml:space="preserve">(et non </w:t>
      </w:r>
      <w:r w:rsidR="008224AE">
        <w:rPr>
          <w:rFonts w:ascii="Times New Roman" w:eastAsia="Times New Roman" w:hAnsi="Times New Roman" w:cs="Times New Roman"/>
          <w:szCs w:val="20"/>
          <w:lang w:val="fr" w:eastAsia="en-IE"/>
        </w:rPr>
        <w:t>un</w:t>
      </w:r>
      <w:r w:rsidR="008224AE" w:rsidRPr="005F1D97">
        <w:rPr>
          <w:rFonts w:ascii="Times New Roman" w:eastAsia="Times New Roman" w:hAnsi="Times New Roman" w:cs="Times New Roman"/>
          <w:szCs w:val="20"/>
          <w:lang w:val="fr" w:eastAsia="en-IE"/>
        </w:rPr>
        <w:t xml:space="preserve"> </w:t>
      </w:r>
      <w:r w:rsidR="008224AE">
        <w:rPr>
          <w:rFonts w:ascii="Times New Roman" w:eastAsia="Times New Roman" w:hAnsi="Times New Roman" w:cs="Times New Roman"/>
          <w:szCs w:val="20"/>
          <w:lang w:val="fr" w:eastAsia="en-IE"/>
        </w:rPr>
        <w:t>« </w:t>
      </w:r>
      <w:r w:rsidR="008224AE" w:rsidRPr="005F1D97">
        <w:rPr>
          <w:rFonts w:ascii="Times New Roman" w:eastAsia="Times New Roman" w:hAnsi="Times New Roman" w:cs="Times New Roman"/>
          <w:szCs w:val="20"/>
          <w:lang w:val="fr" w:eastAsia="en-IE"/>
        </w:rPr>
        <w:t>service de la société de l’information</w:t>
      </w:r>
      <w:r w:rsidR="008224AE">
        <w:rPr>
          <w:rFonts w:ascii="Times New Roman" w:eastAsia="Times New Roman" w:hAnsi="Times New Roman" w:cs="Times New Roman"/>
          <w:szCs w:val="20"/>
          <w:lang w:val="fr" w:eastAsia="en-IE"/>
        </w:rPr>
        <w:t> »</w:t>
      </w:r>
      <w:r w:rsidR="008224AE" w:rsidRPr="005F1D97">
        <w:rPr>
          <w:rFonts w:ascii="Times New Roman" w:eastAsia="Times New Roman" w:hAnsi="Times New Roman" w:cs="Times New Roman"/>
          <w:szCs w:val="20"/>
          <w:lang w:val="fr" w:eastAsia="en-IE"/>
        </w:rPr>
        <w:t>)</w:t>
      </w:r>
      <w:r w:rsidR="008224AE">
        <w:rPr>
          <w:rFonts w:ascii="Times New Roman" w:eastAsia="Times New Roman" w:hAnsi="Times New Roman" w:cs="Times New Roman"/>
          <w:szCs w:val="20"/>
          <w:lang w:val="fr" w:eastAsia="en-IE"/>
        </w:rPr>
        <w:t xml:space="preserve"> </w:t>
      </w:r>
      <w:r w:rsidRPr="005F1D97">
        <w:rPr>
          <w:rFonts w:ascii="Times New Roman" w:eastAsia="Times New Roman" w:hAnsi="Times New Roman" w:cs="Times New Roman"/>
          <w:szCs w:val="20"/>
          <w:lang w:val="fr" w:eastAsia="en-IE"/>
        </w:rPr>
        <w:t xml:space="preserve">dans la mesure où elle s’applique à un service d’intermédiation fourni au moyen d’une application pour smartphone et fait partie intégrante d’un service global dont l’élément principal est le service de transport. </w:t>
      </w:r>
    </w:p>
    <w:p w14:paraId="6A1778BB" w14:textId="77777777" w:rsidR="008E22D9" w:rsidRPr="005F1D97" w:rsidRDefault="008E22D9" w:rsidP="00AA4F20">
      <w:pPr>
        <w:widowControl w:val="0"/>
        <w:autoSpaceDE w:val="0"/>
        <w:autoSpaceDN w:val="0"/>
        <w:spacing w:after="0" w:line="240" w:lineRule="auto"/>
        <w:ind w:hanging="142"/>
        <w:jc w:val="both"/>
        <w:rPr>
          <w:rFonts w:ascii="Times New Roman" w:eastAsia="Times New Roman" w:hAnsi="Times New Roman" w:cs="Times New Roman"/>
          <w:szCs w:val="20"/>
          <w:lang w:val="fr" w:eastAsia="en-IE"/>
        </w:rPr>
      </w:pPr>
    </w:p>
    <w:p w14:paraId="217F985E" w14:textId="63F1F0FA" w:rsidR="008E22D9" w:rsidRPr="005F1D97"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 w:eastAsia="en-IE"/>
        </w:rPr>
        <w:t>« </w:t>
      </w:r>
      <w:r w:rsidRPr="005F1D97">
        <w:rPr>
          <w:rFonts w:ascii="Times New Roman" w:eastAsia="Times New Roman" w:hAnsi="Times New Roman" w:cs="Times New Roman"/>
          <w:i/>
          <w:iCs/>
          <w:sz w:val="20"/>
          <w:szCs w:val="16"/>
          <w:lang w:val="fr-BE" w:eastAsia="en-IE"/>
        </w:rPr>
        <w:t>21</w:t>
      </w:r>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 xml:space="preserve">À cet égard, la Cour a constaté que le service d’intermédiation fourni par la société concernée était lié indissociablement à l’offre de services de transport urbain non collectif créée par celle-ci, compte tenu, en premier lieu, du fait que cette société fournissait une application sans laquelle ces chauffeurs n’auraient pas été amenés à fournir des services de transport, et les personnes désireuses d’effectuer un déplacement urbain n’auraient pas eu recours aux services desdits chauffeurs, et, en second lieu, du fait que ladite société exerçait une influence décisive sur les conditions de la prestation de tels chauffeurs, notamment en fixant le prix maximum de la course, en collectant ce prix auprès du client avant d’en reverser une partie au chauffeur non professionnel du véhicule, et en exerçant un certain contrôle sur la qualité des véhicules et de leurs chauffeurs ainsi que sur le comportement de ces derniers, pouvant entraîner, le cas échéant, leur exclusion (voir, en ce sens, arrêt du 20 décembre 2017, </w:t>
      </w:r>
      <w:proofErr w:type="spellStart"/>
      <w:r w:rsidRPr="005F1D97">
        <w:rPr>
          <w:rFonts w:ascii="Times New Roman" w:eastAsia="Times New Roman" w:hAnsi="Times New Roman" w:cs="Times New Roman"/>
          <w:i/>
          <w:iCs/>
          <w:sz w:val="20"/>
          <w:szCs w:val="16"/>
          <w:lang w:val="fr-BE" w:eastAsia="en-IE"/>
        </w:rPr>
        <w:t>Asociación</w:t>
      </w:r>
      <w:proofErr w:type="spellEnd"/>
      <w:r w:rsidRPr="005F1D97">
        <w:rPr>
          <w:rFonts w:ascii="Times New Roman" w:eastAsia="Times New Roman" w:hAnsi="Times New Roman" w:cs="Times New Roman"/>
          <w:i/>
          <w:iCs/>
          <w:sz w:val="20"/>
          <w:szCs w:val="16"/>
          <w:lang w:val="fr-BE" w:eastAsia="en-IE"/>
        </w:rPr>
        <w:t xml:space="preserve"> </w:t>
      </w:r>
      <w:proofErr w:type="spellStart"/>
      <w:r w:rsidRPr="005F1D97">
        <w:rPr>
          <w:rFonts w:ascii="Times New Roman" w:eastAsia="Times New Roman" w:hAnsi="Times New Roman" w:cs="Times New Roman"/>
          <w:i/>
          <w:iCs/>
          <w:sz w:val="20"/>
          <w:szCs w:val="16"/>
          <w:lang w:val="fr-BE" w:eastAsia="en-IE"/>
        </w:rPr>
        <w:t>Profesional</w:t>
      </w:r>
      <w:proofErr w:type="spellEnd"/>
      <w:r w:rsidRPr="005F1D97">
        <w:rPr>
          <w:rFonts w:ascii="Times New Roman" w:eastAsia="Times New Roman" w:hAnsi="Times New Roman" w:cs="Times New Roman"/>
          <w:i/>
          <w:iCs/>
          <w:sz w:val="20"/>
          <w:szCs w:val="16"/>
          <w:lang w:val="fr-BE" w:eastAsia="en-IE"/>
        </w:rPr>
        <w:t xml:space="preserve"> Elite Taxi, C</w:t>
      </w:r>
      <w:r w:rsidRPr="005F1D97">
        <w:rPr>
          <w:rFonts w:ascii="Times New Roman" w:eastAsia="Times New Roman" w:hAnsi="Times New Roman" w:cs="Times New Roman"/>
          <w:i/>
          <w:iCs/>
          <w:sz w:val="20"/>
          <w:szCs w:val="16"/>
          <w:lang w:val="fr-BE" w:eastAsia="en-IE"/>
        </w:rPr>
        <w:noBreakHyphen/>
        <w:t>434/15, EU:C:2017:981, points 38 et 39).</w:t>
      </w:r>
    </w:p>
    <w:p w14:paraId="37052058" w14:textId="77777777" w:rsidR="008E22D9" w:rsidRPr="005F1D97"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48" w:name="point22"/>
    </w:p>
    <w:p w14:paraId="5AB6B3C6" w14:textId="1C011EB2" w:rsidR="008E22D9" w:rsidRDefault="008E22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BE" w:eastAsia="en-IE"/>
        </w:rPr>
        <w:t>22</w:t>
      </w:r>
      <w:bookmarkEnd w:id="48"/>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La Cour a conclu, sur la base de ces éléments, que le service d’intermédiation en cause dans cette affaire devait être considéré comme faisant partie intégrante d’un service global dont l’élément principal était un service de transport et, partant, comme répondant à la qualification non pas de « service de la société de l’information »,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xml:space="preserve">, point 2, de la directive 98/34, mais de « service dans le domaine des transports », au sens de l’article 2, paragraphe 2, sous d), de la directive 2006/123 (voir, en ce sens, arrêt du 20 décembre 2017, </w:t>
      </w:r>
      <w:proofErr w:type="spellStart"/>
      <w:r w:rsidRPr="005F1D97">
        <w:rPr>
          <w:rFonts w:ascii="Times New Roman" w:eastAsia="Times New Roman" w:hAnsi="Times New Roman" w:cs="Times New Roman"/>
          <w:i/>
          <w:iCs/>
          <w:sz w:val="20"/>
          <w:szCs w:val="16"/>
          <w:lang w:val="fr-BE" w:eastAsia="en-IE"/>
        </w:rPr>
        <w:t>Asociación</w:t>
      </w:r>
      <w:proofErr w:type="spellEnd"/>
      <w:r w:rsidRPr="005F1D97">
        <w:rPr>
          <w:rFonts w:ascii="Times New Roman" w:eastAsia="Times New Roman" w:hAnsi="Times New Roman" w:cs="Times New Roman"/>
          <w:i/>
          <w:iCs/>
          <w:sz w:val="20"/>
          <w:szCs w:val="16"/>
          <w:lang w:val="fr-BE" w:eastAsia="en-IE"/>
        </w:rPr>
        <w:t xml:space="preserve"> </w:t>
      </w:r>
      <w:proofErr w:type="spellStart"/>
      <w:r w:rsidRPr="005F1D97">
        <w:rPr>
          <w:rFonts w:ascii="Times New Roman" w:eastAsia="Times New Roman" w:hAnsi="Times New Roman" w:cs="Times New Roman"/>
          <w:i/>
          <w:iCs/>
          <w:sz w:val="20"/>
          <w:szCs w:val="16"/>
          <w:lang w:val="fr-BE" w:eastAsia="en-IE"/>
        </w:rPr>
        <w:t>Profesional</w:t>
      </w:r>
      <w:proofErr w:type="spellEnd"/>
      <w:r w:rsidRPr="005F1D97">
        <w:rPr>
          <w:rFonts w:ascii="Times New Roman" w:eastAsia="Times New Roman" w:hAnsi="Times New Roman" w:cs="Times New Roman"/>
          <w:i/>
          <w:iCs/>
          <w:sz w:val="20"/>
          <w:szCs w:val="16"/>
          <w:lang w:val="fr-BE" w:eastAsia="en-IE"/>
        </w:rPr>
        <w:t xml:space="preserve"> Elite Taxi, C</w:t>
      </w:r>
      <w:r w:rsidRPr="005F1D97">
        <w:rPr>
          <w:rFonts w:ascii="Times New Roman" w:eastAsia="Times New Roman" w:hAnsi="Times New Roman" w:cs="Times New Roman"/>
          <w:i/>
          <w:iCs/>
          <w:sz w:val="20"/>
          <w:szCs w:val="16"/>
          <w:lang w:val="fr-BE" w:eastAsia="en-IE"/>
        </w:rPr>
        <w:noBreakHyphen/>
        <w:t>434/15, EU:C:2017:981, point 40)</w:t>
      </w:r>
      <w:r>
        <w:rPr>
          <w:rFonts w:ascii="Times New Roman" w:eastAsia="Times New Roman" w:hAnsi="Times New Roman" w:cs="Times New Roman"/>
          <w:i/>
          <w:iCs/>
          <w:sz w:val="20"/>
          <w:szCs w:val="16"/>
          <w:lang w:val="fr-BE" w:eastAsia="en-IE"/>
        </w:rPr>
        <w:t> »</w:t>
      </w:r>
    </w:p>
    <w:p w14:paraId="061F40AB" w14:textId="77777777" w:rsidR="008E22D9" w:rsidRDefault="008E22D9" w:rsidP="00AA4F20">
      <w:pPr>
        <w:spacing w:after="0" w:line="240" w:lineRule="auto"/>
        <w:rPr>
          <w:lang w:val="fr-BE"/>
        </w:rPr>
      </w:pPr>
    </w:p>
    <w:p w14:paraId="3262279E" w14:textId="4C1928CD" w:rsidR="00A23485" w:rsidRPr="00756188"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2" w:history="1">
        <w:r w:rsidR="00A23485" w:rsidRPr="00756188">
          <w:rPr>
            <w:rFonts w:ascii="Times New Roman" w:eastAsia="Times New Roman" w:hAnsi="Times New Roman" w:cs="Times New Roman"/>
            <w:b/>
            <w:i/>
            <w:color w:val="0000FF"/>
            <w:szCs w:val="20"/>
            <w:u w:val="single"/>
            <w:lang w:val="fr" w:eastAsia="en-IE"/>
          </w:rPr>
          <w:t>Arrêt du 26 septembre 2018</w:t>
        </w:r>
      </w:hyperlink>
      <w:r w:rsidR="00A23485" w:rsidRPr="00756188">
        <w:rPr>
          <w:rFonts w:ascii="Times New Roman" w:eastAsia="Times New Roman" w:hAnsi="Times New Roman" w:cs="Times New Roman"/>
          <w:b/>
          <w:i/>
          <w:szCs w:val="20"/>
          <w:lang w:val="fr" w:eastAsia="en-IE"/>
        </w:rPr>
        <w:t xml:space="preserve">, </w:t>
      </w:r>
      <w:r w:rsidR="00437A3E" w:rsidRPr="00756188">
        <w:rPr>
          <w:rFonts w:ascii="Times New Roman" w:eastAsia="Times New Roman" w:hAnsi="Times New Roman" w:cs="Times New Roman"/>
          <w:b/>
          <w:i/>
          <w:szCs w:val="20"/>
          <w:lang w:val="fr" w:eastAsia="en-IE"/>
        </w:rPr>
        <w:t xml:space="preserve">Van </w:t>
      </w:r>
      <w:proofErr w:type="spellStart"/>
      <w:r w:rsidR="00437A3E" w:rsidRPr="00756188">
        <w:rPr>
          <w:rFonts w:ascii="Times New Roman" w:eastAsia="Times New Roman" w:hAnsi="Times New Roman" w:cs="Times New Roman"/>
          <w:b/>
          <w:i/>
          <w:szCs w:val="20"/>
          <w:lang w:val="fr" w:eastAsia="en-IE"/>
        </w:rPr>
        <w:t>Gennip</w:t>
      </w:r>
      <w:proofErr w:type="spellEnd"/>
      <w:r w:rsidR="00437A3E" w:rsidRPr="00756188">
        <w:rPr>
          <w:rFonts w:ascii="Times New Roman" w:eastAsia="Times New Roman" w:hAnsi="Times New Roman" w:cs="Times New Roman"/>
          <w:b/>
          <w:i/>
          <w:szCs w:val="20"/>
          <w:lang w:val="fr" w:eastAsia="en-IE"/>
        </w:rPr>
        <w:t xml:space="preserve"> e.a., </w:t>
      </w:r>
      <w:r w:rsidR="00A23485" w:rsidRPr="00756188">
        <w:rPr>
          <w:rFonts w:ascii="Times New Roman" w:eastAsia="Times New Roman" w:hAnsi="Times New Roman" w:cs="Times New Roman"/>
          <w:b/>
          <w:i/>
          <w:szCs w:val="20"/>
          <w:lang w:val="fr" w:eastAsia="en-IE"/>
        </w:rPr>
        <w:t>C-137/17, EU:C:</w:t>
      </w:r>
      <w:r w:rsidR="00A23485" w:rsidRPr="00756188">
        <w:rPr>
          <w:rFonts w:ascii="Times New Roman" w:eastAsia="Times New Roman" w:hAnsi="Times New Roman" w:cs="Times New Roman"/>
          <w:b/>
          <w:i/>
          <w:spacing w:val="-1"/>
          <w:szCs w:val="20"/>
          <w:lang w:val="fr" w:eastAsia="en-IE"/>
        </w:rPr>
        <w:t xml:space="preserve"> </w:t>
      </w:r>
      <w:r w:rsidR="00A23485" w:rsidRPr="00756188">
        <w:rPr>
          <w:rFonts w:ascii="Times New Roman" w:eastAsia="Times New Roman" w:hAnsi="Times New Roman" w:cs="Times New Roman"/>
          <w:b/>
          <w:i/>
          <w:spacing w:val="-2"/>
          <w:szCs w:val="20"/>
          <w:lang w:val="fr" w:eastAsia="en-IE"/>
        </w:rPr>
        <w:t>2018:771</w:t>
      </w:r>
      <w:r w:rsidR="00A23485" w:rsidRPr="00756188">
        <w:rPr>
          <w:rFonts w:ascii="Times New Roman" w:eastAsia="Times New Roman" w:hAnsi="Times New Roman" w:cs="Times New Roman"/>
          <w:b/>
          <w:i/>
          <w:szCs w:val="20"/>
          <w:lang w:val="fr" w:eastAsia="en-IE"/>
        </w:rPr>
        <w:t xml:space="preserve">, points </w:t>
      </w:r>
      <w:r w:rsidR="00A23485">
        <w:rPr>
          <w:rFonts w:ascii="Times New Roman" w:eastAsia="Times New Roman" w:hAnsi="Times New Roman" w:cs="Times New Roman"/>
          <w:b/>
          <w:i/>
          <w:szCs w:val="20"/>
          <w:lang w:val="fr" w:eastAsia="en-IE"/>
        </w:rPr>
        <w:t>42 et 43</w:t>
      </w:r>
    </w:p>
    <w:p w14:paraId="7A96B262" w14:textId="77777777" w:rsidR="00A23485" w:rsidRPr="00756188"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2465F94" w14:textId="3B01321F" w:rsidR="00A23485" w:rsidRPr="00756188" w:rsidRDefault="00A23485" w:rsidP="00AA4F20">
      <w:pPr>
        <w:widowControl w:val="0"/>
        <w:tabs>
          <w:tab w:val="left" w:pos="404"/>
        </w:tabs>
        <w:autoSpaceDE w:val="0"/>
        <w:autoSpaceDN w:val="0"/>
        <w:spacing w:after="0" w:line="240" w:lineRule="auto"/>
        <w:jc w:val="both"/>
        <w:rPr>
          <w:rFonts w:ascii="Times New Roman" w:eastAsia="Times New Roman" w:hAnsi="Times New Roman" w:cs="Times New Roman"/>
          <w:szCs w:val="20"/>
          <w:lang w:val="fr" w:eastAsia="en-IE"/>
        </w:rPr>
      </w:pPr>
      <w:r w:rsidRPr="00756188">
        <w:rPr>
          <w:rFonts w:ascii="Times New Roman" w:eastAsia="Times New Roman" w:hAnsi="Times New Roman" w:cs="Times New Roman"/>
          <w:szCs w:val="20"/>
          <w:lang w:val="fr" w:eastAsia="en-IE"/>
        </w:rPr>
        <w:t xml:space="preserve">Les dispositions nationales subordonnant la commercialisation de produits à la condition que l’acheteur soit en possession d’une autorisation ne relèvent pas de la notion de «règle </w:t>
      </w:r>
      <w:r>
        <w:rPr>
          <w:rFonts w:ascii="Times New Roman" w:eastAsia="Times New Roman" w:hAnsi="Times New Roman" w:cs="Times New Roman"/>
          <w:szCs w:val="20"/>
          <w:lang w:val="fr" w:eastAsia="en-IE"/>
        </w:rPr>
        <w:t>relative aux services</w:t>
      </w:r>
      <w:r w:rsidRPr="00756188">
        <w:rPr>
          <w:rFonts w:ascii="Times New Roman" w:eastAsia="Times New Roman" w:hAnsi="Times New Roman" w:cs="Times New Roman"/>
          <w:szCs w:val="20"/>
          <w:lang w:val="fr" w:eastAsia="en-IE"/>
        </w:rPr>
        <w:t xml:space="preserve">» </w:t>
      </w:r>
      <w:r>
        <w:rPr>
          <w:rFonts w:ascii="Times New Roman" w:eastAsia="Times New Roman" w:hAnsi="Times New Roman" w:cs="Times New Roman"/>
          <w:szCs w:val="20"/>
          <w:lang w:val="fr" w:eastAsia="en-IE"/>
        </w:rPr>
        <w:t>car elle</w:t>
      </w:r>
      <w:r w:rsidR="00227D5B">
        <w:rPr>
          <w:rFonts w:ascii="Times New Roman" w:eastAsia="Times New Roman" w:hAnsi="Times New Roman" w:cs="Times New Roman"/>
          <w:szCs w:val="20"/>
          <w:lang w:val="fr" w:eastAsia="en-IE"/>
        </w:rPr>
        <w:t>s</w:t>
      </w:r>
      <w:r>
        <w:rPr>
          <w:rFonts w:ascii="Times New Roman" w:eastAsia="Times New Roman" w:hAnsi="Times New Roman" w:cs="Times New Roman"/>
          <w:szCs w:val="20"/>
          <w:lang w:val="fr" w:eastAsia="en-IE"/>
        </w:rPr>
        <w:t xml:space="preserve"> ne concerne</w:t>
      </w:r>
      <w:r w:rsidR="00227D5B">
        <w:rPr>
          <w:rFonts w:ascii="Times New Roman" w:eastAsia="Times New Roman" w:hAnsi="Times New Roman" w:cs="Times New Roman"/>
          <w:szCs w:val="20"/>
          <w:lang w:val="fr" w:eastAsia="en-IE"/>
        </w:rPr>
        <w:t>nt</w:t>
      </w:r>
      <w:r>
        <w:rPr>
          <w:rFonts w:ascii="Times New Roman" w:eastAsia="Times New Roman" w:hAnsi="Times New Roman" w:cs="Times New Roman"/>
          <w:szCs w:val="20"/>
          <w:lang w:val="fr" w:eastAsia="en-IE"/>
        </w:rPr>
        <w:t xml:space="preserve"> pas les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services de la société d</w:t>
      </w:r>
      <w:r w:rsidR="000F7992">
        <w:rPr>
          <w:rFonts w:ascii="Times New Roman" w:eastAsia="Times New Roman" w:hAnsi="Times New Roman" w:cs="Times New Roman"/>
          <w:szCs w:val="20"/>
          <w:lang w:val="fr" w:eastAsia="en-IE"/>
        </w:rPr>
        <w:t>e l’</w:t>
      </w:r>
      <w:r>
        <w:rPr>
          <w:rFonts w:ascii="Times New Roman" w:eastAsia="Times New Roman" w:hAnsi="Times New Roman" w:cs="Times New Roman"/>
          <w:szCs w:val="20"/>
          <w:lang w:val="fr" w:eastAsia="en-IE"/>
        </w:rPr>
        <w:t>information</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w:t>
      </w:r>
    </w:p>
    <w:p w14:paraId="60CD5B8C" w14:textId="77777777" w:rsidR="00A23485" w:rsidRPr="00756188" w:rsidRDefault="00A23485" w:rsidP="00AA4F20">
      <w:pPr>
        <w:widowControl w:val="0"/>
        <w:tabs>
          <w:tab w:val="left" w:pos="404"/>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413DFF33" w14:textId="1C6DFECE" w:rsidR="00A23485" w:rsidRPr="00756188" w:rsidRDefault="00A23485"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56188">
        <w:rPr>
          <w:rFonts w:ascii="Times New Roman" w:eastAsia="Times New Roman" w:hAnsi="Times New Roman" w:cs="Times New Roman"/>
          <w:i/>
          <w:iCs/>
          <w:sz w:val="20"/>
          <w:szCs w:val="16"/>
          <w:lang w:val="fr-BE" w:eastAsia="en-IE"/>
        </w:rPr>
        <w:t>« 42</w:t>
      </w:r>
      <w:r w:rsidR="005C053F">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Concernant, en troisième lieu, la catégorie des « règles relatives aux services », il convient de rappeler que, au titre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5, de la directive 98/34, constitue une telle règle toute exigence de nature générale relative à l’accès aux activités de services visées à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2, de cette même directive, lesquelles désignent « tout service de la société de l’information, c’est-à-dire tout service presté normalement contre rémunération, à distance par voie électronique et à la demande individuelle d’un destinataire de services » (arrêt du 4 février 2016, Ince, C</w:t>
      </w:r>
      <w:r w:rsidRPr="00756188">
        <w:rPr>
          <w:rFonts w:ascii="Times New Roman" w:eastAsia="Times New Roman" w:hAnsi="Times New Roman" w:cs="Times New Roman"/>
          <w:i/>
          <w:iCs/>
          <w:sz w:val="20"/>
          <w:szCs w:val="16"/>
          <w:lang w:val="fr-BE" w:eastAsia="en-IE"/>
        </w:rPr>
        <w:noBreakHyphen/>
        <w:t>336/14, EU:C:2016:72, point 74).</w:t>
      </w:r>
    </w:p>
    <w:p w14:paraId="0274233E" w14:textId="77777777" w:rsidR="00A23485" w:rsidRPr="00756188" w:rsidRDefault="00A23485"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C78C196" w14:textId="1F8E385C" w:rsidR="00A23485" w:rsidRDefault="00A23485" w:rsidP="00AA4F20">
      <w:pPr>
        <w:widowControl w:val="0"/>
        <w:tabs>
          <w:tab w:val="left" w:pos="404"/>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56188">
        <w:rPr>
          <w:rFonts w:ascii="Times New Roman" w:eastAsia="Times New Roman" w:hAnsi="Times New Roman" w:cs="Times New Roman"/>
          <w:i/>
          <w:iCs/>
          <w:sz w:val="20"/>
          <w:szCs w:val="16"/>
          <w:lang w:val="fr-BE" w:eastAsia="en-IE"/>
        </w:rPr>
        <w:t>43</w:t>
      </w:r>
      <w:r w:rsidR="005C053F">
        <w:rPr>
          <w:rFonts w:ascii="Times New Roman" w:eastAsia="Times New Roman" w:hAnsi="Times New Roman" w:cs="Times New Roman"/>
          <w:i/>
          <w:iCs/>
          <w:sz w:val="20"/>
          <w:szCs w:val="16"/>
          <w:lang w:val="fr-BE" w:eastAsia="en-IE"/>
        </w:rPr>
        <w:t xml:space="preserve">. </w:t>
      </w:r>
      <w:r w:rsidRPr="00756188">
        <w:rPr>
          <w:rFonts w:ascii="Times New Roman" w:eastAsia="Times New Roman" w:hAnsi="Times New Roman" w:cs="Times New Roman"/>
          <w:i/>
          <w:iCs/>
          <w:sz w:val="20"/>
          <w:szCs w:val="16"/>
          <w:lang w:val="fr-BE" w:eastAsia="en-IE"/>
        </w:rPr>
        <w:t>En l’occurrence, il convient de constater, ainsi que M. l’avocat général l’a fait valoir au point 73 de ses conclusions, que la réglementation en cause au principal ne concerne pas des services de la société de l’information,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2, de la directive 98/34. Partant, cette réglementation ne saurait relever de la catégorie des « règles relatives aux services » de la société de l’information, au sens de l’article 1</w:t>
      </w:r>
      <w:r w:rsidRPr="00756188">
        <w:rPr>
          <w:rFonts w:ascii="Times New Roman" w:eastAsia="Times New Roman" w:hAnsi="Times New Roman" w:cs="Times New Roman"/>
          <w:i/>
          <w:iCs/>
          <w:sz w:val="20"/>
          <w:szCs w:val="16"/>
          <w:vertAlign w:val="superscript"/>
          <w:lang w:val="fr-BE" w:eastAsia="en-IE"/>
        </w:rPr>
        <w:t>er</w:t>
      </w:r>
      <w:r w:rsidRPr="00756188">
        <w:rPr>
          <w:rFonts w:ascii="Times New Roman" w:eastAsia="Times New Roman" w:hAnsi="Times New Roman" w:cs="Times New Roman"/>
          <w:i/>
          <w:iCs/>
          <w:sz w:val="20"/>
          <w:szCs w:val="16"/>
          <w:lang w:val="fr-BE" w:eastAsia="en-IE"/>
        </w:rPr>
        <w:t>, point 5, de cette directive.</w:t>
      </w:r>
      <w:r>
        <w:rPr>
          <w:rFonts w:ascii="Times New Roman" w:eastAsia="Times New Roman" w:hAnsi="Times New Roman" w:cs="Times New Roman"/>
          <w:i/>
          <w:iCs/>
          <w:sz w:val="20"/>
          <w:szCs w:val="16"/>
          <w:lang w:val="fr-BE" w:eastAsia="en-IE"/>
        </w:rPr>
        <w:t> »</w:t>
      </w:r>
    </w:p>
    <w:p w14:paraId="09A4A6F8" w14:textId="77777777" w:rsidR="00A23485" w:rsidRDefault="00A23485" w:rsidP="00AA4F20">
      <w:pPr>
        <w:spacing w:after="0" w:line="240" w:lineRule="auto"/>
        <w:rPr>
          <w:lang w:val="fr-BE"/>
        </w:rPr>
      </w:pPr>
    </w:p>
    <w:p w14:paraId="037D644A" w14:textId="6E592A7E" w:rsidR="00A23485"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3" w:history="1">
        <w:r w:rsidR="00A23485" w:rsidRPr="005F1D97">
          <w:rPr>
            <w:rFonts w:ascii="Times New Roman" w:eastAsia="Times New Roman" w:hAnsi="Times New Roman" w:cs="Times New Roman"/>
            <w:b/>
            <w:i/>
            <w:color w:val="0000FF"/>
            <w:szCs w:val="20"/>
            <w:u w:val="single"/>
            <w:lang w:val="fr" w:eastAsia="en-IE"/>
          </w:rPr>
          <w:t>Arrêt du 12 septembre 2019</w:t>
        </w:r>
      </w:hyperlink>
      <w:r w:rsidR="00A23485" w:rsidRPr="005F1D97">
        <w:rPr>
          <w:rFonts w:ascii="Times New Roman" w:eastAsia="Times New Roman" w:hAnsi="Times New Roman" w:cs="Times New Roman"/>
          <w:b/>
          <w:i/>
          <w:szCs w:val="20"/>
          <w:lang w:val="fr" w:eastAsia="en-IE"/>
        </w:rPr>
        <w:t xml:space="preserve">, </w:t>
      </w:r>
      <w:r w:rsidR="00437A3E" w:rsidRPr="005F1D97">
        <w:rPr>
          <w:rFonts w:ascii="Times New Roman" w:eastAsia="Times New Roman" w:hAnsi="Times New Roman" w:cs="Times New Roman"/>
          <w:b/>
          <w:i/>
          <w:szCs w:val="20"/>
          <w:lang w:val="fr" w:eastAsia="en-IE"/>
        </w:rPr>
        <w:t xml:space="preserve">VG Media, </w:t>
      </w:r>
      <w:r w:rsidR="00A23485" w:rsidRPr="005F1D97">
        <w:rPr>
          <w:rFonts w:ascii="Times New Roman" w:eastAsia="Times New Roman" w:hAnsi="Times New Roman" w:cs="Times New Roman"/>
          <w:b/>
          <w:i/>
          <w:szCs w:val="20"/>
          <w:lang w:val="fr" w:eastAsia="en-IE"/>
        </w:rPr>
        <w:t>C-299/17, EU:C:2019:716, points 32</w:t>
      </w:r>
      <w:r w:rsidR="00227D5B">
        <w:rPr>
          <w:rFonts w:ascii="Times New Roman" w:eastAsia="Times New Roman" w:hAnsi="Times New Roman" w:cs="Times New Roman"/>
          <w:b/>
          <w:i/>
          <w:szCs w:val="20"/>
          <w:lang w:val="fr" w:eastAsia="en-IE"/>
        </w:rPr>
        <w:t>, 33 et</w:t>
      </w:r>
      <w:r w:rsidR="00A23485" w:rsidRPr="005F1D97">
        <w:rPr>
          <w:rFonts w:ascii="Times New Roman" w:eastAsia="Times New Roman" w:hAnsi="Times New Roman" w:cs="Times New Roman"/>
          <w:b/>
          <w:i/>
          <w:szCs w:val="20"/>
          <w:lang w:val="fr" w:eastAsia="en-IE"/>
        </w:rPr>
        <w:t xml:space="preserve"> 3</w:t>
      </w:r>
      <w:r w:rsidR="00A23485">
        <w:rPr>
          <w:rFonts w:ascii="Times New Roman" w:eastAsia="Times New Roman" w:hAnsi="Times New Roman" w:cs="Times New Roman"/>
          <w:b/>
          <w:i/>
          <w:szCs w:val="20"/>
          <w:lang w:val="fr" w:eastAsia="en-IE"/>
        </w:rPr>
        <w:t>6</w:t>
      </w:r>
    </w:p>
    <w:p w14:paraId="7C7D0A20" w14:textId="77777777" w:rsidR="00A23485" w:rsidRPr="005F1D97"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3FA6403" w14:textId="44F67EBC"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Une disposition nationale interdisant aux exploitants commerciaux de moteurs de recherche et aux fournisseurs de services commerciaux publiant du contenu de mettre </w:t>
      </w:r>
      <w:r w:rsidR="0051744C" w:rsidRPr="005F1D97">
        <w:rPr>
          <w:rFonts w:ascii="Times New Roman" w:eastAsia="Times New Roman" w:hAnsi="Times New Roman" w:cs="Times New Roman"/>
          <w:szCs w:val="20"/>
          <w:lang w:val="fr" w:eastAsia="en-IE"/>
        </w:rPr>
        <w:t xml:space="preserve">des journaux </w:t>
      </w:r>
      <w:r w:rsidRPr="005F1D97">
        <w:rPr>
          <w:rFonts w:ascii="Times New Roman" w:eastAsia="Times New Roman" w:hAnsi="Times New Roman" w:cs="Times New Roman"/>
          <w:szCs w:val="20"/>
          <w:lang w:val="fr" w:eastAsia="en-IE"/>
        </w:rPr>
        <w:t xml:space="preserve">à disposition du </w:t>
      </w:r>
      <w:r w:rsidRPr="005F1D97">
        <w:rPr>
          <w:rFonts w:ascii="Times New Roman" w:eastAsia="Times New Roman" w:hAnsi="Times New Roman" w:cs="Times New Roman"/>
          <w:szCs w:val="20"/>
          <w:lang w:val="fr" w:eastAsia="en-IE"/>
        </w:rPr>
        <w:lastRenderedPageBreak/>
        <w:t xml:space="preserve">public constitue une « règle technique » et doit être notifiée à la Commission. </w:t>
      </w:r>
    </w:p>
    <w:p w14:paraId="17DBA0A2" w14:textId="77777777"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5FAE1CA6" w14:textId="7FA3D9FB"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Une règle est considérée comme visant spécifiquement les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services de la société de l’information</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dès lors que certaines de ses dispositions poursuivent cet objectif, même si ce n’est pas son but exclusif. Cet objectif peut être déduit de sa motivation, y compris des travaux préparatoires, sans ressortir du seul libellé de la règle. </w:t>
      </w:r>
    </w:p>
    <w:p w14:paraId="358DF62E" w14:textId="77777777"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22A0F71" w14:textId="214505C7"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32</w:t>
      </w:r>
      <w:r w:rsidR="005C053F">
        <w:rPr>
          <w:rFonts w:ascii="Times New Roman" w:eastAsia="Times New Roman" w:hAnsi="Times New Roman" w:cs="Times New Roman"/>
          <w:i/>
          <w:iCs/>
          <w:sz w:val="20"/>
          <w:szCs w:val="16"/>
          <w:lang w:val="fr" w:eastAsia="en-IE"/>
        </w:rPr>
        <w:t xml:space="preserve">. </w:t>
      </w:r>
      <w:r w:rsidR="00227D5B">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 xml:space="preserve">aux termes de l’article 1er, point 5, cinquième alinéa, premier tiret, de cette directive, une règle est considérée comme visant spécifiquement les services de la société de l’information au regard tant de sa motivation que du texte de son dispositif. En outre, en vertu de cette même disposition, il n’est pas requis que la règle en cause ait dans sa totalité « pour finalité et pour objet spécifiques » de réglementer des services de la société de l’information, dès lors qu’il est suffisant que cette règle poursuive cette finalité ou cet objet dans certaines de ses dispositions (arrêt du 20 décembre 2017, </w:t>
      </w:r>
      <w:proofErr w:type="spellStart"/>
      <w:r w:rsidRPr="005F1D97">
        <w:rPr>
          <w:rFonts w:ascii="Times New Roman" w:eastAsia="Times New Roman" w:hAnsi="Times New Roman" w:cs="Times New Roman"/>
          <w:i/>
          <w:iCs/>
          <w:sz w:val="20"/>
          <w:szCs w:val="16"/>
          <w:lang w:val="fr" w:eastAsia="en-IE"/>
        </w:rPr>
        <w:t>Falbert</w:t>
      </w:r>
      <w:proofErr w:type="spellEnd"/>
      <w:r w:rsidRPr="005F1D97">
        <w:rPr>
          <w:rFonts w:ascii="Times New Roman" w:eastAsia="Times New Roman" w:hAnsi="Times New Roman" w:cs="Times New Roman"/>
          <w:i/>
          <w:iCs/>
          <w:sz w:val="20"/>
          <w:szCs w:val="16"/>
          <w:lang w:val="fr" w:eastAsia="en-IE"/>
        </w:rPr>
        <w:t xml:space="preserve"> e.a., C‑255/16, EU:C:2017:983, point 32).</w:t>
      </w:r>
    </w:p>
    <w:p w14:paraId="429F1587" w14:textId="77777777"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6C09ADB6" w14:textId="105DF6F7"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33</w:t>
      </w:r>
      <w:r w:rsidR="005C053F">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 xml:space="preserve">En outre, même dans l’hypothèse où il ne ressort pas du seul libellé d’une règle nationale que celle-ci vise, au moins en partie, à réglementer spécifiquement des services de la société de l’information, cet objet peut néanmoins clairement découler de la motivation de cette règle, telle qu’elle ressort, conformément aux règles d’interprétation nationales pertinentes à cet égard, notamment des travaux préparatoires de ladite règle (voir, en ce sens, arrêt du 20 décembre 2017, </w:t>
      </w:r>
      <w:proofErr w:type="spellStart"/>
      <w:r w:rsidRPr="005F1D97">
        <w:rPr>
          <w:rFonts w:ascii="Times New Roman" w:eastAsia="Times New Roman" w:hAnsi="Times New Roman" w:cs="Times New Roman"/>
          <w:i/>
          <w:iCs/>
          <w:sz w:val="20"/>
          <w:szCs w:val="16"/>
          <w:lang w:val="fr" w:eastAsia="en-IE"/>
        </w:rPr>
        <w:t>Falbert</w:t>
      </w:r>
      <w:proofErr w:type="spellEnd"/>
      <w:r w:rsidRPr="005F1D97">
        <w:rPr>
          <w:rFonts w:ascii="Times New Roman" w:eastAsia="Times New Roman" w:hAnsi="Times New Roman" w:cs="Times New Roman"/>
          <w:i/>
          <w:iCs/>
          <w:sz w:val="20"/>
          <w:szCs w:val="16"/>
          <w:lang w:val="fr" w:eastAsia="en-IE"/>
        </w:rPr>
        <w:t xml:space="preserve"> e.a., C‑255/16, EU:C:2017:983, point 33). »</w:t>
      </w:r>
    </w:p>
    <w:p w14:paraId="4A5A1EDF" w14:textId="77777777"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7E5F1F4F" w14:textId="1601A98B"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36</w:t>
      </w:r>
      <w:r w:rsidR="005C053F">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En effet, si la juridiction de renvoi ne fournit pas d’indications claires sur la finalité et l’objet spécifiques de la réglementation nationale en cause au principal, il ressort toutefois des observations soumises par le gouvernement allemand lors de l’audience devant la Cour que, initialement, la modification de l’</w:t>
      </w:r>
      <w:proofErr w:type="spellStart"/>
      <w:r w:rsidRPr="005F1D97">
        <w:rPr>
          <w:rFonts w:ascii="Times New Roman" w:eastAsia="Times New Roman" w:hAnsi="Times New Roman" w:cs="Times New Roman"/>
          <w:i/>
          <w:iCs/>
          <w:sz w:val="20"/>
          <w:szCs w:val="16"/>
          <w:lang w:val="fr" w:eastAsia="en-IE"/>
        </w:rPr>
        <w:t>UrhG</w:t>
      </w:r>
      <w:proofErr w:type="spellEnd"/>
      <w:r w:rsidRPr="005F1D97">
        <w:rPr>
          <w:rFonts w:ascii="Times New Roman" w:eastAsia="Times New Roman" w:hAnsi="Times New Roman" w:cs="Times New Roman"/>
          <w:i/>
          <w:iCs/>
          <w:sz w:val="20"/>
          <w:szCs w:val="16"/>
          <w:lang w:val="fr" w:eastAsia="en-IE"/>
        </w:rPr>
        <w:t xml:space="preserve"> visait spécifiquement les prestataires de moteurs de recherche sur Internet. Par ailleurs, les parties au principal et la Commission indiquent, dans leurs observations écrites, que l’objectif de cette réglementation était de protéger les intérêts légitimes des éditeurs de la presse dans le monde du numérique. Il apparaît, dès lors, que l’objet principal et la finalité de la disposition nationale en cause au principal étaient de protéger ces éditeurs contre les atteintes au droit d’auteur par les moteurs de recherche en ligne. Dans ce cadre, une protection semble avoir été considérée comme nécessaire uniquement contre des atteintes systématiques aux œuvres des éditeurs en ligne, commises par des prestataires de services de la société de l’information. »</w:t>
      </w:r>
    </w:p>
    <w:p w14:paraId="5918FFD9" w14:textId="77777777" w:rsidR="00A23485" w:rsidRDefault="00A23485" w:rsidP="00AA4F20">
      <w:pPr>
        <w:spacing w:after="0" w:line="240" w:lineRule="auto"/>
        <w:rPr>
          <w:lang w:val="fr"/>
        </w:rPr>
      </w:pPr>
    </w:p>
    <w:p w14:paraId="76F47905" w14:textId="50A2271E" w:rsidR="00A23485" w:rsidRPr="00796B02" w:rsidRDefault="00B3389F" w:rsidP="00AA4F20">
      <w:pPr>
        <w:spacing w:after="0" w:line="240" w:lineRule="auto"/>
        <w:rPr>
          <w:lang w:val="fr-BE"/>
        </w:rPr>
      </w:pPr>
      <w:hyperlink r:id="rId54" w:history="1">
        <w:r w:rsidR="00A23485" w:rsidRPr="005F1D97">
          <w:rPr>
            <w:rFonts w:ascii="Times New Roman" w:eastAsia="Times New Roman" w:hAnsi="Times New Roman" w:cs="Times New Roman"/>
            <w:b/>
            <w:i/>
            <w:color w:val="0000FF"/>
            <w:szCs w:val="20"/>
            <w:u w:val="single"/>
            <w:lang w:val="fr" w:eastAsia="en-IE"/>
          </w:rPr>
          <w:t>Arrêt du 19 décembre 2019</w:t>
        </w:r>
      </w:hyperlink>
      <w:r w:rsidR="00A23485" w:rsidRPr="005F1D97">
        <w:rPr>
          <w:rFonts w:ascii="Times New Roman" w:eastAsia="Times New Roman" w:hAnsi="Times New Roman" w:cs="Times New Roman"/>
          <w:b/>
          <w:i/>
          <w:szCs w:val="20"/>
          <w:lang w:val="fr" w:eastAsia="en-IE"/>
        </w:rPr>
        <w:t xml:space="preserve">, </w:t>
      </w:r>
      <w:r w:rsidR="00437A3E" w:rsidRPr="005F1D97">
        <w:rPr>
          <w:rFonts w:ascii="Times New Roman" w:eastAsia="Times New Roman" w:hAnsi="Times New Roman" w:cs="Times New Roman"/>
          <w:b/>
          <w:i/>
          <w:szCs w:val="20"/>
          <w:lang w:val="fr" w:eastAsia="en-IE"/>
        </w:rPr>
        <w:t xml:space="preserve">Airbnb Ireland, </w:t>
      </w:r>
      <w:r w:rsidR="00A23485" w:rsidRPr="005F1D97">
        <w:rPr>
          <w:rFonts w:ascii="Times New Roman" w:eastAsia="Times New Roman" w:hAnsi="Times New Roman" w:cs="Times New Roman"/>
          <w:b/>
          <w:i/>
          <w:szCs w:val="20"/>
          <w:lang w:val="fr" w:eastAsia="en-IE"/>
        </w:rPr>
        <w:t xml:space="preserve">C-390/18, EU:C:2019:1112, points 64 </w:t>
      </w:r>
      <w:r w:rsidR="00B313DA">
        <w:rPr>
          <w:rFonts w:ascii="Times New Roman" w:eastAsia="Times New Roman" w:hAnsi="Times New Roman" w:cs="Times New Roman"/>
          <w:b/>
          <w:i/>
          <w:szCs w:val="20"/>
          <w:lang w:val="fr" w:eastAsia="en-IE"/>
        </w:rPr>
        <w:t xml:space="preserve">à 68 </w:t>
      </w:r>
      <w:r w:rsidR="00A23485" w:rsidRPr="005F1D97">
        <w:rPr>
          <w:rFonts w:ascii="Times New Roman" w:eastAsia="Times New Roman" w:hAnsi="Times New Roman" w:cs="Times New Roman"/>
          <w:b/>
          <w:i/>
          <w:szCs w:val="20"/>
          <w:lang w:val="fr" w:eastAsia="en-IE"/>
        </w:rPr>
        <w:t>et 99</w:t>
      </w:r>
    </w:p>
    <w:p w14:paraId="1BD3BE16" w14:textId="77777777"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73B6BC4D" w14:textId="6D8DAA93" w:rsidR="00227D5B"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Un service d’intermédiation mettant en relation, via une plateforme électronique, des clients avec des hôtes proposant des hébergements de courte durée, tout en fournissant des services accessoires, constitue un « service de la société de l’information »</w:t>
      </w:r>
      <w:r w:rsidR="00227D5B">
        <w:rPr>
          <w:rFonts w:ascii="Times New Roman" w:eastAsia="Times New Roman" w:hAnsi="Times New Roman" w:cs="Times New Roman"/>
          <w:szCs w:val="20"/>
          <w:lang w:val="fr" w:eastAsia="en-IE"/>
        </w:rPr>
        <w:t xml:space="preserve"> car les services accessoires </w:t>
      </w:r>
      <w:r w:rsidR="0051744C">
        <w:rPr>
          <w:rFonts w:ascii="Times New Roman" w:eastAsia="Times New Roman" w:hAnsi="Times New Roman" w:cs="Times New Roman"/>
          <w:szCs w:val="20"/>
          <w:lang w:val="fr" w:eastAsia="en-IE"/>
        </w:rPr>
        <w:t xml:space="preserve">qu’il offre </w:t>
      </w:r>
      <w:r w:rsidR="00B313DA">
        <w:rPr>
          <w:rFonts w:ascii="Times New Roman" w:eastAsia="Times New Roman" w:hAnsi="Times New Roman" w:cs="Times New Roman"/>
          <w:szCs w:val="20"/>
          <w:lang w:val="fr" w:eastAsia="en-IE"/>
        </w:rPr>
        <w:t>ne lui</w:t>
      </w:r>
      <w:r w:rsidR="00227D5B">
        <w:rPr>
          <w:rFonts w:ascii="Times New Roman" w:eastAsia="Times New Roman" w:hAnsi="Times New Roman" w:cs="Times New Roman"/>
          <w:szCs w:val="20"/>
          <w:lang w:val="fr" w:eastAsia="en-IE"/>
        </w:rPr>
        <w:t xml:space="preserve"> confèrent pas d’influence significative sur la prestation des services de logement.</w:t>
      </w:r>
    </w:p>
    <w:p w14:paraId="1D917BC0" w14:textId="77777777" w:rsidR="00227D5B" w:rsidRDefault="00227D5B"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53022D7" w14:textId="768E2BBF"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Pour qu’un service soit qualifié </w:t>
      </w:r>
      <w:r w:rsidR="00227D5B">
        <w:rPr>
          <w:rFonts w:ascii="Times New Roman" w:eastAsia="Times New Roman" w:hAnsi="Times New Roman" w:cs="Times New Roman"/>
          <w:szCs w:val="20"/>
          <w:lang w:val="fr" w:eastAsia="en-IE"/>
        </w:rPr>
        <w:t>de « service de la société de l’information »</w:t>
      </w:r>
      <w:r w:rsidRPr="005F1D97">
        <w:rPr>
          <w:rFonts w:ascii="Times New Roman" w:eastAsia="Times New Roman" w:hAnsi="Times New Roman" w:cs="Times New Roman"/>
          <w:szCs w:val="20"/>
          <w:lang w:val="fr" w:eastAsia="en-IE"/>
        </w:rPr>
        <w:t>, il doit remplir quatre conditions cumulatives : être fourni contre rémunération, à distance, par voie électronique et à la demande individuelle du destinataire.</w:t>
      </w:r>
    </w:p>
    <w:p w14:paraId="42B56B92" w14:textId="77777777"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66B50EB2" w14:textId="0B930518" w:rsidR="00227D5B"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64</w:t>
      </w:r>
      <w:r w:rsidR="005C053F">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Même prises ensemble, les prestations, optionnelles ou non, fournies par Airbnb Ireland et évoquées aux points 59 à 63 du présent arrêt ne permettent pas de remettre en cause le caractère dissociable du service d’intermédiation fourni par cette société et, partant, sa qualification de « service de la société de l'information », à défaut de modifier substantiellement les caractéristiques propres de ce service. À cet égard, il serait d’ailleurs paradoxal que de telles prestations accessoires à valeur ajoutée fournies par une plateforme électronique à ses clients, notamment afin de se démarquer de ses concurrents, puissent, en l’absence d’éléments supplémentaires, conduire à modifier la nature et, partant, la qualification juridique de l’activité de cette dernière, ainsi que l’a relevé M. l’avocat général au point 46 de ses conclusions. </w:t>
      </w:r>
    </w:p>
    <w:p w14:paraId="1C757DA5" w14:textId="77777777" w:rsidR="00227D5B" w:rsidRDefault="00227D5B"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09C42BB1" w14:textId="629F989B"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27D5B">
        <w:rPr>
          <w:rFonts w:ascii="Times New Roman" w:eastAsia="Times New Roman" w:hAnsi="Times New Roman" w:cs="Times New Roman"/>
          <w:i/>
          <w:iCs/>
          <w:sz w:val="20"/>
          <w:szCs w:val="16"/>
          <w:lang w:val="fr" w:eastAsia="en-IE"/>
        </w:rPr>
        <w:t>65</w:t>
      </w:r>
      <w:r w:rsidR="005C053F">
        <w:rPr>
          <w:rFonts w:ascii="Times New Roman" w:eastAsia="Times New Roman" w:hAnsi="Times New Roman" w:cs="Times New Roman"/>
          <w:i/>
          <w:iCs/>
          <w:sz w:val="20"/>
          <w:szCs w:val="16"/>
          <w:lang w:val="fr" w:eastAsia="en-IE"/>
        </w:rPr>
        <w:t xml:space="preserve">. </w:t>
      </w:r>
      <w:r w:rsidRPr="00227D5B">
        <w:rPr>
          <w:rFonts w:ascii="Times New Roman" w:eastAsia="Times New Roman" w:hAnsi="Times New Roman" w:cs="Times New Roman"/>
          <w:i/>
          <w:iCs/>
          <w:sz w:val="20"/>
          <w:szCs w:val="16"/>
          <w:lang w:val="fr" w:eastAsia="en-IE"/>
        </w:rPr>
        <w:t xml:space="preserve">De plus, et contrairement à ce que soutiennent l’AHTOP et le gouvernement français, les modalités de fonctionnement d’un service d’intermédiation tel que celui fourni par Airbnb Ireland ne sauraient être assimilées à celles du service d’intermédiation ayant donné lieu aux arrêts du 20 décembre 2017, </w:t>
      </w:r>
      <w:proofErr w:type="spellStart"/>
      <w:r w:rsidRPr="00227D5B">
        <w:rPr>
          <w:rFonts w:ascii="Times New Roman" w:eastAsia="Times New Roman" w:hAnsi="Times New Roman" w:cs="Times New Roman"/>
          <w:i/>
          <w:iCs/>
          <w:sz w:val="20"/>
          <w:szCs w:val="16"/>
          <w:lang w:val="fr" w:eastAsia="en-IE"/>
        </w:rPr>
        <w:t>Asociación</w:t>
      </w:r>
      <w:proofErr w:type="spellEnd"/>
      <w:r w:rsidRPr="00227D5B">
        <w:rPr>
          <w:rFonts w:ascii="Times New Roman" w:eastAsia="Times New Roman" w:hAnsi="Times New Roman" w:cs="Times New Roman"/>
          <w:i/>
          <w:iCs/>
          <w:sz w:val="20"/>
          <w:szCs w:val="16"/>
          <w:lang w:val="fr" w:eastAsia="en-IE"/>
        </w:rPr>
        <w:t xml:space="preserve"> </w:t>
      </w:r>
      <w:proofErr w:type="spellStart"/>
      <w:r w:rsidRPr="00227D5B">
        <w:rPr>
          <w:rFonts w:ascii="Times New Roman" w:eastAsia="Times New Roman" w:hAnsi="Times New Roman" w:cs="Times New Roman"/>
          <w:i/>
          <w:iCs/>
          <w:sz w:val="20"/>
          <w:szCs w:val="16"/>
          <w:lang w:val="fr" w:eastAsia="en-IE"/>
        </w:rPr>
        <w:t>Profesional</w:t>
      </w:r>
      <w:proofErr w:type="spellEnd"/>
      <w:r w:rsidRPr="00227D5B">
        <w:rPr>
          <w:rFonts w:ascii="Times New Roman" w:eastAsia="Times New Roman" w:hAnsi="Times New Roman" w:cs="Times New Roman"/>
          <w:i/>
          <w:iCs/>
          <w:sz w:val="20"/>
          <w:szCs w:val="16"/>
          <w:lang w:val="fr" w:eastAsia="en-IE"/>
        </w:rPr>
        <w:t xml:space="preserve"> Elite Taxi (C‑434/15, EU:C:2017:981, point 39), et du 10 avril 2018, Uber France </w:t>
      </w:r>
      <w:r w:rsidRPr="00227D5B">
        <w:rPr>
          <w:rFonts w:ascii="Times New Roman" w:eastAsia="Times New Roman" w:hAnsi="Times New Roman" w:cs="Times New Roman"/>
          <w:i/>
          <w:iCs/>
          <w:sz w:val="20"/>
          <w:szCs w:val="16"/>
          <w:lang w:val="fr" w:eastAsia="en-IE"/>
        </w:rPr>
        <w:lastRenderedPageBreak/>
        <w:t>(C-320/16, EU:C:2018:221, point 21).</w:t>
      </w:r>
    </w:p>
    <w:p w14:paraId="45CCCC6A" w14:textId="77777777"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5CCAD14D" w14:textId="50188B05"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27D5B">
        <w:rPr>
          <w:rFonts w:ascii="Times New Roman" w:eastAsia="Times New Roman" w:hAnsi="Times New Roman" w:cs="Times New Roman"/>
          <w:i/>
          <w:iCs/>
          <w:sz w:val="20"/>
          <w:szCs w:val="16"/>
          <w:lang w:val="fr" w:eastAsia="en-IE"/>
        </w:rPr>
        <w:t>66</w:t>
      </w:r>
      <w:r w:rsidR="005C053F">
        <w:rPr>
          <w:rFonts w:ascii="Times New Roman" w:eastAsia="Times New Roman" w:hAnsi="Times New Roman" w:cs="Times New Roman"/>
          <w:i/>
          <w:iCs/>
          <w:sz w:val="20"/>
          <w:szCs w:val="16"/>
          <w:lang w:val="fr" w:eastAsia="en-IE"/>
        </w:rPr>
        <w:t xml:space="preserve">. </w:t>
      </w:r>
      <w:r w:rsidRPr="00227D5B">
        <w:rPr>
          <w:rFonts w:ascii="Times New Roman" w:eastAsia="Times New Roman" w:hAnsi="Times New Roman" w:cs="Times New Roman"/>
          <w:i/>
          <w:iCs/>
          <w:sz w:val="20"/>
          <w:szCs w:val="16"/>
          <w:lang w:val="fr" w:eastAsia="en-IE"/>
        </w:rPr>
        <w:t>Outre le fait que lesdits arrêts s’inscrivaient dans le contexte spécifique du transport urbain de personnes auquel s’applique l’article 58, paragraphe 1, TFUE et que les services fournis par Airbnb Ireland ne sont pas comparables à ceux en cause dans les affaires ayant donné lieu aux arrêts visés au point précédent, les prestations accessoires évoquées aux points 59 à 63 du présent arrêt ne permettent pas de mettre en évidence le niveau de contrôle constaté par la Cour dans lesdits arrêts.</w:t>
      </w:r>
    </w:p>
    <w:p w14:paraId="6BCC6C28" w14:textId="77777777"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1C5E3E08" w14:textId="4431076F"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27D5B">
        <w:rPr>
          <w:rFonts w:ascii="Times New Roman" w:eastAsia="Times New Roman" w:hAnsi="Times New Roman" w:cs="Times New Roman"/>
          <w:i/>
          <w:iCs/>
          <w:sz w:val="20"/>
          <w:szCs w:val="16"/>
          <w:lang w:val="fr" w:eastAsia="en-IE"/>
        </w:rPr>
        <w:t>67</w:t>
      </w:r>
      <w:r w:rsidR="005C053F">
        <w:rPr>
          <w:rFonts w:ascii="Times New Roman" w:eastAsia="Times New Roman" w:hAnsi="Times New Roman" w:cs="Times New Roman"/>
          <w:i/>
          <w:iCs/>
          <w:sz w:val="20"/>
          <w:szCs w:val="16"/>
          <w:lang w:val="fr" w:eastAsia="en-IE"/>
        </w:rPr>
        <w:t xml:space="preserve">. </w:t>
      </w:r>
      <w:r w:rsidRPr="00227D5B">
        <w:rPr>
          <w:rFonts w:ascii="Times New Roman" w:eastAsia="Times New Roman" w:hAnsi="Times New Roman" w:cs="Times New Roman"/>
          <w:i/>
          <w:iCs/>
          <w:sz w:val="20"/>
          <w:szCs w:val="16"/>
          <w:lang w:val="fr" w:eastAsia="en-IE"/>
        </w:rPr>
        <w:t xml:space="preserve">Ainsi, la Cour a relevé dans ceux-ci qu’Uber exerçait une influence décisive sur les conditions de la prestation de transport des chauffeurs non professionnels faisant usage de l’application mise à leur disposition par cette société (arrêts du 20 décembre 2017, </w:t>
      </w:r>
      <w:proofErr w:type="spellStart"/>
      <w:r w:rsidRPr="00227D5B">
        <w:rPr>
          <w:rFonts w:ascii="Times New Roman" w:eastAsia="Times New Roman" w:hAnsi="Times New Roman" w:cs="Times New Roman"/>
          <w:i/>
          <w:iCs/>
          <w:sz w:val="20"/>
          <w:szCs w:val="16"/>
          <w:lang w:val="fr" w:eastAsia="en-IE"/>
        </w:rPr>
        <w:t>Asociación</w:t>
      </w:r>
      <w:proofErr w:type="spellEnd"/>
      <w:r w:rsidRPr="00227D5B">
        <w:rPr>
          <w:rFonts w:ascii="Times New Roman" w:eastAsia="Times New Roman" w:hAnsi="Times New Roman" w:cs="Times New Roman"/>
          <w:i/>
          <w:iCs/>
          <w:sz w:val="20"/>
          <w:szCs w:val="16"/>
          <w:lang w:val="fr" w:eastAsia="en-IE"/>
        </w:rPr>
        <w:t xml:space="preserve"> </w:t>
      </w:r>
      <w:proofErr w:type="spellStart"/>
      <w:r w:rsidRPr="00227D5B">
        <w:rPr>
          <w:rFonts w:ascii="Times New Roman" w:eastAsia="Times New Roman" w:hAnsi="Times New Roman" w:cs="Times New Roman"/>
          <w:i/>
          <w:iCs/>
          <w:sz w:val="20"/>
          <w:szCs w:val="16"/>
          <w:lang w:val="fr" w:eastAsia="en-IE"/>
        </w:rPr>
        <w:t>Profesional</w:t>
      </w:r>
      <w:proofErr w:type="spellEnd"/>
      <w:r w:rsidRPr="00227D5B">
        <w:rPr>
          <w:rFonts w:ascii="Times New Roman" w:eastAsia="Times New Roman" w:hAnsi="Times New Roman" w:cs="Times New Roman"/>
          <w:i/>
          <w:iCs/>
          <w:sz w:val="20"/>
          <w:szCs w:val="16"/>
          <w:lang w:val="fr" w:eastAsia="en-IE"/>
        </w:rPr>
        <w:t xml:space="preserve"> Elite Taxi, C‑434/15, EU:C:2017:981, point 39, et du 10 avril 2018, Uber France, C‑320/16, EU:C:2018:221, point 21).</w:t>
      </w:r>
    </w:p>
    <w:p w14:paraId="667E8A5A" w14:textId="77777777" w:rsidR="00227D5B" w:rsidRPr="00227D5B"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44EC953C" w14:textId="7FF94863" w:rsidR="00A23485" w:rsidRPr="005F1D97" w:rsidRDefault="00227D5B" w:rsidP="00227D5B">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27D5B">
        <w:rPr>
          <w:rFonts w:ascii="Times New Roman" w:eastAsia="Times New Roman" w:hAnsi="Times New Roman" w:cs="Times New Roman"/>
          <w:i/>
          <w:iCs/>
          <w:sz w:val="20"/>
          <w:szCs w:val="16"/>
          <w:lang w:val="fr" w:eastAsia="en-IE"/>
        </w:rPr>
        <w:t>68</w:t>
      </w:r>
      <w:r w:rsidR="005C053F">
        <w:rPr>
          <w:rFonts w:ascii="Times New Roman" w:eastAsia="Times New Roman" w:hAnsi="Times New Roman" w:cs="Times New Roman"/>
          <w:i/>
          <w:iCs/>
          <w:sz w:val="20"/>
          <w:szCs w:val="16"/>
          <w:lang w:val="fr" w:eastAsia="en-IE"/>
        </w:rPr>
        <w:t xml:space="preserve">. </w:t>
      </w:r>
      <w:r w:rsidRPr="00227D5B">
        <w:rPr>
          <w:rFonts w:ascii="Times New Roman" w:eastAsia="Times New Roman" w:hAnsi="Times New Roman" w:cs="Times New Roman"/>
          <w:i/>
          <w:iCs/>
          <w:sz w:val="20"/>
          <w:szCs w:val="16"/>
          <w:lang w:val="fr" w:eastAsia="en-IE"/>
        </w:rPr>
        <w:t>Or, les éléments visés par le juge de renvoi et rappelés au point 19 du présent arrêt ne permettent pas d’établir qu’Airbnb Ireland exerce une telle influence décisive sur les conditions de prestation des services d’hébergement auxquels se rapporte son service d’intermédiation, dès lors, notamment, qu’Airbnb Ireland ne détermine ni directement ni indirectement le prix des loyers réclamés, ainsi que cela a été constaté aux points 56 et 62 du présent arrêt, pas plus qu’elle ne procède à la sélection des loueurs ou à celle des logements proposés à la location sur sa plateforme.</w:t>
      </w:r>
      <w:r>
        <w:rPr>
          <w:rFonts w:ascii="Times New Roman" w:eastAsia="Times New Roman" w:hAnsi="Times New Roman" w:cs="Times New Roman"/>
          <w:i/>
          <w:iCs/>
          <w:sz w:val="20"/>
          <w:szCs w:val="16"/>
          <w:lang w:val="fr" w:eastAsia="en-IE"/>
        </w:rPr>
        <w:t xml:space="preserve"> </w:t>
      </w:r>
      <w:r w:rsidR="00A23485" w:rsidRPr="005F1D97">
        <w:rPr>
          <w:rFonts w:ascii="Times New Roman" w:eastAsia="Times New Roman" w:hAnsi="Times New Roman" w:cs="Times New Roman"/>
          <w:i/>
          <w:iCs/>
          <w:sz w:val="20"/>
          <w:szCs w:val="16"/>
          <w:lang w:val="fr" w:eastAsia="en-IE"/>
        </w:rPr>
        <w:t>»</w:t>
      </w:r>
    </w:p>
    <w:p w14:paraId="4325E66E" w14:textId="77777777"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2005D651" w14:textId="3F8D6DFD" w:rsidR="00A23485" w:rsidRPr="005F1D97" w:rsidRDefault="00A23485"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99</w:t>
      </w:r>
      <w:r w:rsidR="005C053F">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Compte tenu de l’absence de notification par la République française de la loi Hoguet ainsi que du caractère cumulatif des conditions visées à l’article 3, paragraphe 4, de la directive 2000/31 et rappelées aux points 84 et 85 du présent arrêt, il y a lieu de considérer que cette loi ne saurait en tout état de cause être appliquée à un particulier se trouvant dans une situation telle que celle d’Airbnb Ireland dans le litige au principal, indépendamment du point de savoir si cette loi satisfait aux autres conditions prévues à cette disposition. »</w:t>
      </w:r>
    </w:p>
    <w:p w14:paraId="261461B1" w14:textId="77777777" w:rsidR="00A23485" w:rsidRDefault="00A23485" w:rsidP="00AA4F20">
      <w:pPr>
        <w:spacing w:after="0" w:line="240" w:lineRule="auto"/>
        <w:rPr>
          <w:lang w:val="fr"/>
        </w:rPr>
      </w:pPr>
    </w:p>
    <w:p w14:paraId="602C58A9" w14:textId="16ED8329" w:rsidR="00A23485" w:rsidRPr="00D717F0"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pacing w:val="-2"/>
          <w:szCs w:val="20"/>
          <w:lang w:val="fr" w:eastAsia="en-IE"/>
        </w:rPr>
      </w:pPr>
      <w:hyperlink r:id="rId55" w:history="1">
        <w:r w:rsidR="00A23485" w:rsidRPr="00D717F0">
          <w:rPr>
            <w:rFonts w:ascii="Times New Roman" w:eastAsia="Times New Roman" w:hAnsi="Times New Roman" w:cs="Times New Roman"/>
            <w:b/>
            <w:i/>
            <w:color w:val="0000FF"/>
            <w:szCs w:val="20"/>
            <w:u w:val="single"/>
            <w:lang w:val="fr" w:eastAsia="en-IE"/>
          </w:rPr>
          <w:t>Arrêt du 22 octobre 2020</w:t>
        </w:r>
      </w:hyperlink>
      <w:r w:rsidR="00A23485" w:rsidRPr="00D717F0">
        <w:rPr>
          <w:rFonts w:ascii="Times New Roman" w:eastAsia="Times New Roman" w:hAnsi="Times New Roman" w:cs="Times New Roman"/>
          <w:b/>
          <w:i/>
          <w:szCs w:val="20"/>
          <w:lang w:val="fr" w:eastAsia="en-IE"/>
        </w:rPr>
        <w:t xml:space="preserve">, </w:t>
      </w:r>
      <w:proofErr w:type="spellStart"/>
      <w:r w:rsidR="00437A3E" w:rsidRPr="00D717F0">
        <w:rPr>
          <w:rFonts w:ascii="Times New Roman" w:eastAsia="Times New Roman" w:hAnsi="Times New Roman" w:cs="Times New Roman"/>
          <w:b/>
          <w:i/>
          <w:szCs w:val="20"/>
          <w:lang w:val="fr" w:eastAsia="en-IE"/>
        </w:rPr>
        <w:t>Sportingbet</w:t>
      </w:r>
      <w:proofErr w:type="spellEnd"/>
      <w:r w:rsidR="00437A3E" w:rsidRPr="00D717F0">
        <w:rPr>
          <w:rFonts w:ascii="Times New Roman" w:eastAsia="Times New Roman" w:hAnsi="Times New Roman" w:cs="Times New Roman"/>
          <w:b/>
          <w:i/>
          <w:szCs w:val="20"/>
          <w:lang w:val="fr" w:eastAsia="en-IE"/>
        </w:rPr>
        <w:t xml:space="preserve"> et Internet Opportunity Entertainment, </w:t>
      </w:r>
      <w:r w:rsidR="00A23485" w:rsidRPr="00D717F0">
        <w:rPr>
          <w:rFonts w:ascii="Times New Roman" w:eastAsia="Times New Roman" w:hAnsi="Times New Roman" w:cs="Times New Roman"/>
          <w:b/>
          <w:i/>
          <w:szCs w:val="20"/>
          <w:lang w:val="fr" w:eastAsia="en-IE"/>
        </w:rPr>
        <w:t xml:space="preserve">C-275/19, </w:t>
      </w:r>
      <w:r w:rsidR="00A23485" w:rsidRPr="00D717F0">
        <w:rPr>
          <w:rFonts w:ascii="Times New Roman" w:eastAsia="Times New Roman" w:hAnsi="Times New Roman" w:cs="Times New Roman"/>
          <w:b/>
          <w:i/>
          <w:spacing w:val="-2"/>
          <w:szCs w:val="20"/>
          <w:lang w:val="fr" w:eastAsia="en-IE"/>
        </w:rPr>
        <w:t>EU:C:2020:856, points 47 à 49</w:t>
      </w:r>
    </w:p>
    <w:p w14:paraId="20524501" w14:textId="77777777" w:rsidR="00A23485" w:rsidRPr="00D717F0"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F2E09A3" w14:textId="68F8BE94" w:rsidR="00A23485" w:rsidRDefault="00A23485" w:rsidP="00AA4F20">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U</w:t>
      </w:r>
      <w:r w:rsidRPr="00D717F0">
        <w:rPr>
          <w:rFonts w:ascii="Times New Roman" w:eastAsia="Times New Roman" w:hAnsi="Times New Roman" w:cs="Times New Roman"/>
          <w:szCs w:val="20"/>
          <w:lang w:val="fr" w:eastAsia="en-IE"/>
        </w:rPr>
        <w:t xml:space="preserve">ne réglementation attribuant à une entité publique l’exclusivité de l’exploitation de certains jeux de hasard, y compris sur Internet, relève de la définition de « </w:t>
      </w:r>
      <w:r>
        <w:rPr>
          <w:rFonts w:ascii="Times New Roman" w:eastAsia="Times New Roman" w:hAnsi="Times New Roman" w:cs="Times New Roman"/>
          <w:szCs w:val="20"/>
          <w:lang w:val="fr" w:eastAsia="en-IE"/>
        </w:rPr>
        <w:t xml:space="preserve">règles relatives aux services </w:t>
      </w:r>
      <w:r w:rsidRPr="00D717F0">
        <w:rPr>
          <w:rFonts w:ascii="Times New Roman" w:eastAsia="Times New Roman" w:hAnsi="Times New Roman" w:cs="Times New Roman"/>
          <w:szCs w:val="20"/>
          <w:lang w:val="fr" w:eastAsia="en-IE"/>
        </w:rPr>
        <w:t>»</w:t>
      </w:r>
      <w:r w:rsidR="001A278B">
        <w:rPr>
          <w:rFonts w:ascii="Times New Roman" w:eastAsia="Times New Roman" w:hAnsi="Times New Roman" w:cs="Times New Roman"/>
          <w:szCs w:val="20"/>
          <w:lang w:val="fr" w:eastAsia="en-IE"/>
        </w:rPr>
        <w:t xml:space="preserve"> </w:t>
      </w:r>
      <w:r w:rsidR="001A278B" w:rsidRPr="001A278B">
        <w:rPr>
          <w:rFonts w:ascii="Times New Roman" w:eastAsia="Times New Roman" w:hAnsi="Times New Roman" w:cs="Times New Roman"/>
          <w:szCs w:val="20"/>
          <w:lang w:val="fr" w:eastAsia="en-IE"/>
        </w:rPr>
        <w:t>dans la mesure où elles concernent un « service de la société de l’information »</w:t>
      </w:r>
      <w:r w:rsidR="001A278B">
        <w:rPr>
          <w:rFonts w:ascii="Times New Roman" w:eastAsia="Times New Roman" w:hAnsi="Times New Roman" w:cs="Times New Roman"/>
          <w:szCs w:val="20"/>
          <w:lang w:val="fr" w:eastAsia="en-IE"/>
        </w:rPr>
        <w:t>.</w:t>
      </w:r>
    </w:p>
    <w:p w14:paraId="7434769F" w14:textId="77777777" w:rsidR="00A23485" w:rsidRPr="00D717F0" w:rsidRDefault="00A23485" w:rsidP="00AA4F20">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p>
    <w:p w14:paraId="1BB7ABBF" w14:textId="271E9FA7" w:rsidR="00A23485" w:rsidRPr="00D717F0" w:rsidRDefault="00A23485" w:rsidP="00AA4F20">
      <w:pPr>
        <w:widowControl w:val="0"/>
        <w:autoSpaceDE w:val="0"/>
        <w:autoSpaceDN w:val="0"/>
        <w:spacing w:after="0" w:line="240" w:lineRule="auto"/>
        <w:ind w:left="567" w:firstLine="4"/>
        <w:jc w:val="both"/>
        <w:outlineLvl w:val="1"/>
        <w:rPr>
          <w:rFonts w:ascii="Times New Roman" w:eastAsia="Times New Roman" w:hAnsi="Times New Roman" w:cs="Times New Roman"/>
          <w:bCs/>
          <w:i/>
          <w:sz w:val="20"/>
          <w:szCs w:val="16"/>
          <w:lang w:val="fr-BE" w:eastAsia="en-IE"/>
        </w:rPr>
      </w:pPr>
      <w:r w:rsidRPr="00D717F0">
        <w:rPr>
          <w:rFonts w:ascii="Times New Roman" w:eastAsia="Times New Roman" w:hAnsi="Times New Roman" w:cs="Times New Roman"/>
          <w:sz w:val="20"/>
          <w:szCs w:val="16"/>
          <w:lang w:val="fr" w:eastAsia="en-IE"/>
        </w:rPr>
        <w:t>« </w:t>
      </w:r>
      <w:bookmarkStart w:id="49" w:name="point47"/>
      <w:r w:rsidRPr="00D717F0">
        <w:rPr>
          <w:rFonts w:ascii="Times New Roman" w:eastAsia="Times New Roman" w:hAnsi="Times New Roman" w:cs="Times New Roman"/>
          <w:bCs/>
          <w:i/>
          <w:sz w:val="20"/>
          <w:szCs w:val="16"/>
          <w:lang w:val="fr-BE" w:eastAsia="en-IE"/>
        </w:rPr>
        <w:t>47</w:t>
      </w:r>
      <w:bookmarkEnd w:id="49"/>
      <w:r w:rsidR="005C053F">
        <w:rPr>
          <w:rFonts w:ascii="Times New Roman" w:eastAsia="Times New Roman" w:hAnsi="Times New Roman" w:cs="Times New Roman"/>
          <w:bCs/>
          <w:i/>
          <w:sz w:val="20"/>
          <w:szCs w:val="16"/>
          <w:lang w:val="fr-BE" w:eastAsia="en-IE"/>
        </w:rPr>
        <w:t xml:space="preserve">. </w:t>
      </w:r>
      <w:r w:rsidRPr="00D717F0">
        <w:rPr>
          <w:rFonts w:ascii="Times New Roman" w:eastAsia="Times New Roman" w:hAnsi="Times New Roman" w:cs="Times New Roman"/>
          <w:bCs/>
          <w:i/>
          <w:sz w:val="20"/>
          <w:szCs w:val="16"/>
          <w:lang w:val="fr-BE" w:eastAsia="en-IE"/>
        </w:rPr>
        <w:t>Au titre de l’article 1</w:t>
      </w:r>
      <w:r w:rsidRPr="00D717F0">
        <w:rPr>
          <w:rFonts w:ascii="Times New Roman" w:eastAsia="Times New Roman" w:hAnsi="Times New Roman" w:cs="Times New Roman"/>
          <w:bCs/>
          <w:i/>
          <w:sz w:val="20"/>
          <w:szCs w:val="16"/>
          <w:vertAlign w:val="superscript"/>
          <w:lang w:val="fr-BE" w:eastAsia="en-IE"/>
        </w:rPr>
        <w:t>er</w:t>
      </w:r>
      <w:r w:rsidRPr="00D717F0">
        <w:rPr>
          <w:rFonts w:ascii="Times New Roman" w:eastAsia="Times New Roman" w:hAnsi="Times New Roman" w:cs="Times New Roman"/>
          <w:bCs/>
          <w:i/>
          <w:sz w:val="20"/>
          <w:szCs w:val="16"/>
          <w:lang w:val="fr-BE" w:eastAsia="en-IE"/>
        </w:rPr>
        <w:t>, point 5, de ladite directive, constitue une « règle relative aux services » toute exigence de nature générale relative à l’accès aux activités de services visées à l’article 1</w:t>
      </w:r>
      <w:r w:rsidRPr="00D717F0">
        <w:rPr>
          <w:rFonts w:ascii="Times New Roman" w:eastAsia="Times New Roman" w:hAnsi="Times New Roman" w:cs="Times New Roman"/>
          <w:bCs/>
          <w:i/>
          <w:sz w:val="20"/>
          <w:szCs w:val="16"/>
          <w:vertAlign w:val="superscript"/>
          <w:lang w:val="fr-BE" w:eastAsia="en-IE"/>
        </w:rPr>
        <w:t>er</w:t>
      </w:r>
      <w:r w:rsidRPr="00D717F0">
        <w:rPr>
          <w:rFonts w:ascii="Times New Roman" w:eastAsia="Times New Roman" w:hAnsi="Times New Roman" w:cs="Times New Roman"/>
          <w:bCs/>
          <w:i/>
          <w:sz w:val="20"/>
          <w:szCs w:val="16"/>
          <w:lang w:val="fr-BE" w:eastAsia="en-IE"/>
        </w:rPr>
        <w:t>, point 2, de la même directive, lesquelles désignent « tout service de la société de l’information, c’est</w:t>
      </w:r>
      <w:r w:rsidRPr="00D717F0">
        <w:rPr>
          <w:rFonts w:ascii="Times New Roman" w:eastAsia="Times New Roman" w:hAnsi="Times New Roman" w:cs="Times New Roman"/>
          <w:bCs/>
          <w:i/>
          <w:sz w:val="20"/>
          <w:szCs w:val="16"/>
          <w:lang w:val="fr-BE" w:eastAsia="en-IE"/>
        </w:rPr>
        <w:noBreakHyphen/>
        <w:t>à</w:t>
      </w:r>
      <w:r w:rsidRPr="00D717F0">
        <w:rPr>
          <w:rFonts w:ascii="Times New Roman" w:eastAsia="Times New Roman" w:hAnsi="Times New Roman" w:cs="Times New Roman"/>
          <w:bCs/>
          <w:i/>
          <w:sz w:val="20"/>
          <w:szCs w:val="16"/>
          <w:lang w:val="fr-BE" w:eastAsia="en-IE"/>
        </w:rPr>
        <w:noBreakHyphen/>
        <w:t>dire tout service presté normalement contre rémunération, à distance par voie électronique et à la demande individuelle d’un destinataire de services ».</w:t>
      </w:r>
    </w:p>
    <w:p w14:paraId="70448D22" w14:textId="77777777" w:rsidR="00A23485" w:rsidRPr="00D717F0" w:rsidRDefault="00A23485" w:rsidP="00AA4F20">
      <w:pPr>
        <w:widowControl w:val="0"/>
        <w:autoSpaceDE w:val="0"/>
        <w:autoSpaceDN w:val="0"/>
        <w:spacing w:after="0" w:line="240" w:lineRule="auto"/>
        <w:ind w:left="567" w:firstLine="4"/>
        <w:jc w:val="both"/>
        <w:outlineLvl w:val="1"/>
        <w:rPr>
          <w:rFonts w:ascii="Times New Roman" w:eastAsia="Times New Roman" w:hAnsi="Times New Roman" w:cs="Times New Roman"/>
          <w:bCs/>
          <w:i/>
          <w:sz w:val="20"/>
          <w:szCs w:val="16"/>
          <w:lang w:val="fr-BE" w:eastAsia="en-IE"/>
        </w:rPr>
      </w:pPr>
    </w:p>
    <w:p w14:paraId="10E74DE3" w14:textId="420B130C" w:rsidR="00A23485" w:rsidRPr="00D717F0" w:rsidRDefault="00A23485" w:rsidP="00AA4F20">
      <w:pPr>
        <w:widowControl w:val="0"/>
        <w:autoSpaceDE w:val="0"/>
        <w:autoSpaceDN w:val="0"/>
        <w:spacing w:after="0" w:line="240" w:lineRule="auto"/>
        <w:ind w:left="567"/>
        <w:jc w:val="both"/>
        <w:outlineLvl w:val="1"/>
        <w:rPr>
          <w:rFonts w:ascii="Times New Roman" w:eastAsia="Times New Roman" w:hAnsi="Times New Roman" w:cs="Times New Roman"/>
          <w:bCs/>
          <w:i/>
          <w:sz w:val="20"/>
          <w:szCs w:val="16"/>
          <w:lang w:val="fr-BE" w:eastAsia="en-IE"/>
        </w:rPr>
      </w:pPr>
      <w:bookmarkStart w:id="50" w:name="point48"/>
      <w:r w:rsidRPr="00D717F0">
        <w:rPr>
          <w:rFonts w:ascii="Times New Roman" w:eastAsia="Times New Roman" w:hAnsi="Times New Roman" w:cs="Times New Roman"/>
          <w:bCs/>
          <w:i/>
          <w:sz w:val="20"/>
          <w:szCs w:val="16"/>
          <w:lang w:val="fr-BE" w:eastAsia="en-IE"/>
        </w:rPr>
        <w:t>48</w:t>
      </w:r>
      <w:bookmarkEnd w:id="50"/>
      <w:r w:rsidR="005C053F">
        <w:rPr>
          <w:rFonts w:ascii="Times New Roman" w:eastAsia="Times New Roman" w:hAnsi="Times New Roman" w:cs="Times New Roman"/>
          <w:bCs/>
          <w:i/>
          <w:sz w:val="20"/>
          <w:szCs w:val="16"/>
          <w:lang w:val="fr-BE" w:eastAsia="en-IE"/>
        </w:rPr>
        <w:t xml:space="preserve">. </w:t>
      </w:r>
      <w:r w:rsidRPr="00D717F0">
        <w:rPr>
          <w:rFonts w:ascii="Times New Roman" w:eastAsia="Times New Roman" w:hAnsi="Times New Roman" w:cs="Times New Roman"/>
          <w:bCs/>
          <w:i/>
          <w:sz w:val="20"/>
          <w:szCs w:val="16"/>
          <w:lang w:val="fr-BE" w:eastAsia="en-IE"/>
        </w:rPr>
        <w:t>À cet égard, la Cour a déjà jugé que des dispositions relatives à l’interdiction de proposer des jeux de hasard sur Internet, les exceptions à cette interdiction, les limitations apportées à la possibilité de proposer des paris sportifs sur Internet, ainsi que l’interdiction de diffuser de la publicité pour les jeux de hasard sur Internet sont susceptibles d’être qualifiées de « règles relatives aux services », au sens de l’article 1</w:t>
      </w:r>
      <w:r w:rsidRPr="00D717F0">
        <w:rPr>
          <w:rFonts w:ascii="Times New Roman" w:eastAsia="Times New Roman" w:hAnsi="Times New Roman" w:cs="Times New Roman"/>
          <w:bCs/>
          <w:i/>
          <w:sz w:val="20"/>
          <w:szCs w:val="16"/>
          <w:vertAlign w:val="superscript"/>
          <w:lang w:val="fr-BE" w:eastAsia="en-IE"/>
        </w:rPr>
        <w:t>er</w:t>
      </w:r>
      <w:r w:rsidRPr="00D717F0">
        <w:rPr>
          <w:rFonts w:ascii="Times New Roman" w:eastAsia="Times New Roman" w:hAnsi="Times New Roman" w:cs="Times New Roman"/>
          <w:bCs/>
          <w:i/>
          <w:sz w:val="20"/>
          <w:szCs w:val="16"/>
          <w:lang w:val="fr-BE" w:eastAsia="en-IE"/>
        </w:rPr>
        <w:t>, point 5, de la directive 98/34, dans la mesure où elles concernent un « service de la société de l’information », au sens de l’article 1</w:t>
      </w:r>
      <w:r w:rsidRPr="00D717F0">
        <w:rPr>
          <w:rFonts w:ascii="Times New Roman" w:eastAsia="Times New Roman" w:hAnsi="Times New Roman" w:cs="Times New Roman"/>
          <w:bCs/>
          <w:i/>
          <w:sz w:val="20"/>
          <w:szCs w:val="16"/>
          <w:vertAlign w:val="superscript"/>
          <w:lang w:val="fr-BE" w:eastAsia="en-IE"/>
        </w:rPr>
        <w:t>er</w:t>
      </w:r>
      <w:r w:rsidRPr="00D717F0">
        <w:rPr>
          <w:rFonts w:ascii="Times New Roman" w:eastAsia="Times New Roman" w:hAnsi="Times New Roman" w:cs="Times New Roman"/>
          <w:bCs/>
          <w:i/>
          <w:sz w:val="20"/>
          <w:szCs w:val="16"/>
          <w:lang w:val="fr-BE" w:eastAsia="en-IE"/>
        </w:rPr>
        <w:t>, point 2, de cette directive (voir, par analogie, arrêt du 4 février 2016, Ince, C</w:t>
      </w:r>
      <w:r w:rsidRPr="00D717F0">
        <w:rPr>
          <w:rFonts w:ascii="Times New Roman" w:eastAsia="Times New Roman" w:hAnsi="Times New Roman" w:cs="Times New Roman"/>
          <w:bCs/>
          <w:i/>
          <w:sz w:val="20"/>
          <w:szCs w:val="16"/>
          <w:lang w:val="fr-BE" w:eastAsia="en-IE"/>
        </w:rPr>
        <w:noBreakHyphen/>
        <w:t>336/14, EU:C:2016:72, point 75).</w:t>
      </w:r>
    </w:p>
    <w:p w14:paraId="14A3ACBF" w14:textId="77777777" w:rsidR="00A23485" w:rsidRPr="00D717F0" w:rsidRDefault="00A23485" w:rsidP="00AA4F20">
      <w:pPr>
        <w:widowControl w:val="0"/>
        <w:autoSpaceDE w:val="0"/>
        <w:autoSpaceDN w:val="0"/>
        <w:spacing w:after="0" w:line="240" w:lineRule="auto"/>
        <w:ind w:left="567"/>
        <w:jc w:val="both"/>
        <w:outlineLvl w:val="1"/>
        <w:rPr>
          <w:rFonts w:ascii="Times New Roman" w:eastAsia="Times New Roman" w:hAnsi="Times New Roman" w:cs="Times New Roman"/>
          <w:bCs/>
          <w:i/>
          <w:sz w:val="20"/>
          <w:szCs w:val="16"/>
          <w:lang w:val="fr-BE" w:eastAsia="en-IE"/>
        </w:rPr>
      </w:pPr>
    </w:p>
    <w:p w14:paraId="6626E676" w14:textId="23BD5B6A" w:rsidR="00A23485" w:rsidRPr="00D717F0" w:rsidRDefault="00A23485" w:rsidP="00AA4F20">
      <w:pPr>
        <w:widowControl w:val="0"/>
        <w:autoSpaceDE w:val="0"/>
        <w:autoSpaceDN w:val="0"/>
        <w:spacing w:after="0" w:line="240" w:lineRule="auto"/>
        <w:ind w:left="567"/>
        <w:jc w:val="both"/>
        <w:outlineLvl w:val="1"/>
        <w:rPr>
          <w:rFonts w:ascii="Times New Roman" w:eastAsia="Times New Roman" w:hAnsi="Times New Roman" w:cs="Times New Roman"/>
          <w:b/>
          <w:i/>
          <w:sz w:val="20"/>
          <w:szCs w:val="16"/>
          <w:lang w:val="fr-BE" w:eastAsia="en-IE"/>
        </w:rPr>
      </w:pPr>
      <w:bookmarkStart w:id="51" w:name="point49"/>
      <w:r w:rsidRPr="00D717F0">
        <w:rPr>
          <w:rFonts w:ascii="Times New Roman" w:eastAsia="Times New Roman" w:hAnsi="Times New Roman" w:cs="Times New Roman"/>
          <w:bCs/>
          <w:i/>
          <w:sz w:val="20"/>
          <w:szCs w:val="16"/>
          <w:lang w:val="fr-BE" w:eastAsia="en-IE"/>
        </w:rPr>
        <w:t>49</w:t>
      </w:r>
      <w:bookmarkEnd w:id="51"/>
      <w:r w:rsidR="005C053F">
        <w:rPr>
          <w:rFonts w:ascii="Times New Roman" w:eastAsia="Times New Roman" w:hAnsi="Times New Roman" w:cs="Times New Roman"/>
          <w:bCs/>
          <w:i/>
          <w:sz w:val="20"/>
          <w:szCs w:val="16"/>
          <w:lang w:val="fr-BE" w:eastAsia="en-IE"/>
        </w:rPr>
        <w:t xml:space="preserve">. </w:t>
      </w:r>
      <w:r w:rsidRPr="00D717F0">
        <w:rPr>
          <w:rFonts w:ascii="Times New Roman" w:eastAsia="Times New Roman" w:hAnsi="Times New Roman" w:cs="Times New Roman"/>
          <w:bCs/>
          <w:i/>
          <w:sz w:val="20"/>
          <w:szCs w:val="16"/>
          <w:lang w:val="fr-BE" w:eastAsia="en-IE"/>
        </w:rPr>
        <w:t>Or, en l’occurrence, les règles prévues aux articles 2 et 3 du décret-loi nº 282/2003 visent spécifiquement des services de la société de l’information. En outre, en raison de l’attribution à Santa Casa de l’exclusivité d’exploitation des jeux de hasard sur Internet, ces dispositions interdisent la prestation de ces services à tous les opérateurs économiques, à l’exception de cette entité publique. </w:t>
      </w:r>
      <w:r w:rsidRPr="00D717F0">
        <w:rPr>
          <w:rFonts w:ascii="Times New Roman" w:eastAsia="Times New Roman" w:hAnsi="Times New Roman" w:cs="Times New Roman"/>
          <w:b/>
          <w:i/>
          <w:sz w:val="20"/>
          <w:szCs w:val="16"/>
          <w:lang w:val="fr-BE" w:eastAsia="en-IE"/>
        </w:rPr>
        <w:t>»</w:t>
      </w:r>
    </w:p>
    <w:p w14:paraId="4D056F67" w14:textId="77777777" w:rsidR="00A23485" w:rsidRDefault="00A23485" w:rsidP="00AA4F20">
      <w:pPr>
        <w:spacing w:after="0" w:line="240" w:lineRule="auto"/>
        <w:rPr>
          <w:lang w:val="fr-BE"/>
        </w:rPr>
      </w:pPr>
    </w:p>
    <w:p w14:paraId="07196289" w14:textId="47C6EC80" w:rsidR="00A23485"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6" w:history="1">
        <w:r w:rsidR="00A23485" w:rsidRPr="005F1D97">
          <w:rPr>
            <w:rFonts w:ascii="Times New Roman" w:eastAsia="Times New Roman" w:hAnsi="Times New Roman" w:cs="Times New Roman"/>
            <w:b/>
            <w:i/>
            <w:color w:val="0000FF"/>
            <w:szCs w:val="20"/>
            <w:u w:val="single"/>
            <w:lang w:val="fr" w:eastAsia="en-IE"/>
          </w:rPr>
          <w:t>Arrêt du 3 décembre 2020</w:t>
        </w:r>
      </w:hyperlink>
      <w:r w:rsidR="00A23485" w:rsidRPr="005F1D97">
        <w:rPr>
          <w:rFonts w:ascii="Times New Roman" w:eastAsia="Times New Roman" w:hAnsi="Times New Roman" w:cs="Times New Roman"/>
          <w:b/>
          <w:i/>
          <w:szCs w:val="20"/>
          <w:lang w:val="fr" w:eastAsia="en-IE"/>
        </w:rPr>
        <w:t xml:space="preserve">, </w:t>
      </w:r>
      <w:r w:rsidR="00437A3E" w:rsidRPr="005F1D97">
        <w:rPr>
          <w:rFonts w:ascii="Times New Roman" w:eastAsia="Times New Roman" w:hAnsi="Times New Roman" w:cs="Times New Roman"/>
          <w:b/>
          <w:i/>
          <w:szCs w:val="20"/>
          <w:lang w:val="fr" w:eastAsia="en-IE"/>
        </w:rPr>
        <w:t xml:space="preserve">Star Taxi App, </w:t>
      </w:r>
      <w:r w:rsidR="00A23485" w:rsidRPr="005F1D97">
        <w:rPr>
          <w:rFonts w:ascii="Times New Roman" w:eastAsia="Times New Roman" w:hAnsi="Times New Roman" w:cs="Times New Roman"/>
          <w:b/>
          <w:i/>
          <w:szCs w:val="20"/>
          <w:lang w:val="fr" w:eastAsia="en-IE"/>
        </w:rPr>
        <w:t>C-62/19, EU:C:2020:980, points 5</w:t>
      </w:r>
      <w:r w:rsidR="00A23485">
        <w:rPr>
          <w:rFonts w:ascii="Times New Roman" w:eastAsia="Times New Roman" w:hAnsi="Times New Roman" w:cs="Times New Roman"/>
          <w:b/>
          <w:i/>
          <w:szCs w:val="20"/>
          <w:lang w:val="fr" w:eastAsia="en-IE"/>
        </w:rPr>
        <w:t>2</w:t>
      </w:r>
      <w:r w:rsidR="00A23485" w:rsidRPr="005F1D97">
        <w:rPr>
          <w:rFonts w:ascii="Times New Roman" w:eastAsia="Times New Roman" w:hAnsi="Times New Roman" w:cs="Times New Roman"/>
          <w:b/>
          <w:i/>
          <w:szCs w:val="20"/>
          <w:lang w:val="fr" w:eastAsia="en-IE"/>
        </w:rPr>
        <w:t xml:space="preserve"> à 5</w:t>
      </w:r>
      <w:r w:rsidR="00A23485">
        <w:rPr>
          <w:rFonts w:ascii="Times New Roman" w:eastAsia="Times New Roman" w:hAnsi="Times New Roman" w:cs="Times New Roman"/>
          <w:b/>
          <w:i/>
          <w:szCs w:val="20"/>
          <w:lang w:val="fr" w:eastAsia="en-IE"/>
        </w:rPr>
        <w:t>4</w:t>
      </w:r>
      <w:r w:rsidR="00A23485" w:rsidRPr="005F1D97">
        <w:rPr>
          <w:rFonts w:ascii="Times New Roman" w:eastAsia="Times New Roman" w:hAnsi="Times New Roman" w:cs="Times New Roman"/>
          <w:b/>
          <w:i/>
          <w:szCs w:val="20"/>
          <w:lang w:val="fr" w:eastAsia="en-IE"/>
        </w:rPr>
        <w:t xml:space="preserve"> et 6</w:t>
      </w:r>
      <w:r w:rsidR="00A23485">
        <w:rPr>
          <w:rFonts w:ascii="Times New Roman" w:eastAsia="Times New Roman" w:hAnsi="Times New Roman" w:cs="Times New Roman"/>
          <w:b/>
          <w:i/>
          <w:szCs w:val="20"/>
          <w:lang w:val="fr" w:eastAsia="en-IE"/>
        </w:rPr>
        <w:t>4</w:t>
      </w:r>
      <w:r w:rsidR="00A23485" w:rsidRPr="005F1D97">
        <w:rPr>
          <w:rFonts w:ascii="Times New Roman" w:eastAsia="Times New Roman" w:hAnsi="Times New Roman" w:cs="Times New Roman"/>
          <w:b/>
          <w:i/>
          <w:szCs w:val="20"/>
          <w:lang w:val="fr" w:eastAsia="en-IE"/>
        </w:rPr>
        <w:t xml:space="preserve"> à 66</w:t>
      </w:r>
    </w:p>
    <w:p w14:paraId="73E5D159" w14:textId="77777777" w:rsidR="00A23485" w:rsidRPr="005F1D97"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29D2A48" w14:textId="77777777" w:rsidR="00A23485" w:rsidRPr="005F1D97" w:rsidRDefault="00A23485" w:rsidP="00AA4F20">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Un service d’intermédiation</w:t>
      </w:r>
      <w:r>
        <w:rPr>
          <w:rFonts w:ascii="Times New Roman" w:eastAsia="Times New Roman" w:hAnsi="Times New Roman" w:cs="Times New Roman"/>
          <w:szCs w:val="20"/>
          <w:lang w:val="fr" w:eastAsia="en-IE"/>
        </w:rPr>
        <w:t xml:space="preserve"> se</w:t>
      </w:r>
      <w:r w:rsidRPr="005F1D97">
        <w:rPr>
          <w:rFonts w:ascii="Times New Roman" w:eastAsia="Times New Roman" w:hAnsi="Times New Roman" w:cs="Times New Roman"/>
          <w:szCs w:val="20"/>
          <w:lang w:val="fr" w:eastAsia="en-IE"/>
        </w:rPr>
        <w:t xml:space="preserve"> limitant à mettre en relation des clients avec des chauffeurs de taxi déjà autorisés, sans organiser le service de transport lui-même, c’est-à-dire ne sélectionnant pas les chauffeurs, ne fixant pas les tarifs et n’exerçant aucun contrôle sur les véhicules ou les conducteurs, relève de la catégorie des « services de la société de l’information »</w:t>
      </w:r>
      <w:r>
        <w:rPr>
          <w:rFonts w:ascii="Times New Roman" w:eastAsia="Times New Roman" w:hAnsi="Times New Roman" w:cs="Times New Roman"/>
          <w:szCs w:val="20"/>
          <w:lang w:val="fr" w:eastAsia="en-IE"/>
        </w:rPr>
        <w:t>.</w:t>
      </w:r>
    </w:p>
    <w:p w14:paraId="726BFC2C" w14:textId="77777777" w:rsidR="00A23485" w:rsidRPr="005F1D97" w:rsidRDefault="00A23485" w:rsidP="00AA4F20">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p>
    <w:p w14:paraId="33B61307" w14:textId="02190AC4" w:rsidR="00A23485" w:rsidRPr="005F1D97" w:rsidRDefault="00A23485" w:rsidP="00AA4F20">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r w:rsidRPr="005F1D97">
        <w:rPr>
          <w:rFonts w:ascii="Times New Roman" w:eastAsia="Times New Roman" w:hAnsi="Times New Roman" w:cs="Times New Roman"/>
          <w:szCs w:val="20"/>
          <w:lang w:val="fr" w:eastAsia="en-IE"/>
        </w:rPr>
        <w:t xml:space="preserve">Par ailleurs, la réglementation qui ne vise pas spécifiquement ces services, mais englobe indistinctement tous les types de </w:t>
      </w:r>
      <w:r w:rsidRPr="005F1D97">
        <w:rPr>
          <w:rFonts w:ascii="Times New Roman" w:eastAsia="Times New Roman" w:hAnsi="Times New Roman" w:cs="Times New Roman"/>
          <w:i/>
          <w:iCs/>
          <w:szCs w:val="20"/>
          <w:lang w:val="fr" w:eastAsia="en-IE"/>
        </w:rPr>
        <w:t>dispatching</w:t>
      </w:r>
      <w:r w:rsidRPr="005F1D97">
        <w:rPr>
          <w:rFonts w:ascii="Times New Roman" w:eastAsia="Times New Roman" w:hAnsi="Times New Roman" w:cs="Times New Roman"/>
          <w:szCs w:val="20"/>
          <w:lang w:val="fr" w:eastAsia="en-IE"/>
        </w:rPr>
        <w:t>, y compris via téléphone ou application, ne saurait être qualifiée de « règle relative aux services »</w:t>
      </w:r>
      <w:r w:rsidR="001A278B">
        <w:rPr>
          <w:rFonts w:ascii="Times New Roman" w:eastAsia="Times New Roman" w:hAnsi="Times New Roman" w:cs="Times New Roman"/>
          <w:szCs w:val="20"/>
          <w:lang w:val="fr" w:eastAsia="en-IE"/>
        </w:rPr>
        <w:t>.</w:t>
      </w:r>
    </w:p>
    <w:p w14:paraId="6B04D4DF" w14:textId="77777777" w:rsidR="00A23485" w:rsidRPr="005F1D97" w:rsidRDefault="00A23485" w:rsidP="00AA4F20">
      <w:pPr>
        <w:widowControl w:val="0"/>
        <w:tabs>
          <w:tab w:val="left" w:pos="437"/>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33676D58" w14:textId="40CF0A34"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 w:eastAsia="en-IE"/>
        </w:rPr>
        <w:t>« </w:t>
      </w:r>
      <w:bookmarkStart w:id="52" w:name="point52"/>
      <w:r w:rsidRPr="005F1D97">
        <w:rPr>
          <w:rFonts w:ascii="Times New Roman" w:eastAsia="Times New Roman" w:hAnsi="Times New Roman" w:cs="Times New Roman"/>
          <w:i/>
          <w:iCs/>
          <w:sz w:val="20"/>
          <w:szCs w:val="16"/>
          <w:lang w:val="fr-BE" w:eastAsia="en-IE"/>
        </w:rPr>
        <w:t>52</w:t>
      </w:r>
      <w:bookmarkEnd w:id="52"/>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 xml:space="preserve">Premièrement, il ressort de la décision de renvoi que, à l’inverse du service d’intermédiation en cause dans l’affaire ayant donné lieu à l’arrêt du 20 décembre 2017, </w:t>
      </w:r>
      <w:proofErr w:type="spellStart"/>
      <w:r w:rsidRPr="005F1D97">
        <w:rPr>
          <w:rFonts w:ascii="Times New Roman" w:eastAsia="Times New Roman" w:hAnsi="Times New Roman" w:cs="Times New Roman"/>
          <w:i/>
          <w:iCs/>
          <w:sz w:val="20"/>
          <w:szCs w:val="16"/>
          <w:lang w:val="fr-BE" w:eastAsia="en-IE"/>
        </w:rPr>
        <w:t>Asociación</w:t>
      </w:r>
      <w:proofErr w:type="spellEnd"/>
      <w:r w:rsidRPr="005F1D97">
        <w:rPr>
          <w:rFonts w:ascii="Times New Roman" w:eastAsia="Times New Roman" w:hAnsi="Times New Roman" w:cs="Times New Roman"/>
          <w:i/>
          <w:iCs/>
          <w:sz w:val="20"/>
          <w:szCs w:val="16"/>
          <w:lang w:val="fr-BE" w:eastAsia="en-IE"/>
        </w:rPr>
        <w:t xml:space="preserve"> </w:t>
      </w:r>
      <w:proofErr w:type="spellStart"/>
      <w:r w:rsidRPr="005F1D97">
        <w:rPr>
          <w:rFonts w:ascii="Times New Roman" w:eastAsia="Times New Roman" w:hAnsi="Times New Roman" w:cs="Times New Roman"/>
          <w:i/>
          <w:iCs/>
          <w:sz w:val="20"/>
          <w:szCs w:val="16"/>
          <w:lang w:val="fr-BE" w:eastAsia="en-IE"/>
        </w:rPr>
        <w:t>Profesional</w:t>
      </w:r>
      <w:proofErr w:type="spellEnd"/>
      <w:r w:rsidRPr="005F1D97">
        <w:rPr>
          <w:rFonts w:ascii="Times New Roman" w:eastAsia="Times New Roman" w:hAnsi="Times New Roman" w:cs="Times New Roman"/>
          <w:i/>
          <w:iCs/>
          <w:sz w:val="20"/>
          <w:szCs w:val="16"/>
          <w:lang w:val="fr-BE" w:eastAsia="en-IE"/>
        </w:rPr>
        <w:t xml:space="preserve"> Elite Taxi (C</w:t>
      </w:r>
      <w:r w:rsidRPr="005F1D97">
        <w:rPr>
          <w:rFonts w:ascii="Times New Roman" w:eastAsia="Times New Roman" w:hAnsi="Times New Roman" w:cs="Times New Roman"/>
          <w:i/>
          <w:iCs/>
          <w:sz w:val="20"/>
          <w:szCs w:val="16"/>
          <w:lang w:val="fr-BE" w:eastAsia="en-IE"/>
        </w:rPr>
        <w:noBreakHyphen/>
        <w:t>434/15, EU:C:2017:981), qui a créé et rendu accessible la prestation de services de déplacement urbain opérés par des chauffeurs non professionnels auparavant absents du marché, le service en cause au principal se borne à permettre, ainsi que l’a relevé M. l’avocat général au point 49 de ses conclusions, la mise en relation de personnes qui souhaitent effectuer un déplacement urbain uniquement avec des chauffeurs de taxis autorisés dont l’activité préexiste et pour lesquels ledit service d’intermédiation ne constitue qu’une modalité parmi d’autres de captation de la clientèle, à laquelle, de surcroît, ils ne sont nullement contraints de recourir.</w:t>
      </w:r>
    </w:p>
    <w:p w14:paraId="21DA860A" w14:textId="77777777" w:rsidR="00A23485" w:rsidRPr="005F1D97" w:rsidRDefault="00A23485" w:rsidP="00AA4F20">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5754E288" w14:textId="609E40B0"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53" w:name="point53"/>
      <w:r w:rsidRPr="005F1D97">
        <w:rPr>
          <w:rFonts w:ascii="Times New Roman" w:eastAsia="Times New Roman" w:hAnsi="Times New Roman" w:cs="Times New Roman"/>
          <w:i/>
          <w:iCs/>
          <w:sz w:val="20"/>
          <w:szCs w:val="16"/>
          <w:lang w:val="fr-BE" w:eastAsia="en-IE"/>
        </w:rPr>
        <w:t>53</w:t>
      </w:r>
      <w:bookmarkEnd w:id="53"/>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Deuxièmement, un tel service d’intermédiation ne peut être considéré comme organisant le fonctionnement général du service subséquent de déplacement urbain, dès lors que le prestataire ne sélectionne pas les chauffeurs de taxis, ni ne fixe ou perçoit le prix de la course, ni encore n’exerce de contrôle sur la qualité des véhicules et de leurs chauffeurs ainsi que sur le comportement de ces derniers.</w:t>
      </w:r>
    </w:p>
    <w:p w14:paraId="6E835E62" w14:textId="77777777" w:rsidR="00A23485" w:rsidRPr="005F1D97" w:rsidRDefault="00A23485" w:rsidP="00AA4F20">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40C8D3C8" w14:textId="62A0DC13"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54" w:name="point54"/>
      <w:r w:rsidRPr="005F1D97">
        <w:rPr>
          <w:rFonts w:ascii="Times New Roman" w:eastAsia="Times New Roman" w:hAnsi="Times New Roman" w:cs="Times New Roman"/>
          <w:i/>
          <w:iCs/>
          <w:sz w:val="20"/>
          <w:szCs w:val="16"/>
          <w:lang w:val="fr-BE" w:eastAsia="en-IE"/>
        </w:rPr>
        <w:t>54</w:t>
      </w:r>
      <w:bookmarkEnd w:id="54"/>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Il s’ensuit qu’un service d’intermédiation tel que celui fourni par Star Taxi App ne saurait être considéré comme faisant partie intégrante d’un service global dont l’élément principal serait une prestation de transport et relève, en conséquence, de la qualification de « service de la société de l’information », au sens de l’article 2, sous a), de la directive 2000/31. »</w:t>
      </w:r>
    </w:p>
    <w:p w14:paraId="737174FF" w14:textId="77777777" w:rsidR="00A23485" w:rsidRPr="005F1D97" w:rsidRDefault="00A23485" w:rsidP="00AA4F20">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62A25691" w14:textId="6F293BC8"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5F1D97">
        <w:rPr>
          <w:rFonts w:ascii="Times New Roman" w:eastAsia="Times New Roman" w:hAnsi="Times New Roman" w:cs="Times New Roman"/>
          <w:i/>
          <w:iCs/>
          <w:sz w:val="20"/>
          <w:szCs w:val="16"/>
          <w:lang w:val="fr-BE" w:eastAsia="en-IE"/>
        </w:rPr>
        <w:t>« </w:t>
      </w:r>
      <w:bookmarkStart w:id="55" w:name="point64"/>
      <w:r w:rsidRPr="005F1D97">
        <w:rPr>
          <w:rFonts w:ascii="Times New Roman" w:eastAsia="Times New Roman" w:hAnsi="Times New Roman" w:cs="Times New Roman"/>
          <w:i/>
          <w:iCs/>
          <w:sz w:val="20"/>
          <w:szCs w:val="16"/>
          <w:lang w:val="fr-BE" w:eastAsia="en-IE"/>
        </w:rPr>
        <w:t>64</w:t>
      </w:r>
      <w:bookmarkEnd w:id="55"/>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En l’occurrence, il ressort de la décision de renvoi que la réglementation roumaine en cause au principal, qu’il s’agisse de la loi n</w:t>
      </w:r>
      <w:r w:rsidRPr="005F1D97">
        <w:rPr>
          <w:rFonts w:ascii="Times New Roman" w:eastAsia="Times New Roman" w:hAnsi="Times New Roman" w:cs="Times New Roman"/>
          <w:i/>
          <w:iCs/>
          <w:sz w:val="20"/>
          <w:szCs w:val="16"/>
          <w:vertAlign w:val="superscript"/>
          <w:lang w:val="fr-BE" w:eastAsia="en-IE"/>
        </w:rPr>
        <w:t>o</w:t>
      </w:r>
      <w:r w:rsidRPr="005F1D97">
        <w:rPr>
          <w:rFonts w:ascii="Times New Roman" w:eastAsia="Times New Roman" w:hAnsi="Times New Roman" w:cs="Times New Roman"/>
          <w:i/>
          <w:iCs/>
          <w:sz w:val="20"/>
          <w:szCs w:val="16"/>
          <w:lang w:val="fr-BE" w:eastAsia="en-IE"/>
        </w:rPr>
        <w:t> 38/2003 ou de la décision n</w:t>
      </w:r>
      <w:r w:rsidRPr="005F1D97">
        <w:rPr>
          <w:rFonts w:ascii="Times New Roman" w:eastAsia="Times New Roman" w:hAnsi="Times New Roman" w:cs="Times New Roman"/>
          <w:i/>
          <w:iCs/>
          <w:sz w:val="20"/>
          <w:szCs w:val="16"/>
          <w:vertAlign w:val="superscript"/>
          <w:lang w:val="fr-BE" w:eastAsia="en-IE"/>
        </w:rPr>
        <w:t>o</w:t>
      </w:r>
      <w:r w:rsidRPr="005F1D97">
        <w:rPr>
          <w:rFonts w:ascii="Times New Roman" w:eastAsia="Times New Roman" w:hAnsi="Times New Roman" w:cs="Times New Roman"/>
          <w:i/>
          <w:iCs/>
          <w:sz w:val="20"/>
          <w:szCs w:val="16"/>
          <w:lang w:val="fr-BE" w:eastAsia="en-IE"/>
        </w:rPr>
        <w:t> 178/2008, ne fait nullement mention des services de la société de l’information. De plus, l’article 3, l’article 21, paragraphes 1 et 3 bis, ainsi que l’article 41, paragraphe 2 bis, de l’annexe 1 de la décision n</w:t>
      </w:r>
      <w:r w:rsidRPr="005F1D97">
        <w:rPr>
          <w:rFonts w:ascii="Times New Roman" w:eastAsia="Times New Roman" w:hAnsi="Times New Roman" w:cs="Times New Roman"/>
          <w:i/>
          <w:iCs/>
          <w:sz w:val="20"/>
          <w:szCs w:val="16"/>
          <w:vertAlign w:val="superscript"/>
          <w:lang w:val="fr-BE" w:eastAsia="en-IE"/>
        </w:rPr>
        <w:t>o</w:t>
      </w:r>
      <w:r w:rsidRPr="005F1D97">
        <w:rPr>
          <w:rFonts w:ascii="Times New Roman" w:eastAsia="Times New Roman" w:hAnsi="Times New Roman" w:cs="Times New Roman"/>
          <w:i/>
          <w:iCs/>
          <w:sz w:val="20"/>
          <w:szCs w:val="16"/>
          <w:lang w:val="fr-BE" w:eastAsia="en-IE"/>
        </w:rPr>
        <w:t> 178/2008 visent de manière indifférenciée tous les types de service de dispatching, qu’ils soient fournis par téléphone ou par tout autre moyen, tel qu’une application informatique.</w:t>
      </w:r>
    </w:p>
    <w:p w14:paraId="08DFE34D" w14:textId="77777777" w:rsidR="00A23485" w:rsidRPr="005F1D97" w:rsidRDefault="00A23485" w:rsidP="00AA4F20">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101FC6A9" w14:textId="4996ABE6"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56" w:name="point65"/>
      <w:r w:rsidRPr="005F1D97">
        <w:rPr>
          <w:rFonts w:ascii="Times New Roman" w:eastAsia="Times New Roman" w:hAnsi="Times New Roman" w:cs="Times New Roman"/>
          <w:i/>
          <w:iCs/>
          <w:sz w:val="20"/>
          <w:szCs w:val="16"/>
          <w:lang w:val="fr-BE" w:eastAsia="en-IE"/>
        </w:rPr>
        <w:t>65</w:t>
      </w:r>
      <w:bookmarkEnd w:id="56"/>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De plus, ainsi que l’a relevé M. l’avocat général au point 108 de ses conclusions, la loi n</w:t>
      </w:r>
      <w:r w:rsidRPr="005F1D97">
        <w:rPr>
          <w:rFonts w:ascii="Times New Roman" w:eastAsia="Times New Roman" w:hAnsi="Times New Roman" w:cs="Times New Roman"/>
          <w:i/>
          <w:iCs/>
          <w:sz w:val="20"/>
          <w:szCs w:val="16"/>
          <w:vertAlign w:val="superscript"/>
          <w:lang w:val="fr-BE" w:eastAsia="en-IE"/>
        </w:rPr>
        <w:t>o</w:t>
      </w:r>
      <w:r w:rsidRPr="005F1D97">
        <w:rPr>
          <w:rFonts w:ascii="Times New Roman" w:eastAsia="Times New Roman" w:hAnsi="Times New Roman" w:cs="Times New Roman"/>
          <w:i/>
          <w:iCs/>
          <w:sz w:val="20"/>
          <w:szCs w:val="16"/>
          <w:lang w:val="fr-BE" w:eastAsia="en-IE"/>
        </w:rPr>
        <w:t> 38/2003 impose aux prestataires de service de dispatching qui exercent leur activité au moyen d’une application pour téléphone intelligent, au même titre qu’à tous autres opérateurs fournissant un service de dispatching, la possession d’équipements – en l’occurrence des émetteurs-récepteurs radio – dépourvus de toute utilité en raison des modalités techniques de prestation de ce service.</w:t>
      </w:r>
    </w:p>
    <w:p w14:paraId="2E14F206" w14:textId="77777777" w:rsidR="00A23485" w:rsidRPr="005F1D97" w:rsidRDefault="00A23485" w:rsidP="00AA4F20">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7495A598" w14:textId="5337C5E5" w:rsidR="00A23485" w:rsidRPr="005F1D97" w:rsidRDefault="00A23485"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57" w:name="point66"/>
      <w:r w:rsidRPr="005F1D97">
        <w:rPr>
          <w:rFonts w:ascii="Times New Roman" w:eastAsia="Times New Roman" w:hAnsi="Times New Roman" w:cs="Times New Roman"/>
          <w:i/>
          <w:iCs/>
          <w:sz w:val="20"/>
          <w:szCs w:val="16"/>
          <w:lang w:val="fr-BE" w:eastAsia="en-IE"/>
        </w:rPr>
        <w:t>66</w:t>
      </w:r>
      <w:bookmarkEnd w:id="57"/>
      <w:r w:rsidR="005C053F">
        <w:rPr>
          <w:rFonts w:ascii="Times New Roman" w:eastAsia="Times New Roman" w:hAnsi="Times New Roman" w:cs="Times New Roman"/>
          <w:i/>
          <w:iCs/>
          <w:sz w:val="20"/>
          <w:szCs w:val="16"/>
          <w:lang w:val="fr-BE" w:eastAsia="en-IE"/>
        </w:rPr>
        <w:t xml:space="preserve">. </w:t>
      </w:r>
      <w:r w:rsidRPr="005F1D97">
        <w:rPr>
          <w:rFonts w:ascii="Times New Roman" w:eastAsia="Times New Roman" w:hAnsi="Times New Roman" w:cs="Times New Roman"/>
          <w:i/>
          <w:iCs/>
          <w:sz w:val="20"/>
          <w:szCs w:val="16"/>
          <w:lang w:val="fr-BE" w:eastAsia="en-IE"/>
        </w:rPr>
        <w:t>Ainsi, à défaut de viser spécifiquement les services de la société de l’information, une réglementation telle que celle en cause au principal ne concerne ces services que de manière implicite ou incidente. Une telle règle ne saurait donc être qualifiée de « règle relative aux services »,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paragraphe 1, sous e), de la directive 2015/1535 et, en conséquence, de « règle technique » au sens de l’article 1</w:t>
      </w:r>
      <w:r w:rsidRPr="005F1D97">
        <w:rPr>
          <w:rFonts w:ascii="Times New Roman" w:eastAsia="Times New Roman" w:hAnsi="Times New Roman" w:cs="Times New Roman"/>
          <w:i/>
          <w:iCs/>
          <w:sz w:val="20"/>
          <w:szCs w:val="16"/>
          <w:vertAlign w:val="superscript"/>
          <w:lang w:val="fr-BE" w:eastAsia="en-IE"/>
        </w:rPr>
        <w:t>er</w:t>
      </w:r>
      <w:r w:rsidRPr="005F1D97">
        <w:rPr>
          <w:rFonts w:ascii="Times New Roman" w:eastAsia="Times New Roman" w:hAnsi="Times New Roman" w:cs="Times New Roman"/>
          <w:i/>
          <w:iCs/>
          <w:sz w:val="20"/>
          <w:szCs w:val="16"/>
          <w:lang w:val="fr-BE" w:eastAsia="en-IE"/>
        </w:rPr>
        <w:t>, paragraphe 1, sous f), de cette directive. »</w:t>
      </w:r>
    </w:p>
    <w:p w14:paraId="5AFB3694" w14:textId="77777777" w:rsidR="00227E28" w:rsidRDefault="00227E28"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ECE591C" w14:textId="7E8266FE" w:rsidR="006141C3" w:rsidRPr="00657816" w:rsidRDefault="00B3389F" w:rsidP="006141C3">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7" w:history="1">
        <w:r w:rsidR="006141C3" w:rsidRPr="0051744C">
          <w:rPr>
            <w:rStyle w:val="Hyperlink"/>
            <w:rFonts w:ascii="Times New Roman" w:eastAsia="Times New Roman" w:hAnsi="Times New Roman" w:cs="Times New Roman"/>
            <w:b/>
            <w:i/>
            <w:color w:val="0000FF"/>
            <w:szCs w:val="20"/>
            <w:lang w:val="fr" w:eastAsia="en-IE"/>
          </w:rPr>
          <w:t>Arrêt du 29 février 2024</w:t>
        </w:r>
      </w:hyperlink>
      <w:r w:rsidR="006141C3" w:rsidRPr="00657816">
        <w:rPr>
          <w:rFonts w:ascii="Times New Roman" w:eastAsia="Times New Roman" w:hAnsi="Times New Roman" w:cs="Times New Roman"/>
          <w:b/>
          <w:i/>
          <w:szCs w:val="20"/>
          <w:lang w:val="fr" w:eastAsia="en-IE"/>
        </w:rPr>
        <w:t xml:space="preserve">, </w:t>
      </w:r>
      <w:proofErr w:type="spellStart"/>
      <w:r w:rsidR="00437A3E" w:rsidRPr="00657816">
        <w:rPr>
          <w:rFonts w:ascii="Times New Roman" w:eastAsia="Times New Roman" w:hAnsi="Times New Roman" w:cs="Times New Roman"/>
          <w:b/>
          <w:i/>
          <w:szCs w:val="20"/>
          <w:lang w:val="fr" w:eastAsia="en-IE"/>
        </w:rPr>
        <w:t>Doctipharma</w:t>
      </w:r>
      <w:proofErr w:type="spellEnd"/>
      <w:r w:rsidR="00437A3E" w:rsidRPr="00657816">
        <w:rPr>
          <w:rFonts w:ascii="Times New Roman" w:eastAsia="Times New Roman" w:hAnsi="Times New Roman" w:cs="Times New Roman"/>
          <w:b/>
          <w:i/>
          <w:szCs w:val="20"/>
          <w:lang w:val="fr" w:eastAsia="en-IE"/>
        </w:rPr>
        <w:t xml:space="preserve"> SAS, </w:t>
      </w:r>
      <w:r w:rsidR="006141C3" w:rsidRPr="00657816">
        <w:rPr>
          <w:rFonts w:ascii="Times New Roman" w:eastAsia="Times New Roman" w:hAnsi="Times New Roman" w:cs="Times New Roman"/>
          <w:b/>
          <w:i/>
          <w:szCs w:val="20"/>
          <w:lang w:val="fr" w:eastAsia="en-IE"/>
        </w:rPr>
        <w:t xml:space="preserve">C-606/21, </w:t>
      </w:r>
      <w:r w:rsidR="005B2416" w:rsidRPr="005B2416">
        <w:rPr>
          <w:rFonts w:ascii="Times New Roman" w:eastAsia="Times New Roman" w:hAnsi="Times New Roman" w:cs="Times New Roman"/>
          <w:b/>
          <w:i/>
          <w:szCs w:val="20"/>
          <w:lang w:val="fr-BE" w:eastAsia="en-IE"/>
        </w:rPr>
        <w:t>EU:C:2024:179,</w:t>
      </w:r>
      <w:r w:rsidR="005B2416">
        <w:rPr>
          <w:rFonts w:ascii="Times New Roman" w:eastAsia="Times New Roman" w:hAnsi="Times New Roman" w:cs="Times New Roman"/>
          <w:b/>
          <w:i/>
          <w:szCs w:val="20"/>
          <w:lang w:val="fr-BE" w:eastAsia="en-IE"/>
        </w:rPr>
        <w:t xml:space="preserve"> </w:t>
      </w:r>
      <w:r w:rsidR="006141C3" w:rsidRPr="00657816">
        <w:rPr>
          <w:rFonts w:ascii="Times New Roman" w:eastAsia="Times New Roman" w:hAnsi="Times New Roman" w:cs="Times New Roman"/>
          <w:b/>
          <w:i/>
          <w:szCs w:val="20"/>
          <w:lang w:val="fr" w:eastAsia="en-IE"/>
        </w:rPr>
        <w:t>point</w:t>
      </w:r>
      <w:r w:rsidR="006141C3">
        <w:rPr>
          <w:rFonts w:ascii="Times New Roman" w:eastAsia="Times New Roman" w:hAnsi="Times New Roman" w:cs="Times New Roman"/>
          <w:b/>
          <w:i/>
          <w:szCs w:val="20"/>
          <w:lang w:val="fr" w:eastAsia="en-IE"/>
        </w:rPr>
        <w:t>s</w:t>
      </w:r>
      <w:r w:rsidR="006141C3" w:rsidRPr="00657816">
        <w:rPr>
          <w:rFonts w:ascii="Times New Roman" w:eastAsia="Times New Roman" w:hAnsi="Times New Roman" w:cs="Times New Roman"/>
          <w:b/>
          <w:i/>
          <w:szCs w:val="20"/>
          <w:lang w:val="fr" w:eastAsia="en-IE"/>
        </w:rPr>
        <w:t xml:space="preserve"> 26 à 3</w:t>
      </w:r>
      <w:r w:rsidR="005B2416">
        <w:rPr>
          <w:rFonts w:ascii="Times New Roman" w:eastAsia="Times New Roman" w:hAnsi="Times New Roman" w:cs="Times New Roman"/>
          <w:b/>
          <w:i/>
          <w:szCs w:val="20"/>
          <w:lang w:val="fr" w:eastAsia="en-IE"/>
        </w:rPr>
        <w:t>0 et 34 à 36</w:t>
      </w:r>
    </w:p>
    <w:p w14:paraId="5D3D60EF" w14:textId="77777777" w:rsidR="006141C3" w:rsidRPr="00657816" w:rsidRDefault="006141C3" w:rsidP="006141C3">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p>
    <w:p w14:paraId="54330D1B" w14:textId="6ADA20A8" w:rsidR="00227E28" w:rsidRDefault="00227E28" w:rsidP="006141C3">
      <w:pPr>
        <w:pStyle w:val="BodyText"/>
        <w:rPr>
          <w:sz w:val="22"/>
          <w:szCs w:val="18"/>
        </w:rPr>
      </w:pPr>
      <w:r>
        <w:rPr>
          <w:sz w:val="22"/>
          <w:szCs w:val="18"/>
        </w:rPr>
        <w:t>L</w:t>
      </w:r>
      <w:r w:rsidRPr="00227E28">
        <w:rPr>
          <w:sz w:val="22"/>
          <w:szCs w:val="18"/>
        </w:rPr>
        <w:t>a rémunération d’un service fourni par un prestataire dans le cadre d’une activité économique ne doit pas nécessairement être versée par les personnes qui en sont les bénéficiaires</w:t>
      </w:r>
      <w:r>
        <w:rPr>
          <w:sz w:val="22"/>
          <w:szCs w:val="18"/>
        </w:rPr>
        <w:t>. Cela s’applique à u</w:t>
      </w:r>
      <w:r w:rsidR="006141C3" w:rsidRPr="00B313DA">
        <w:rPr>
          <w:sz w:val="22"/>
          <w:szCs w:val="18"/>
        </w:rPr>
        <w:t>n service fourni sur un site Internet, consistant à mettre en relation des pharmaciens et des clients pour la vente des médicaments</w:t>
      </w:r>
      <w:r>
        <w:rPr>
          <w:sz w:val="22"/>
          <w:szCs w:val="18"/>
        </w:rPr>
        <w:t xml:space="preserve">, lorsque </w:t>
      </w:r>
      <w:r w:rsidRPr="00227E28">
        <w:rPr>
          <w:sz w:val="22"/>
          <w:szCs w:val="18"/>
        </w:rPr>
        <w:t>le service fourni fait l’objet d’un abonnement mensuel par les pharmaciens clients</w:t>
      </w:r>
      <w:r>
        <w:rPr>
          <w:sz w:val="22"/>
          <w:szCs w:val="18"/>
        </w:rPr>
        <w:t>.</w:t>
      </w:r>
    </w:p>
    <w:p w14:paraId="7159DEF5" w14:textId="77777777" w:rsidR="00227E28" w:rsidRDefault="00227E28" w:rsidP="006141C3">
      <w:pPr>
        <w:pStyle w:val="BodyText"/>
        <w:rPr>
          <w:sz w:val="22"/>
          <w:szCs w:val="18"/>
        </w:rPr>
      </w:pPr>
    </w:p>
    <w:p w14:paraId="16BCA1E5" w14:textId="458A9A9A" w:rsidR="006141C3" w:rsidRPr="00B313DA" w:rsidRDefault="006141C3" w:rsidP="006141C3">
      <w:pPr>
        <w:pStyle w:val="BodyText"/>
        <w:rPr>
          <w:sz w:val="22"/>
          <w:szCs w:val="18"/>
        </w:rPr>
      </w:pPr>
      <w:r w:rsidRPr="00B313DA">
        <w:rPr>
          <w:sz w:val="22"/>
          <w:szCs w:val="18"/>
        </w:rPr>
        <w:t xml:space="preserve">Un tel service n’est pas un service global dont l’élément principal </w:t>
      </w:r>
      <w:r w:rsidR="0051744C">
        <w:rPr>
          <w:sz w:val="22"/>
          <w:szCs w:val="18"/>
        </w:rPr>
        <w:t>ne serait</w:t>
      </w:r>
      <w:r w:rsidRPr="00B313DA">
        <w:rPr>
          <w:sz w:val="22"/>
          <w:szCs w:val="18"/>
        </w:rPr>
        <w:t xml:space="preserve"> pas un </w:t>
      </w:r>
      <w:r w:rsidR="008224AE">
        <w:rPr>
          <w:sz w:val="22"/>
          <w:szCs w:val="18"/>
        </w:rPr>
        <w:t>« </w:t>
      </w:r>
      <w:r w:rsidRPr="00B313DA">
        <w:rPr>
          <w:sz w:val="22"/>
          <w:szCs w:val="18"/>
        </w:rPr>
        <w:t>service de la société d</w:t>
      </w:r>
      <w:r w:rsidR="000F7992">
        <w:rPr>
          <w:sz w:val="22"/>
          <w:szCs w:val="18"/>
        </w:rPr>
        <w:t>e l’</w:t>
      </w:r>
      <w:r w:rsidRPr="00B313DA">
        <w:rPr>
          <w:sz w:val="22"/>
          <w:szCs w:val="18"/>
        </w:rPr>
        <w:t>information</w:t>
      </w:r>
      <w:r w:rsidR="008224AE">
        <w:rPr>
          <w:sz w:val="22"/>
          <w:szCs w:val="18"/>
        </w:rPr>
        <w:t> »</w:t>
      </w:r>
      <w:r w:rsidRPr="00B313DA">
        <w:rPr>
          <w:sz w:val="22"/>
          <w:szCs w:val="18"/>
        </w:rPr>
        <w:t>.</w:t>
      </w:r>
    </w:p>
    <w:p w14:paraId="5D9B8556" w14:textId="77777777" w:rsidR="006141C3" w:rsidRPr="00657816" w:rsidRDefault="006141C3" w:rsidP="006141C3">
      <w:pPr>
        <w:pStyle w:val="BodyText"/>
        <w:rPr>
          <w:lang w:val="fr-BE"/>
        </w:rPr>
      </w:pPr>
      <w:r w:rsidRPr="00657816">
        <w:t xml:space="preserve"> </w:t>
      </w:r>
    </w:p>
    <w:p w14:paraId="32572875" w14:textId="2D3905B4"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 26</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À cet égard, l’article 1er, point 2, de la directive 98/34 et l’article 1er, paragraphe 1, sous b), de la directive 2015/1535 définissent la notion de « service de la société de l’information » comme désignant « tout service presté normalement contre rémunération, à distance, par voie électronique et à la demande </w:t>
      </w:r>
      <w:r w:rsidRPr="00657816">
        <w:rPr>
          <w:rFonts w:ascii="Times New Roman" w:hAnsi="Times New Roman" w:cs="Times New Roman"/>
          <w:i/>
          <w:iCs/>
          <w:sz w:val="20"/>
          <w:szCs w:val="20"/>
          <w:lang w:val="fr-BE"/>
        </w:rPr>
        <w:lastRenderedPageBreak/>
        <w:t xml:space="preserve">individuelle d’un destinataire de services ». </w:t>
      </w:r>
    </w:p>
    <w:p w14:paraId="54B7DFC7"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2D10B5E1" w14:textId="52939A0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27</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En l’occurrence, il y a lieu de rappeler, s’agissant de la première condition énoncée par ces dispositions que, selon une jurisprudence constante, la rémunération d’un service fourni par un prestataire dans le cadre d’une activité économique ne doit pas nécessairement être versée par les personnes qui en sont les bénéficiaires (voir, en ce sens, arrêts du 15 septembre 2016, Mc </w:t>
      </w:r>
      <w:proofErr w:type="spellStart"/>
      <w:r w:rsidRPr="00657816">
        <w:rPr>
          <w:rFonts w:ascii="Times New Roman" w:hAnsi="Times New Roman" w:cs="Times New Roman"/>
          <w:i/>
          <w:iCs/>
          <w:sz w:val="20"/>
          <w:szCs w:val="20"/>
          <w:lang w:val="fr-BE"/>
        </w:rPr>
        <w:t>Fadden</w:t>
      </w:r>
      <w:proofErr w:type="spellEnd"/>
      <w:r w:rsidRPr="00657816">
        <w:rPr>
          <w:rFonts w:ascii="Times New Roman" w:hAnsi="Times New Roman" w:cs="Times New Roman"/>
          <w:i/>
          <w:iCs/>
          <w:sz w:val="20"/>
          <w:szCs w:val="20"/>
          <w:lang w:val="fr-BE"/>
        </w:rPr>
        <w:t xml:space="preserve">, C‑484/14, EU:C:2016:689 point 41, et du 4 mai 2017, </w:t>
      </w:r>
      <w:proofErr w:type="spellStart"/>
      <w:r w:rsidRPr="00657816">
        <w:rPr>
          <w:rFonts w:ascii="Times New Roman" w:hAnsi="Times New Roman" w:cs="Times New Roman"/>
          <w:i/>
          <w:iCs/>
          <w:sz w:val="20"/>
          <w:szCs w:val="20"/>
          <w:lang w:val="fr-BE"/>
        </w:rPr>
        <w:t>Vanderborght</w:t>
      </w:r>
      <w:proofErr w:type="spellEnd"/>
      <w:r w:rsidRPr="00657816">
        <w:rPr>
          <w:rFonts w:ascii="Times New Roman" w:hAnsi="Times New Roman" w:cs="Times New Roman"/>
          <w:i/>
          <w:iCs/>
          <w:sz w:val="20"/>
          <w:szCs w:val="20"/>
          <w:lang w:val="fr-BE"/>
        </w:rPr>
        <w:t>, C‑339/15, EU:C:2017:335, point 36).</w:t>
      </w:r>
    </w:p>
    <w:p w14:paraId="751E3162"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225962BB" w14:textId="43C6E8DF"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28</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Ainsi, aux fins de la qualification d’un service tel que celui en cause au principal comme relevant de la notion de « service de la société de l’information », au sens de l’article 1er, point 2, de la directive 98/34 et de l’article 1er, paragraphe 1, sous b), de la directive 2015/1535, il serait indifférent que ce service soit fourni à titre gratuit à la personne qui achète le médicament non soumis à prescription, dès lors qu’il donne lieu à la conclusion entre le prestataire de ce service et chaque pharmacien ayant recours audit service d’un contrat de fourniture de services assorti d’un paiement.</w:t>
      </w:r>
    </w:p>
    <w:p w14:paraId="5A2D6996"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1B388E8A" w14:textId="6C7AC23A"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29</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De même, seraient indifférents à cet égard le fait que, comme l’a indiqué </w:t>
      </w:r>
      <w:proofErr w:type="spellStart"/>
      <w:r w:rsidRPr="00657816">
        <w:rPr>
          <w:rFonts w:ascii="Times New Roman" w:hAnsi="Times New Roman" w:cs="Times New Roman"/>
          <w:i/>
          <w:iCs/>
          <w:sz w:val="20"/>
          <w:szCs w:val="20"/>
          <w:lang w:val="fr-BE"/>
        </w:rPr>
        <w:t>Doctipharma</w:t>
      </w:r>
      <w:proofErr w:type="spellEnd"/>
      <w:r w:rsidRPr="00657816">
        <w:rPr>
          <w:rFonts w:ascii="Times New Roman" w:hAnsi="Times New Roman" w:cs="Times New Roman"/>
          <w:i/>
          <w:iCs/>
          <w:sz w:val="20"/>
          <w:szCs w:val="20"/>
          <w:lang w:val="fr-BE"/>
        </w:rPr>
        <w:t xml:space="preserve">, elle était, en vertu des conditions générales de vente, rémunérée par les pharmaciens qui souscrivaient à sa plateforme, sur la base d’un forfait ou encore, ainsi que l’a indiqué le gouvernement français, le fait que le service fourni par </w:t>
      </w:r>
      <w:proofErr w:type="spellStart"/>
      <w:r w:rsidRPr="00657816">
        <w:rPr>
          <w:rFonts w:ascii="Times New Roman" w:hAnsi="Times New Roman" w:cs="Times New Roman"/>
          <w:i/>
          <w:iCs/>
          <w:sz w:val="20"/>
          <w:szCs w:val="20"/>
          <w:lang w:val="fr-BE"/>
        </w:rPr>
        <w:t>Doctipharma</w:t>
      </w:r>
      <w:proofErr w:type="spellEnd"/>
      <w:r w:rsidRPr="00657816">
        <w:rPr>
          <w:rFonts w:ascii="Times New Roman" w:hAnsi="Times New Roman" w:cs="Times New Roman"/>
          <w:i/>
          <w:iCs/>
          <w:sz w:val="20"/>
          <w:szCs w:val="20"/>
          <w:lang w:val="fr-BE"/>
        </w:rPr>
        <w:t xml:space="preserve"> faisait l’objet d’un abonnement mensuel versé à </w:t>
      </w:r>
      <w:proofErr w:type="spellStart"/>
      <w:r w:rsidRPr="00657816">
        <w:rPr>
          <w:rFonts w:ascii="Times New Roman" w:hAnsi="Times New Roman" w:cs="Times New Roman"/>
          <w:i/>
          <w:iCs/>
          <w:sz w:val="20"/>
          <w:szCs w:val="20"/>
          <w:lang w:val="fr-BE"/>
        </w:rPr>
        <w:t>Doctipharma</w:t>
      </w:r>
      <w:proofErr w:type="spellEnd"/>
      <w:r w:rsidRPr="00657816">
        <w:rPr>
          <w:rFonts w:ascii="Times New Roman" w:hAnsi="Times New Roman" w:cs="Times New Roman"/>
          <w:i/>
          <w:iCs/>
          <w:sz w:val="20"/>
          <w:szCs w:val="20"/>
          <w:lang w:val="fr-BE"/>
        </w:rPr>
        <w:t xml:space="preserve"> par les pharmaciens clients et d’une rétrocession d’un pourcentage du montant des ventes, prélevé par la plateforme.</w:t>
      </w:r>
    </w:p>
    <w:p w14:paraId="63C0FEF3"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7E01A0AB" w14:textId="797404E3"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30</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Il en découle que, sous réserve des vérifications à opérer par la juridiction de renvoi, le service en cause au principal doit, en tout état de cause, être considéré comme ayant été fourni contre rémunération. »</w:t>
      </w:r>
    </w:p>
    <w:p w14:paraId="1F7DABA5"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332EA598" w14:textId="509C3949"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 34</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 xml:space="preserve">Cette conclusion n’est pas remise en cause par la jurisprudence dégagée par la Cour dans les arrêts du 20 décembre 2017, </w:t>
      </w:r>
      <w:proofErr w:type="spellStart"/>
      <w:r w:rsidRPr="00657816">
        <w:rPr>
          <w:rFonts w:ascii="Times New Roman" w:hAnsi="Times New Roman" w:cs="Times New Roman"/>
          <w:i/>
          <w:iCs/>
          <w:sz w:val="20"/>
          <w:szCs w:val="20"/>
          <w:lang w:val="fr-BE"/>
        </w:rPr>
        <w:t>Asociación</w:t>
      </w:r>
      <w:proofErr w:type="spellEnd"/>
      <w:r w:rsidRPr="00657816">
        <w:rPr>
          <w:rFonts w:ascii="Times New Roman" w:hAnsi="Times New Roman" w:cs="Times New Roman"/>
          <w:i/>
          <w:iCs/>
          <w:sz w:val="20"/>
          <w:szCs w:val="20"/>
          <w:lang w:val="fr-BE"/>
        </w:rPr>
        <w:t xml:space="preserve"> </w:t>
      </w:r>
      <w:proofErr w:type="spellStart"/>
      <w:r w:rsidRPr="00657816">
        <w:rPr>
          <w:rFonts w:ascii="Times New Roman" w:hAnsi="Times New Roman" w:cs="Times New Roman"/>
          <w:i/>
          <w:iCs/>
          <w:sz w:val="20"/>
          <w:szCs w:val="20"/>
          <w:lang w:val="fr-BE"/>
        </w:rPr>
        <w:t>Profesional</w:t>
      </w:r>
      <w:proofErr w:type="spellEnd"/>
      <w:r w:rsidRPr="00657816">
        <w:rPr>
          <w:rFonts w:ascii="Times New Roman" w:hAnsi="Times New Roman" w:cs="Times New Roman"/>
          <w:i/>
          <w:iCs/>
          <w:sz w:val="20"/>
          <w:szCs w:val="20"/>
          <w:lang w:val="fr-BE"/>
        </w:rPr>
        <w:t xml:space="preserve"> Elite Taxi (C‑434/15, EU:C:2017:981), du 19 décembre 2019, Airbnb Ireland (C‑390/18, EU:C:2019:1112), et du 3 décembre 2020, Star Taxi App (C‑62/19, EU:C:2020:980).</w:t>
      </w:r>
    </w:p>
    <w:p w14:paraId="1F938B17"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7A4BC725" w14:textId="41B2A8E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35</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En effet, il ressort de cette jurisprudence qu’un service ayant pour objet de mettre en relation des clients et des prestataires d’un autre service de nature différente et remplissant toutes les conditions prévues à l’article 1er, point 2, de la directive 98/34 et à l’article 1er, paragraphe 1, sous b), de la directive 2015/1535, doit être qualifié de « service de la société de l’information » lorsqu’un tel service est un service distinct du service de nature différente fourni par ces prestataires. Toutefois, il doit en aller autrement s’il apparaît que ce service de mise en relation fait partie intégrante d’un service global dont l’élément principal relève d’une qualification juridique autre que celle de « service de la société de l’information » (arrêt du 3 décembre 2020, Star Taxi App, C‑62/19, EU:C:2020:980, point 49 et jurisprudence citée).</w:t>
      </w:r>
    </w:p>
    <w:p w14:paraId="4823D5D2" w14:textId="77777777" w:rsidR="006141C3" w:rsidRPr="00657816" w:rsidRDefault="006141C3" w:rsidP="006141C3">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236402DB" w14:textId="4CB79520" w:rsidR="006141C3" w:rsidRPr="006141C3" w:rsidRDefault="006141C3" w:rsidP="00227E28">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57816">
        <w:rPr>
          <w:rFonts w:ascii="Times New Roman" w:hAnsi="Times New Roman" w:cs="Times New Roman"/>
          <w:i/>
          <w:iCs/>
          <w:sz w:val="20"/>
          <w:szCs w:val="20"/>
          <w:lang w:val="fr-BE"/>
        </w:rPr>
        <w:t>36</w:t>
      </w:r>
      <w:r w:rsidR="005C053F">
        <w:rPr>
          <w:rFonts w:ascii="Times New Roman" w:hAnsi="Times New Roman" w:cs="Times New Roman"/>
          <w:i/>
          <w:iCs/>
          <w:sz w:val="20"/>
          <w:szCs w:val="20"/>
          <w:lang w:val="fr-BE"/>
        </w:rPr>
        <w:t xml:space="preserve">. </w:t>
      </w:r>
      <w:r w:rsidRPr="00657816">
        <w:rPr>
          <w:rFonts w:ascii="Times New Roman" w:hAnsi="Times New Roman" w:cs="Times New Roman"/>
          <w:i/>
          <w:iCs/>
          <w:sz w:val="20"/>
          <w:szCs w:val="20"/>
          <w:lang w:val="fr-BE"/>
        </w:rPr>
        <w:t>Or, ainsi que l’a relevé M. l’avocat général aux points 28 et 29 de ses conclusions, un service de mise en relation de pharmaciens et de clients pour la vente, à partir des sites d’officines des pharmacies ayant souscrit à ce service, des médicaments non soumis à prescription médicale n’est pas susceptible de faire partie intégrante d’un service global dont l’élément principal ne répond pas à la qualification de « service de la société de l’information. » </w:t>
      </w:r>
    </w:p>
    <w:p w14:paraId="3BC31D6A" w14:textId="77777777" w:rsidR="00227E28" w:rsidRDefault="00227E28" w:rsidP="00227E28">
      <w:pPr>
        <w:spacing w:after="0" w:line="278" w:lineRule="auto"/>
        <w:rPr>
          <w:lang w:val="fr-BE"/>
        </w:rPr>
      </w:pPr>
    </w:p>
    <w:p w14:paraId="51A2955C" w14:textId="77777777" w:rsidR="00227E28" w:rsidRPr="00657816" w:rsidRDefault="00B3389F" w:rsidP="00227E28">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8" w:history="1">
        <w:r w:rsidR="00227E28" w:rsidRPr="0051744C">
          <w:rPr>
            <w:rStyle w:val="Hyperlink"/>
            <w:rFonts w:ascii="Times New Roman" w:eastAsia="Times New Roman" w:hAnsi="Times New Roman" w:cs="Times New Roman"/>
            <w:b/>
            <w:i/>
            <w:color w:val="0000FF"/>
            <w:szCs w:val="20"/>
            <w:lang w:val="fr" w:eastAsia="en-IE"/>
          </w:rPr>
          <w:t>Arrêt du 13 mars 2025</w:t>
        </w:r>
      </w:hyperlink>
      <w:r w:rsidR="00227E28" w:rsidRPr="00657816">
        <w:rPr>
          <w:rFonts w:ascii="Times New Roman" w:eastAsia="Times New Roman" w:hAnsi="Times New Roman" w:cs="Times New Roman"/>
          <w:b/>
          <w:i/>
          <w:szCs w:val="20"/>
          <w:lang w:val="fr" w:eastAsia="en-IE"/>
        </w:rPr>
        <w:t xml:space="preserve">, </w:t>
      </w:r>
      <w:proofErr w:type="spellStart"/>
      <w:r w:rsidR="00227E28" w:rsidRPr="00657816">
        <w:rPr>
          <w:rFonts w:ascii="Times New Roman" w:eastAsia="Times New Roman" w:hAnsi="Times New Roman" w:cs="Times New Roman"/>
          <w:b/>
          <w:i/>
          <w:szCs w:val="20"/>
          <w:lang w:val="fr" w:eastAsia="en-IE"/>
        </w:rPr>
        <w:t>Unigames</w:t>
      </w:r>
      <w:proofErr w:type="spellEnd"/>
      <w:r w:rsidR="00227E28" w:rsidRPr="00657816">
        <w:rPr>
          <w:rFonts w:ascii="Times New Roman" w:eastAsia="Times New Roman" w:hAnsi="Times New Roman" w:cs="Times New Roman"/>
          <w:b/>
          <w:i/>
          <w:szCs w:val="20"/>
          <w:lang w:val="fr" w:eastAsia="en-IE"/>
        </w:rPr>
        <w:t xml:space="preserve"> UAB, C-120/24, </w:t>
      </w:r>
      <w:r w:rsidR="00227E28" w:rsidRPr="00657816">
        <w:rPr>
          <w:rFonts w:ascii="Times New Roman" w:eastAsia="Times New Roman" w:hAnsi="Times New Roman" w:cs="Times New Roman"/>
          <w:b/>
          <w:i/>
          <w:szCs w:val="20"/>
          <w:lang w:val="fr-BE" w:eastAsia="en-IE"/>
        </w:rPr>
        <w:t>EU:C:2025:174</w:t>
      </w:r>
      <w:r w:rsidR="00227E28">
        <w:rPr>
          <w:rFonts w:ascii="Times New Roman" w:eastAsia="Times New Roman" w:hAnsi="Times New Roman" w:cs="Times New Roman"/>
          <w:b/>
          <w:i/>
          <w:szCs w:val="20"/>
          <w:lang w:val="fr-BE" w:eastAsia="en-IE"/>
        </w:rPr>
        <w:t>,</w:t>
      </w:r>
      <w:r w:rsidR="00227E28" w:rsidRPr="00657816">
        <w:rPr>
          <w:rFonts w:ascii="Times New Roman" w:eastAsia="Times New Roman" w:hAnsi="Times New Roman" w:cs="Times New Roman"/>
          <w:b/>
          <w:i/>
          <w:szCs w:val="20"/>
          <w:lang w:val="fr" w:eastAsia="en-IE"/>
        </w:rPr>
        <w:t xml:space="preserve"> points 38 à 4</w:t>
      </w:r>
      <w:r w:rsidR="00227E28">
        <w:rPr>
          <w:rFonts w:ascii="Times New Roman" w:eastAsia="Times New Roman" w:hAnsi="Times New Roman" w:cs="Times New Roman"/>
          <w:b/>
          <w:i/>
          <w:szCs w:val="20"/>
          <w:lang w:val="fr" w:eastAsia="en-IE"/>
        </w:rPr>
        <w:t>2</w:t>
      </w:r>
    </w:p>
    <w:p w14:paraId="6548BAAB" w14:textId="77777777" w:rsidR="00227E28" w:rsidRPr="00657816" w:rsidRDefault="00227E28" w:rsidP="00227E28">
      <w:pPr>
        <w:widowControl w:val="0"/>
        <w:tabs>
          <w:tab w:val="left" w:pos="437"/>
        </w:tabs>
        <w:autoSpaceDE w:val="0"/>
        <w:autoSpaceDN w:val="0"/>
        <w:spacing w:after="0" w:line="240" w:lineRule="auto"/>
        <w:jc w:val="both"/>
        <w:rPr>
          <w:rFonts w:ascii="Times New Roman" w:eastAsia="Times New Roman" w:hAnsi="Times New Roman" w:cs="Times New Roman"/>
          <w:b/>
          <w:i/>
          <w:szCs w:val="20"/>
          <w:lang w:val="fr" w:eastAsia="en-IE"/>
        </w:rPr>
      </w:pPr>
    </w:p>
    <w:p w14:paraId="322E2091" w14:textId="77777777" w:rsidR="00227E28" w:rsidRPr="00657816" w:rsidRDefault="00227E28" w:rsidP="00227E28">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r w:rsidRPr="00657816">
        <w:rPr>
          <w:rFonts w:ascii="Times New Roman" w:eastAsia="Times New Roman" w:hAnsi="Times New Roman" w:cs="Times New Roman"/>
          <w:szCs w:val="20"/>
          <w:lang w:val="fr" w:eastAsia="en-IE"/>
        </w:rPr>
        <w:t>L’interdiction, sur les sites de jeux hasard, de publicité</w:t>
      </w:r>
      <w:r>
        <w:rPr>
          <w:rFonts w:ascii="Times New Roman" w:eastAsia="Times New Roman" w:hAnsi="Times New Roman" w:cs="Times New Roman"/>
          <w:szCs w:val="20"/>
          <w:lang w:val="fr" w:eastAsia="en-IE"/>
        </w:rPr>
        <w:t xml:space="preserve"> pour ces mêmes</w:t>
      </w:r>
      <w:r w:rsidRPr="00657816">
        <w:rPr>
          <w:rFonts w:ascii="Times New Roman" w:eastAsia="Times New Roman" w:hAnsi="Times New Roman" w:cs="Times New Roman"/>
          <w:szCs w:val="20"/>
          <w:lang w:val="fr" w:eastAsia="en-IE"/>
        </w:rPr>
        <w:t xml:space="preserve"> jeux de hasard, ne concerne pas un service de publicité</w:t>
      </w:r>
      <w:r>
        <w:rPr>
          <w:rFonts w:ascii="Times New Roman" w:eastAsia="Times New Roman" w:hAnsi="Times New Roman" w:cs="Times New Roman"/>
          <w:szCs w:val="20"/>
          <w:lang w:val="fr" w:eastAsia="en-IE"/>
        </w:rPr>
        <w:t xml:space="preserve"> indépendant du service de jeux de hasard</w:t>
      </w:r>
      <w:r w:rsidRPr="00657816">
        <w:rPr>
          <w:rFonts w:ascii="Times New Roman" w:eastAsia="Times New Roman" w:hAnsi="Times New Roman" w:cs="Times New Roman"/>
          <w:szCs w:val="20"/>
          <w:lang w:val="fr" w:eastAsia="en-IE"/>
        </w:rPr>
        <w:t xml:space="preserve"> mais un service d’information indissociable </w:t>
      </w:r>
      <w:r>
        <w:rPr>
          <w:rFonts w:ascii="Times New Roman" w:eastAsia="Times New Roman" w:hAnsi="Times New Roman" w:cs="Times New Roman"/>
          <w:szCs w:val="20"/>
          <w:lang w:val="fr" w:eastAsia="en-IE"/>
        </w:rPr>
        <w:t>de celui-ci</w:t>
      </w:r>
      <w:r w:rsidRPr="00657816">
        <w:rPr>
          <w:rFonts w:ascii="Times New Roman" w:eastAsia="Times New Roman" w:hAnsi="Times New Roman" w:cs="Times New Roman"/>
          <w:szCs w:val="20"/>
          <w:lang w:val="fr" w:eastAsia="en-IE"/>
        </w:rPr>
        <w:t xml:space="preserve">. Par conséquent, afin de déterminer s’il s’agit d’une </w:t>
      </w:r>
      <w:r>
        <w:rPr>
          <w:rFonts w:ascii="Times New Roman" w:eastAsia="Times New Roman" w:hAnsi="Times New Roman" w:cs="Times New Roman"/>
          <w:szCs w:val="20"/>
          <w:lang w:val="fr" w:eastAsia="en-IE"/>
        </w:rPr>
        <w:t>« </w:t>
      </w:r>
      <w:r w:rsidRPr="00657816">
        <w:rPr>
          <w:rFonts w:ascii="Times New Roman" w:eastAsia="Times New Roman" w:hAnsi="Times New Roman" w:cs="Times New Roman"/>
          <w:szCs w:val="20"/>
          <w:lang w:val="fr" w:eastAsia="en-IE"/>
        </w:rPr>
        <w:t>règle relative aux services</w:t>
      </w:r>
      <w:r>
        <w:rPr>
          <w:rFonts w:ascii="Times New Roman" w:eastAsia="Times New Roman" w:hAnsi="Times New Roman" w:cs="Times New Roman"/>
          <w:szCs w:val="20"/>
          <w:lang w:val="fr" w:eastAsia="en-IE"/>
        </w:rPr>
        <w:t> »</w:t>
      </w:r>
      <w:r w:rsidRPr="00657816">
        <w:rPr>
          <w:rFonts w:ascii="Times New Roman" w:eastAsia="Times New Roman" w:hAnsi="Times New Roman" w:cs="Times New Roman"/>
          <w:szCs w:val="20"/>
          <w:lang w:val="fr" w:eastAsia="en-IE"/>
        </w:rPr>
        <w:t xml:space="preserve">, il importe de s’interroger sur la qualification des services de jeux en lignes en tant que </w:t>
      </w:r>
      <w:r>
        <w:rPr>
          <w:rFonts w:ascii="Times New Roman" w:eastAsia="Times New Roman" w:hAnsi="Times New Roman" w:cs="Times New Roman"/>
          <w:szCs w:val="20"/>
          <w:lang w:val="fr" w:eastAsia="en-IE"/>
        </w:rPr>
        <w:t>« </w:t>
      </w:r>
      <w:r w:rsidRPr="00657816">
        <w:rPr>
          <w:rFonts w:ascii="Times New Roman" w:eastAsia="Times New Roman" w:hAnsi="Times New Roman" w:cs="Times New Roman"/>
          <w:szCs w:val="20"/>
          <w:lang w:val="fr" w:eastAsia="en-IE"/>
        </w:rPr>
        <w:t>services de la société d</w:t>
      </w:r>
      <w:r>
        <w:rPr>
          <w:rFonts w:ascii="Times New Roman" w:eastAsia="Times New Roman" w:hAnsi="Times New Roman" w:cs="Times New Roman"/>
          <w:szCs w:val="20"/>
          <w:lang w:val="fr" w:eastAsia="en-IE"/>
        </w:rPr>
        <w:t>e l’</w:t>
      </w:r>
      <w:r w:rsidRPr="00657816">
        <w:rPr>
          <w:rFonts w:ascii="Times New Roman" w:eastAsia="Times New Roman" w:hAnsi="Times New Roman" w:cs="Times New Roman"/>
          <w:szCs w:val="20"/>
          <w:lang w:val="fr" w:eastAsia="en-IE"/>
        </w:rPr>
        <w:t>information</w:t>
      </w:r>
      <w:r>
        <w:rPr>
          <w:rFonts w:ascii="Times New Roman" w:eastAsia="Times New Roman" w:hAnsi="Times New Roman" w:cs="Times New Roman"/>
          <w:szCs w:val="20"/>
          <w:lang w:val="fr" w:eastAsia="en-IE"/>
        </w:rPr>
        <w:t> »</w:t>
      </w:r>
      <w:r w:rsidRPr="00657816">
        <w:rPr>
          <w:rFonts w:ascii="Times New Roman" w:eastAsia="Times New Roman" w:hAnsi="Times New Roman" w:cs="Times New Roman"/>
          <w:szCs w:val="20"/>
          <w:lang w:val="fr" w:eastAsia="en-IE"/>
        </w:rPr>
        <w:t>.</w:t>
      </w:r>
    </w:p>
    <w:p w14:paraId="2EA42A7A" w14:textId="77777777" w:rsidR="00227E28" w:rsidRPr="00657816" w:rsidRDefault="00227E28" w:rsidP="00227E28">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p>
    <w:p w14:paraId="6AFE4EF4" w14:textId="01FFD864" w:rsidR="00227E28" w:rsidRPr="00657816"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57816">
        <w:rPr>
          <w:rFonts w:ascii="Times New Roman" w:eastAsia="Times New Roman" w:hAnsi="Times New Roman" w:cs="Times New Roman"/>
          <w:i/>
          <w:iCs/>
          <w:sz w:val="20"/>
          <w:szCs w:val="16"/>
          <w:lang w:val="fr-BE" w:eastAsia="en-IE"/>
        </w:rPr>
        <w:t>« 38</w:t>
      </w:r>
      <w:r w:rsidR="005C053F">
        <w:rPr>
          <w:rFonts w:ascii="Times New Roman" w:eastAsia="Times New Roman" w:hAnsi="Times New Roman" w:cs="Times New Roman"/>
          <w:i/>
          <w:iCs/>
          <w:sz w:val="20"/>
          <w:szCs w:val="16"/>
          <w:lang w:val="fr-BE" w:eastAsia="en-IE"/>
        </w:rPr>
        <w:t xml:space="preserve">. </w:t>
      </w:r>
      <w:r w:rsidRPr="00657816">
        <w:rPr>
          <w:rFonts w:ascii="Times New Roman" w:eastAsia="Times New Roman" w:hAnsi="Times New Roman" w:cs="Times New Roman"/>
          <w:i/>
          <w:iCs/>
          <w:sz w:val="20"/>
          <w:szCs w:val="16"/>
          <w:lang w:val="fr-BE" w:eastAsia="en-IE"/>
        </w:rPr>
        <w:t xml:space="preserve">Les considérations exposées aux points 36 et 37 du présent arrêt </w:t>
      </w:r>
      <w:r w:rsidRPr="00B313DA">
        <w:rPr>
          <w:rFonts w:ascii="Times New Roman" w:eastAsia="Times New Roman" w:hAnsi="Times New Roman" w:cs="Times New Roman"/>
          <w:sz w:val="20"/>
          <w:szCs w:val="16"/>
          <w:lang w:val="fr-BE" w:eastAsia="en-IE"/>
        </w:rPr>
        <w:t>[selon lesquelles les services de jeux de hasard à distance</w:t>
      </w:r>
      <w:r>
        <w:rPr>
          <w:rFonts w:ascii="Times New Roman" w:eastAsia="Times New Roman" w:hAnsi="Times New Roman" w:cs="Times New Roman"/>
          <w:sz w:val="20"/>
          <w:szCs w:val="16"/>
          <w:lang w:val="fr-BE" w:eastAsia="en-IE"/>
        </w:rPr>
        <w:t xml:space="preserve"> </w:t>
      </w:r>
      <w:r w:rsidRPr="00B313DA">
        <w:rPr>
          <w:rFonts w:ascii="Times New Roman" w:eastAsia="Times New Roman" w:hAnsi="Times New Roman" w:cs="Times New Roman"/>
          <w:sz w:val="20"/>
          <w:szCs w:val="16"/>
          <w:lang w:val="fr-BE" w:eastAsia="en-IE"/>
        </w:rPr>
        <w:t>doivent être considérés comme étant des « services de la société de l’information »]</w:t>
      </w:r>
      <w:r>
        <w:rPr>
          <w:rFonts w:ascii="Times New Roman" w:eastAsia="Times New Roman" w:hAnsi="Times New Roman" w:cs="Times New Roman"/>
          <w:i/>
          <w:iCs/>
          <w:sz w:val="20"/>
          <w:szCs w:val="16"/>
          <w:lang w:val="fr-BE" w:eastAsia="en-IE"/>
        </w:rPr>
        <w:t xml:space="preserve"> </w:t>
      </w:r>
      <w:r w:rsidRPr="00657816">
        <w:rPr>
          <w:rFonts w:ascii="Times New Roman" w:eastAsia="Times New Roman" w:hAnsi="Times New Roman" w:cs="Times New Roman"/>
          <w:i/>
          <w:iCs/>
          <w:sz w:val="20"/>
          <w:szCs w:val="16"/>
          <w:lang w:val="fr-BE" w:eastAsia="en-IE"/>
        </w:rPr>
        <w:t xml:space="preserve">ne sont pas remises en cause par la circonstance que les informations sur les jeux de hasard que l’opérateur de ces jeux publie sur son site Internet ne sont pas nécessairement fournies « à la </w:t>
      </w:r>
      <w:r w:rsidRPr="00657816">
        <w:rPr>
          <w:rFonts w:ascii="Times New Roman" w:eastAsia="Times New Roman" w:hAnsi="Times New Roman" w:cs="Times New Roman"/>
          <w:i/>
          <w:iCs/>
          <w:sz w:val="20"/>
          <w:szCs w:val="16"/>
          <w:lang w:val="fr-BE" w:eastAsia="en-IE"/>
        </w:rPr>
        <w:lastRenderedPageBreak/>
        <w:t>demande individuelle d’un destinataire de services ». En effet, cette publication d’informations ne saurait, dans des circonstances telles que celles en cause au principal, s’analyser comme étant un service de publicité ou autre fourni aux destinataires des services de jeux de hasard à distance, mais constitue un élément accessoire et indissociable des services de jeux de hasard à distance concernés desquels elle tire tout son sens économique [voir, par analogie, arrêt du 1er octobre 2020, A (Publicité et vente de médicaments en ligne), C‑649/18, EU:C:2020:764, point 56]. Dès lors, ce sont uniquement les services de jeux de hasard eux‑mêmes qui doivent remplir les conditions pertinentes afin de relever de la notion de « service », au sens de l’article 1er, paragraphe 1, sous b), de la directive 2015/1535, l’interdiction en cause au principal, qui porte sur une telle publication d’informations, devant, quant à elle, remplir les critères spécifiques prévus à l’article 1er, paragraphe 1, sous e), de cette directive afin d’être considérée comme étant une « règle relative » à ces services, au sens de cette dernière disposition.</w:t>
      </w:r>
    </w:p>
    <w:p w14:paraId="3927CF2B" w14:textId="77777777" w:rsidR="00227E28" w:rsidRPr="00657816"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7436715" w14:textId="2D5BD233" w:rsidR="00227E28" w:rsidRPr="00657816"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57816">
        <w:rPr>
          <w:rFonts w:ascii="Times New Roman" w:eastAsia="Times New Roman" w:hAnsi="Times New Roman" w:cs="Times New Roman"/>
          <w:i/>
          <w:iCs/>
          <w:sz w:val="20"/>
          <w:szCs w:val="16"/>
          <w:lang w:val="fr-BE" w:eastAsia="en-IE"/>
        </w:rPr>
        <w:t>39</w:t>
      </w:r>
      <w:r w:rsidR="005C053F">
        <w:rPr>
          <w:rFonts w:ascii="Times New Roman" w:eastAsia="Times New Roman" w:hAnsi="Times New Roman" w:cs="Times New Roman"/>
          <w:i/>
          <w:iCs/>
          <w:sz w:val="20"/>
          <w:szCs w:val="16"/>
          <w:lang w:val="fr-BE" w:eastAsia="en-IE"/>
        </w:rPr>
        <w:t>.</w:t>
      </w:r>
      <w:r w:rsidRPr="00657816">
        <w:rPr>
          <w:rFonts w:ascii="Times New Roman" w:eastAsia="Times New Roman" w:hAnsi="Times New Roman" w:cs="Times New Roman"/>
          <w:i/>
          <w:iCs/>
          <w:sz w:val="20"/>
          <w:szCs w:val="16"/>
          <w:lang w:val="fr-BE" w:eastAsia="en-IE"/>
        </w:rPr>
        <w:t xml:space="preserve"> À ce dernier égard, s’il est constant que l’interdiction en cause au principal constitue « une exigence de nature générale », au sens de l’article 1er, paragraphe 1, sous e), de la directive 2015/1535, encore faut‑il examiner, d’une part, le point de savoir si elle peut être considérée comme étant « relative à l’accès aux activités de services de la société de l’information et à leur exercice », cette disposition précisant que tel est le cas, notamment, des dispositions relatives au prestataire de services, aux services et au destinataire de services.</w:t>
      </w:r>
    </w:p>
    <w:p w14:paraId="7FD66EE3" w14:textId="77777777" w:rsidR="00227E28" w:rsidRPr="00657816"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068E7A2" w14:textId="108AF986" w:rsidR="00227E28"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57816">
        <w:rPr>
          <w:rFonts w:ascii="Times New Roman" w:eastAsia="Times New Roman" w:hAnsi="Times New Roman" w:cs="Times New Roman"/>
          <w:i/>
          <w:iCs/>
          <w:sz w:val="20"/>
          <w:szCs w:val="16"/>
          <w:lang w:val="fr-BE" w:eastAsia="en-IE"/>
        </w:rPr>
        <w:t>40</w:t>
      </w:r>
      <w:r w:rsidR="005C053F">
        <w:rPr>
          <w:rFonts w:ascii="Times New Roman" w:eastAsia="Times New Roman" w:hAnsi="Times New Roman" w:cs="Times New Roman"/>
          <w:i/>
          <w:iCs/>
          <w:sz w:val="20"/>
          <w:szCs w:val="16"/>
          <w:lang w:val="fr-BE" w:eastAsia="en-IE"/>
        </w:rPr>
        <w:t>.</w:t>
      </w:r>
      <w:r w:rsidRPr="00657816">
        <w:rPr>
          <w:rFonts w:ascii="Times New Roman" w:eastAsia="Times New Roman" w:hAnsi="Times New Roman" w:cs="Times New Roman"/>
          <w:i/>
          <w:iCs/>
          <w:sz w:val="20"/>
          <w:szCs w:val="16"/>
          <w:lang w:val="fr-BE" w:eastAsia="en-IE"/>
        </w:rPr>
        <w:t xml:space="preserve"> À ce sujet, il convient de constater que l’article 10, paragraphe 19, de la loi sur les jeux de hasard est susceptible de relever de la notion de « règle relative aux services », en ce qu’il interdit d’inciter, notamment, à la pratique des jeux de hasard à distance et, en particulier, de publier sur le site Internet d’un opérateur de tels jeux des informations relatives à ceux-ci ou d’accomplir des actes incitant à s’adonner à de tels jeux (voir, en ce sens, arrêt du 22 octobre 2020, </w:t>
      </w:r>
      <w:proofErr w:type="spellStart"/>
      <w:r w:rsidRPr="00657816">
        <w:rPr>
          <w:rFonts w:ascii="Times New Roman" w:eastAsia="Times New Roman" w:hAnsi="Times New Roman" w:cs="Times New Roman"/>
          <w:i/>
          <w:iCs/>
          <w:sz w:val="20"/>
          <w:szCs w:val="16"/>
          <w:lang w:val="fr-BE" w:eastAsia="en-IE"/>
        </w:rPr>
        <w:t>Sportingbet</w:t>
      </w:r>
      <w:proofErr w:type="spellEnd"/>
      <w:r w:rsidRPr="00657816">
        <w:rPr>
          <w:rFonts w:ascii="Times New Roman" w:eastAsia="Times New Roman" w:hAnsi="Times New Roman" w:cs="Times New Roman"/>
          <w:i/>
          <w:iCs/>
          <w:sz w:val="20"/>
          <w:szCs w:val="16"/>
          <w:lang w:val="fr-BE" w:eastAsia="en-IE"/>
        </w:rPr>
        <w:t xml:space="preserve"> et Internet Opportunity Entertainment, C‑275/19, EU:C:2020:856, point 48 ainsi que jurisprudence citée). </w:t>
      </w:r>
    </w:p>
    <w:p w14:paraId="338B24B8" w14:textId="77777777" w:rsidR="00227E28"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C0C6BC6" w14:textId="7CC19CC3" w:rsidR="00227E28" w:rsidRPr="00B313DA"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B313DA">
        <w:rPr>
          <w:rFonts w:ascii="Times New Roman" w:eastAsia="Times New Roman" w:hAnsi="Times New Roman" w:cs="Times New Roman"/>
          <w:i/>
          <w:iCs/>
          <w:sz w:val="20"/>
          <w:szCs w:val="16"/>
          <w:lang w:val="fr-BE" w:eastAsia="en-IE"/>
        </w:rPr>
        <w:t>41</w:t>
      </w:r>
      <w:r w:rsidR="005C053F">
        <w:rPr>
          <w:rFonts w:ascii="Times New Roman" w:eastAsia="Times New Roman" w:hAnsi="Times New Roman" w:cs="Times New Roman"/>
          <w:i/>
          <w:iCs/>
          <w:sz w:val="20"/>
          <w:szCs w:val="16"/>
          <w:lang w:val="fr-BE" w:eastAsia="en-IE"/>
        </w:rPr>
        <w:t xml:space="preserve">. </w:t>
      </w:r>
      <w:r w:rsidRPr="00B313DA">
        <w:rPr>
          <w:rFonts w:ascii="Times New Roman" w:eastAsia="Times New Roman" w:hAnsi="Times New Roman" w:cs="Times New Roman"/>
          <w:i/>
          <w:iCs/>
          <w:sz w:val="20"/>
          <w:szCs w:val="16"/>
          <w:lang w:val="fr-BE" w:eastAsia="en-IE"/>
        </w:rPr>
        <w:t>D’autre part, ainsi qu’il ressort du libellé même de l’article 1er, paragraphe 1, sous e), de la directive 2015/1535, pour être qualifiée de « règle relative aux services », l’interdiction en cause au principal doit viser « spécifiquement » les services de la société de l’information (voir, en ce sens, arrêt du 12 septembre 2019, VG Media, C‑299/17, EU:C:2019:716, point 31).</w:t>
      </w:r>
    </w:p>
    <w:p w14:paraId="038F8F55" w14:textId="77777777" w:rsidR="00227E28" w:rsidRPr="00B313DA"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57A61DB" w14:textId="26F7D5C2" w:rsidR="00227E28" w:rsidRDefault="00227E28" w:rsidP="00227E28">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B313DA">
        <w:rPr>
          <w:rFonts w:ascii="Times New Roman" w:eastAsia="Times New Roman" w:hAnsi="Times New Roman" w:cs="Times New Roman"/>
          <w:i/>
          <w:iCs/>
          <w:sz w:val="20"/>
          <w:szCs w:val="16"/>
          <w:lang w:val="fr-BE" w:eastAsia="en-IE"/>
        </w:rPr>
        <w:t>42</w:t>
      </w:r>
      <w:r w:rsidR="005C053F">
        <w:rPr>
          <w:rFonts w:ascii="Times New Roman" w:eastAsia="Times New Roman" w:hAnsi="Times New Roman" w:cs="Times New Roman"/>
          <w:i/>
          <w:iCs/>
          <w:sz w:val="20"/>
          <w:szCs w:val="16"/>
          <w:lang w:val="fr-BE" w:eastAsia="en-IE"/>
        </w:rPr>
        <w:t xml:space="preserve">. </w:t>
      </w:r>
      <w:r w:rsidRPr="00B313DA">
        <w:rPr>
          <w:rFonts w:ascii="Times New Roman" w:eastAsia="Times New Roman" w:hAnsi="Times New Roman" w:cs="Times New Roman"/>
          <w:i/>
          <w:iCs/>
          <w:sz w:val="20"/>
          <w:szCs w:val="16"/>
          <w:lang w:val="fr-BE" w:eastAsia="en-IE"/>
        </w:rPr>
        <w:t>À cet égard, il découle de l’article 1er, paragraphe 1, sous e), second alinéa, i), de la directive 2015/1535 que la vérification qu’une règle vise spécifiquement des services de la société de l’information doit être effectuée au regard tant du libellé de cette règle que du but qu’elle poursuit. Par ailleurs, en vertu de cette disposition, il n’est pas requis que la règle en cause ait dans sa totalité « pour finalité et pour objet spécifiques » de réglementer des services de la société de l’information, mais il suffit qu’elle poursuive cette finalité ou cet objet au moyen de certaines de ses dispositions (voir, en ce sens, arrêt du 12 septembre 2019, VG Media, C‑299/17, EU:C:2019:716, point 32 et jurisprudence citée). Enfin, conformément à l’article 1er, paragraphe 1, sous e), second alinéa, ii), de cette directive, une règle n’est pas considérée comme visant spécifiquement les services de la société de l’information si elle ne concerne ces services que d’une manière implicite ou incidente.</w:t>
      </w:r>
      <w:r w:rsidRPr="00657816">
        <w:rPr>
          <w:rFonts w:ascii="Times New Roman" w:eastAsia="Times New Roman" w:hAnsi="Times New Roman" w:cs="Times New Roman"/>
          <w:i/>
          <w:iCs/>
          <w:sz w:val="20"/>
          <w:szCs w:val="16"/>
          <w:lang w:val="fr-BE" w:eastAsia="en-IE"/>
        </w:rPr>
        <w:t>»</w:t>
      </w:r>
    </w:p>
    <w:p w14:paraId="261E7AF4" w14:textId="7A5FB210" w:rsidR="00227E28" w:rsidRDefault="00B3389F" w:rsidP="00B3389F">
      <w:pPr>
        <w:spacing w:line="278" w:lineRule="auto"/>
        <w:rPr>
          <w:lang w:val="fr-BE"/>
        </w:rPr>
      </w:pPr>
      <w:r>
        <w:rPr>
          <w:lang w:val="fr-BE"/>
        </w:rPr>
        <w:br w:type="page"/>
      </w:r>
    </w:p>
    <w:p w14:paraId="66BD9244" w14:textId="08666693" w:rsidR="00A23485" w:rsidRPr="00DC2D31" w:rsidRDefault="00745699" w:rsidP="002C17AE">
      <w:pPr>
        <w:pStyle w:val="Heading2"/>
        <w:spacing w:after="0"/>
        <w:jc w:val="center"/>
        <w:rPr>
          <w:color w:val="auto"/>
          <w:lang w:val="fr-BE"/>
        </w:rPr>
      </w:pPr>
      <w:bookmarkStart w:id="58" w:name="_Toc203035382"/>
      <w:r w:rsidRPr="00DC2D31">
        <w:rPr>
          <w:color w:val="auto"/>
          <w:lang w:val="fr-BE"/>
        </w:rPr>
        <w:lastRenderedPageBreak/>
        <w:t xml:space="preserve">e. </w:t>
      </w:r>
      <w:bookmarkStart w:id="59" w:name="_Ref194484584"/>
      <w:r w:rsidR="00A23485" w:rsidRPr="00DC2D31">
        <w:rPr>
          <w:color w:val="auto"/>
          <w:lang w:val="fr-BE"/>
        </w:rPr>
        <w:t>Dispositions d’interdiction</w:t>
      </w:r>
      <w:bookmarkEnd w:id="59"/>
      <w:bookmarkEnd w:id="58"/>
    </w:p>
    <w:p w14:paraId="11A12362" w14:textId="77777777" w:rsidR="00A23485" w:rsidRDefault="00A23485" w:rsidP="00AA4F20">
      <w:pPr>
        <w:pStyle w:val="BodyText"/>
      </w:pPr>
    </w:p>
    <w:p w14:paraId="6DD7108F" w14:textId="61ACB955" w:rsidR="00A23485" w:rsidRPr="006D18A6" w:rsidRDefault="00A23485" w:rsidP="00AA4F20">
      <w:pPr>
        <w:pStyle w:val="BodyText"/>
        <w:ind w:left="567"/>
        <w:rPr>
          <w:i/>
          <w:iCs/>
          <w:lang w:val="fr-BE"/>
        </w:rPr>
      </w:pPr>
      <w:r w:rsidRPr="002A04C0">
        <w:rPr>
          <w:i/>
          <w:iCs/>
          <w:lang w:val="fr-BE"/>
        </w:rPr>
        <w:t>« </w:t>
      </w:r>
      <w:r w:rsidR="006D18A6" w:rsidRPr="006D18A6">
        <w:rPr>
          <w:i/>
          <w:iCs/>
          <w:lang w:val="fr-BE"/>
        </w:rPr>
        <w:t xml:space="preserve">«règle technique», </w:t>
      </w:r>
      <w:r w:rsidR="006D18A6">
        <w:rPr>
          <w:i/>
          <w:iCs/>
          <w:lang w:val="fr-BE"/>
        </w:rPr>
        <w:t xml:space="preserve">[…] </w:t>
      </w:r>
      <w:r w:rsidR="006D18A6" w:rsidRPr="006D18A6">
        <w:rPr>
          <w:i/>
          <w:iCs/>
          <w:lang w:val="fr-BE"/>
        </w:rPr>
        <w:t>les dispositions législatives, réglementaires et administratives des États membres interdisant la fabrication, l'importation, la commercialisation ou l'utilisation d'un produit ou interdisant de fournir ou d'utiliser un service ou de s'établir comme prestataire de services.</w:t>
      </w:r>
      <w:r w:rsidR="006D18A6">
        <w:rPr>
          <w:i/>
          <w:iCs/>
          <w:lang w:val="fr-BE"/>
        </w:rPr>
        <w:t xml:space="preserve"> » </w:t>
      </w:r>
    </w:p>
    <w:p w14:paraId="6EA3335C" w14:textId="77777777" w:rsidR="00A23485" w:rsidRPr="002A04C0" w:rsidRDefault="00A23485" w:rsidP="00AA4F20">
      <w:pPr>
        <w:pStyle w:val="BodyText"/>
        <w:ind w:left="567"/>
        <w:rPr>
          <w:i/>
          <w:iCs/>
          <w:lang w:val="fr-BE"/>
        </w:rPr>
      </w:pPr>
    </w:p>
    <w:p w14:paraId="05F6428B" w14:textId="32535D1A" w:rsidR="00A23485" w:rsidRDefault="00A23485" w:rsidP="002D4B5F">
      <w:pPr>
        <w:pStyle w:val="BodyText"/>
        <w:jc w:val="right"/>
      </w:pPr>
      <w:r>
        <w:t xml:space="preserve">(article </w:t>
      </w:r>
      <w:r w:rsidR="000A18C4">
        <w:t>1</w:t>
      </w:r>
      <w:r w:rsidR="000A18C4" w:rsidRPr="000A18C4">
        <w:rPr>
          <w:vertAlign w:val="superscript"/>
        </w:rPr>
        <w:t>er</w:t>
      </w:r>
      <w:r w:rsidRPr="00311E84">
        <w:t xml:space="preserve">, paragraphe 1, </w:t>
      </w:r>
      <w:r w:rsidR="001305B4">
        <w:t>point</w:t>
      </w:r>
      <w:r w:rsidRPr="00311E84">
        <w:t xml:space="preserve"> </w:t>
      </w:r>
      <w:r>
        <w:t>f</w:t>
      </w:r>
      <w:r w:rsidR="00B63F8E">
        <w:t>)</w:t>
      </w:r>
      <w:r>
        <w:t>,</w:t>
      </w:r>
      <w:r w:rsidR="002D4B5F">
        <w:t xml:space="preserve"> première phrase</w:t>
      </w:r>
      <w:r>
        <w:t xml:space="preserve"> de la directive </w:t>
      </w:r>
      <w:r w:rsidR="006C60E5">
        <w:t xml:space="preserve">(UE) </w:t>
      </w:r>
      <w:r>
        <w:t>2015/1535</w:t>
      </w:r>
      <w:r w:rsidRPr="00311E84">
        <w:t>)</w:t>
      </w:r>
    </w:p>
    <w:p w14:paraId="38D8F2AB" w14:textId="77777777" w:rsidR="00A23485" w:rsidRDefault="00A23485" w:rsidP="00AA4F20">
      <w:pPr>
        <w:spacing w:after="0" w:line="240" w:lineRule="auto"/>
        <w:rPr>
          <w:lang w:val="fr"/>
        </w:rPr>
      </w:pPr>
    </w:p>
    <w:p w14:paraId="0D9AB62C" w14:textId="00A41617" w:rsidR="00A23485" w:rsidRPr="00D6058A"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59" w:history="1">
        <w:r w:rsidR="00A23485" w:rsidRPr="00D6058A">
          <w:rPr>
            <w:rFonts w:ascii="Times New Roman" w:eastAsia="Times New Roman" w:hAnsi="Times New Roman" w:cs="Times New Roman"/>
            <w:b/>
            <w:i/>
            <w:color w:val="0000FF"/>
            <w:szCs w:val="20"/>
            <w:u w:val="single"/>
            <w:lang w:val="fr" w:eastAsia="en-IE"/>
          </w:rPr>
          <w:t>Arrêt du 16 septembre 1996</w:t>
        </w:r>
      </w:hyperlink>
      <w:r w:rsidR="00A23485" w:rsidRPr="00D6058A">
        <w:rPr>
          <w:rFonts w:ascii="Times New Roman" w:eastAsia="Times New Roman" w:hAnsi="Times New Roman" w:cs="Times New Roman"/>
          <w:b/>
          <w:i/>
          <w:szCs w:val="20"/>
          <w:lang w:val="fr" w:eastAsia="en-IE"/>
        </w:rPr>
        <w:t xml:space="preserve">, </w:t>
      </w:r>
      <w:r w:rsidR="00437A3E" w:rsidRPr="00D6058A">
        <w:rPr>
          <w:rFonts w:ascii="Times New Roman" w:eastAsia="Times New Roman" w:hAnsi="Times New Roman" w:cs="Times New Roman"/>
          <w:b/>
          <w:i/>
          <w:szCs w:val="20"/>
          <w:lang w:val="fr" w:eastAsia="en-IE"/>
        </w:rPr>
        <w:t xml:space="preserve">Commission/Italie, </w:t>
      </w:r>
      <w:r w:rsidR="00A23485" w:rsidRPr="00D6058A">
        <w:rPr>
          <w:rFonts w:ascii="Times New Roman" w:eastAsia="Times New Roman" w:hAnsi="Times New Roman" w:cs="Times New Roman"/>
          <w:b/>
          <w:i/>
          <w:szCs w:val="20"/>
          <w:lang w:val="fr" w:eastAsia="en-IE"/>
        </w:rPr>
        <w:t xml:space="preserve">C-279/94, </w:t>
      </w:r>
      <w:r w:rsidR="00A23485" w:rsidRPr="00A23485">
        <w:rPr>
          <w:rFonts w:ascii="Times New Roman" w:eastAsia="Times New Roman" w:hAnsi="Times New Roman" w:cs="Times New Roman"/>
          <w:b/>
          <w:i/>
          <w:szCs w:val="20"/>
          <w:lang w:val="fr-BE" w:eastAsia="en-IE"/>
        </w:rPr>
        <w:t>EU:C:1997:396,</w:t>
      </w:r>
      <w:r w:rsidR="00A23485">
        <w:rPr>
          <w:rFonts w:ascii="Times New Roman" w:eastAsia="Times New Roman" w:hAnsi="Times New Roman" w:cs="Times New Roman"/>
          <w:b/>
          <w:i/>
          <w:szCs w:val="20"/>
          <w:lang w:val="fr-BE" w:eastAsia="en-IE"/>
        </w:rPr>
        <w:t xml:space="preserve"> </w:t>
      </w:r>
      <w:r w:rsidR="00A23485" w:rsidRPr="00D6058A">
        <w:rPr>
          <w:rFonts w:ascii="Times New Roman" w:eastAsia="Times New Roman" w:hAnsi="Times New Roman" w:cs="Times New Roman"/>
          <w:b/>
          <w:i/>
          <w:szCs w:val="20"/>
          <w:lang w:val="fr" w:eastAsia="en-IE"/>
        </w:rPr>
        <w:t>point</w:t>
      </w:r>
      <w:r w:rsidR="00A23485">
        <w:rPr>
          <w:rFonts w:ascii="Times New Roman" w:eastAsia="Times New Roman" w:hAnsi="Times New Roman" w:cs="Times New Roman"/>
          <w:b/>
          <w:i/>
          <w:szCs w:val="20"/>
          <w:lang w:val="fr" w:eastAsia="en-IE"/>
        </w:rPr>
        <w:t xml:space="preserve"> 30</w:t>
      </w:r>
    </w:p>
    <w:p w14:paraId="034B7933" w14:textId="77777777" w:rsidR="00A23485" w:rsidRPr="00D6058A" w:rsidRDefault="00A23485" w:rsidP="00AA4F20">
      <w:pPr>
        <w:widowControl w:val="0"/>
        <w:tabs>
          <w:tab w:val="left" w:pos="396"/>
          <w:tab w:val="left" w:pos="461"/>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01754A62" w14:textId="23FA6C7C" w:rsidR="00A23485" w:rsidRPr="00D6058A" w:rsidRDefault="00A23485" w:rsidP="00AA4F20">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lang w:val="fr" w:eastAsia="en-IE"/>
        </w:rPr>
      </w:pPr>
      <w:r w:rsidRPr="00D6058A">
        <w:rPr>
          <w:rFonts w:ascii="Times New Roman" w:eastAsia="Times New Roman" w:hAnsi="Times New Roman" w:cs="Times New Roman"/>
          <w:szCs w:val="20"/>
          <w:lang w:val="fr" w:eastAsia="en-IE"/>
        </w:rPr>
        <w:t xml:space="preserve">L’interdiction de la mise sur le marché et de l’utilisation de l’amiante constitue une </w:t>
      </w:r>
      <w:r w:rsidR="008224AE">
        <w:rPr>
          <w:rFonts w:ascii="Times New Roman" w:eastAsia="Times New Roman" w:hAnsi="Times New Roman" w:cs="Times New Roman"/>
          <w:szCs w:val="20"/>
          <w:lang w:val="fr" w:eastAsia="en-IE"/>
        </w:rPr>
        <w:t>« </w:t>
      </w:r>
      <w:r w:rsidRPr="00D6058A">
        <w:rPr>
          <w:rFonts w:ascii="Times New Roman" w:eastAsia="Times New Roman" w:hAnsi="Times New Roman" w:cs="Times New Roman"/>
          <w:szCs w:val="20"/>
          <w:lang w:val="fr" w:eastAsia="en-IE"/>
        </w:rPr>
        <w:t>règle technique</w:t>
      </w:r>
      <w:r w:rsidR="008224AE">
        <w:rPr>
          <w:rFonts w:ascii="Times New Roman" w:eastAsia="Times New Roman" w:hAnsi="Times New Roman" w:cs="Times New Roman"/>
          <w:szCs w:val="20"/>
          <w:lang w:val="fr" w:eastAsia="en-IE"/>
        </w:rPr>
        <w:t> »</w:t>
      </w:r>
      <w:r w:rsidRPr="00D6058A">
        <w:rPr>
          <w:rFonts w:ascii="Times New Roman" w:eastAsia="Times New Roman" w:hAnsi="Times New Roman" w:cs="Times New Roman"/>
          <w:szCs w:val="20"/>
          <w:lang w:val="fr" w:eastAsia="en-IE"/>
        </w:rPr>
        <w:t xml:space="preserve"> à notifier</w:t>
      </w:r>
      <w:r w:rsidR="00B313DA">
        <w:rPr>
          <w:rFonts w:ascii="Times New Roman" w:eastAsia="Times New Roman" w:hAnsi="Times New Roman" w:cs="Times New Roman"/>
          <w:szCs w:val="20"/>
          <w:lang w:val="fr" w:eastAsia="en-IE"/>
        </w:rPr>
        <w:t xml:space="preserve"> car elle prohibe la commercialisation et l’utilisation d’un produit.</w:t>
      </w:r>
    </w:p>
    <w:p w14:paraId="0BB35591" w14:textId="77777777" w:rsidR="00A23485" w:rsidRPr="00D6058A" w:rsidRDefault="00A23485" w:rsidP="00AA4F20">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lang w:val="fr" w:eastAsia="en-IE"/>
        </w:rPr>
      </w:pPr>
    </w:p>
    <w:p w14:paraId="79E65C7B" w14:textId="0CD02E99" w:rsidR="00A23485" w:rsidRPr="00D6058A" w:rsidRDefault="00A23485" w:rsidP="00AA4F20">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D6058A">
        <w:rPr>
          <w:rFonts w:ascii="Times New Roman" w:eastAsia="Times New Roman" w:hAnsi="Times New Roman" w:cs="Times New Roman"/>
          <w:i/>
          <w:iCs/>
          <w:sz w:val="20"/>
          <w:szCs w:val="16"/>
          <w:lang w:val="fr" w:eastAsia="en-IE"/>
        </w:rPr>
        <w:t>« 30</w:t>
      </w:r>
      <w:r w:rsidR="005C053F">
        <w:rPr>
          <w:rFonts w:ascii="Times New Roman" w:eastAsia="Times New Roman" w:hAnsi="Times New Roman" w:cs="Times New Roman"/>
          <w:i/>
          <w:iCs/>
          <w:sz w:val="20"/>
          <w:szCs w:val="16"/>
          <w:lang w:val="fr" w:eastAsia="en-IE"/>
        </w:rPr>
        <w:t>.</w:t>
      </w:r>
      <w:r w:rsidRPr="00D6058A">
        <w:rPr>
          <w:rFonts w:ascii="Times New Roman" w:eastAsia="Times New Roman" w:hAnsi="Times New Roman" w:cs="Times New Roman"/>
          <w:i/>
          <w:iCs/>
          <w:sz w:val="20"/>
          <w:szCs w:val="16"/>
          <w:lang w:val="fr" w:eastAsia="en-IE"/>
        </w:rPr>
        <w:t xml:space="preserve"> En ce qui concerne l'article 1 er, paragraphe 2, de la loi 257/92, il y a lieu de rappeler que cette disposition interdit l'extraction, l'importation, l'exportation, la commercialisation et la production d'amiante, de produits en amiante et de produits contenant de l'amiante, passé un délai d'un an à compter de l'entrée en vigueur de la loi. Une telle disposition, en ce qu'elle interdit la commercialisation et l'utilisation de l'amiante, constitue une règle technique que le gouvernement italien aurait dû communiquer conformément à l'article 8, paragraphe 1, premier alinéa, de la directive. »</w:t>
      </w:r>
    </w:p>
    <w:p w14:paraId="4C0F9A2E" w14:textId="77777777" w:rsidR="00A23485" w:rsidRDefault="00A23485" w:rsidP="00AA4F20">
      <w:pPr>
        <w:spacing w:after="0" w:line="240" w:lineRule="auto"/>
        <w:rPr>
          <w:lang w:val="fr"/>
        </w:rPr>
      </w:pPr>
    </w:p>
    <w:p w14:paraId="6933A43F" w14:textId="7EC2ACB9" w:rsidR="00A23485" w:rsidRPr="007B044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0" w:history="1">
        <w:r w:rsidR="00A23485" w:rsidRPr="007B044C">
          <w:rPr>
            <w:rFonts w:ascii="Times New Roman" w:eastAsia="Times New Roman" w:hAnsi="Times New Roman" w:cs="Times New Roman"/>
            <w:b/>
            <w:i/>
            <w:color w:val="0000FF"/>
            <w:szCs w:val="20"/>
            <w:u w:val="single"/>
            <w:lang w:val="fr" w:eastAsia="en-IE"/>
          </w:rPr>
          <w:t>Arrêt du 21 avril 2005</w:t>
        </w:r>
      </w:hyperlink>
      <w:r w:rsidR="00A23485" w:rsidRPr="007B044C">
        <w:rPr>
          <w:rFonts w:ascii="Times New Roman" w:eastAsia="Times New Roman" w:hAnsi="Times New Roman" w:cs="Times New Roman"/>
          <w:b/>
          <w:i/>
          <w:szCs w:val="20"/>
          <w:lang w:val="fr" w:eastAsia="en-IE"/>
        </w:rPr>
        <w:t xml:space="preserve">, </w:t>
      </w:r>
      <w:r w:rsidR="00437A3E" w:rsidRPr="007B044C">
        <w:rPr>
          <w:rFonts w:ascii="Times New Roman" w:eastAsia="Times New Roman" w:hAnsi="Times New Roman" w:cs="Times New Roman"/>
          <w:b/>
          <w:i/>
          <w:szCs w:val="20"/>
          <w:lang w:val="fr" w:eastAsia="en-IE"/>
        </w:rPr>
        <w:t xml:space="preserve">Lindberg, </w:t>
      </w:r>
      <w:r w:rsidR="00A23485" w:rsidRPr="007B044C">
        <w:rPr>
          <w:rFonts w:ascii="Times New Roman" w:eastAsia="Times New Roman" w:hAnsi="Times New Roman" w:cs="Times New Roman"/>
          <w:b/>
          <w:i/>
          <w:szCs w:val="20"/>
          <w:lang w:val="fr" w:eastAsia="en-IE"/>
        </w:rPr>
        <w:t>C-267/03, EU:C:2005:246,</w:t>
      </w:r>
      <w:r w:rsidR="000511A8">
        <w:rPr>
          <w:rFonts w:ascii="Times New Roman" w:eastAsia="Times New Roman" w:hAnsi="Times New Roman" w:cs="Times New Roman"/>
          <w:b/>
          <w:i/>
          <w:szCs w:val="20"/>
          <w:lang w:val="fr" w:eastAsia="en-IE"/>
        </w:rPr>
        <w:t xml:space="preserve"> points</w:t>
      </w:r>
      <w:r w:rsidR="00A23485" w:rsidRPr="007B044C">
        <w:rPr>
          <w:rFonts w:ascii="Times New Roman" w:eastAsia="Times New Roman" w:hAnsi="Times New Roman" w:cs="Times New Roman"/>
          <w:b/>
          <w:i/>
          <w:szCs w:val="20"/>
          <w:lang w:val="fr" w:eastAsia="en-IE"/>
        </w:rPr>
        <w:t xml:space="preserve"> 75 </w:t>
      </w:r>
      <w:r w:rsidR="00A23485">
        <w:rPr>
          <w:rFonts w:ascii="Times New Roman" w:eastAsia="Times New Roman" w:hAnsi="Times New Roman" w:cs="Times New Roman"/>
          <w:b/>
          <w:i/>
          <w:szCs w:val="20"/>
          <w:lang w:val="fr" w:eastAsia="en-IE"/>
        </w:rPr>
        <w:t>à 77</w:t>
      </w:r>
    </w:p>
    <w:p w14:paraId="7D30FB0C" w14:textId="77777777" w:rsidR="00A23485" w:rsidRPr="007B044C"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5B1BE65B" w14:textId="0D6AC2BA" w:rsidR="00A23485" w:rsidRPr="007B044C" w:rsidRDefault="00A23485"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r w:rsidRPr="007B044C">
        <w:rPr>
          <w:rFonts w:ascii="Times New Roman" w:eastAsia="Times New Roman" w:hAnsi="Times New Roman" w:cs="Times New Roman"/>
          <w:szCs w:val="20"/>
          <w:lang w:val="fr" w:eastAsia="en-IE"/>
        </w:rPr>
        <w:t>Une interdiction nationale concernant certains jeux de hasard peut être qualifiée de</w:t>
      </w:r>
      <w:r>
        <w:rPr>
          <w:rFonts w:ascii="Times New Roman" w:eastAsia="Times New Roman" w:hAnsi="Times New Roman" w:cs="Times New Roman"/>
          <w:szCs w:val="20"/>
          <w:lang w:val="fr" w:eastAsia="en-IE"/>
        </w:rPr>
        <w:t xml:space="preserve"> disposition d’interdiction </w:t>
      </w:r>
      <w:r w:rsidRPr="007B044C">
        <w:rPr>
          <w:rFonts w:ascii="Times New Roman" w:eastAsia="Times New Roman" w:hAnsi="Times New Roman" w:cs="Times New Roman"/>
          <w:szCs w:val="20"/>
          <w:lang w:val="fr" w:eastAsia="en-IE"/>
        </w:rPr>
        <w:t xml:space="preserve">si elle </w:t>
      </w:r>
      <w:r w:rsidR="00F35643">
        <w:rPr>
          <w:rFonts w:ascii="Times New Roman" w:eastAsia="Times New Roman" w:hAnsi="Times New Roman" w:cs="Times New Roman"/>
          <w:szCs w:val="20"/>
          <w:lang w:val="fr" w:eastAsia="en-IE"/>
        </w:rPr>
        <w:t>est telle qu’il ne peut être raisonnablement attendu qu’un usage </w:t>
      </w:r>
      <w:r w:rsidRPr="007B044C">
        <w:rPr>
          <w:rFonts w:ascii="Times New Roman" w:eastAsia="Times New Roman" w:hAnsi="Times New Roman" w:cs="Times New Roman"/>
          <w:szCs w:val="20"/>
          <w:lang w:val="fr" w:eastAsia="en-IE"/>
        </w:rPr>
        <w:t>purement marginal</w:t>
      </w:r>
      <w:r w:rsidR="00F35643">
        <w:rPr>
          <w:rFonts w:ascii="Times New Roman" w:eastAsia="Times New Roman" w:hAnsi="Times New Roman" w:cs="Times New Roman"/>
          <w:szCs w:val="20"/>
          <w:lang w:val="fr" w:eastAsia="en-IE"/>
        </w:rPr>
        <w:t xml:space="preserve"> du produit concerné</w:t>
      </w:r>
      <w:r>
        <w:rPr>
          <w:rFonts w:ascii="Times New Roman" w:eastAsia="Times New Roman" w:hAnsi="Times New Roman" w:cs="Times New Roman"/>
          <w:szCs w:val="20"/>
          <w:lang w:val="fr" w:eastAsia="en-IE"/>
        </w:rPr>
        <w:t>. En revanche,</w:t>
      </w:r>
      <w:r w:rsidR="00B41B63">
        <w:rPr>
          <w:rFonts w:ascii="Times New Roman" w:eastAsia="Times New Roman" w:hAnsi="Times New Roman" w:cs="Times New Roman"/>
          <w:szCs w:val="20"/>
          <w:lang w:val="fr" w:eastAsia="en-IE"/>
        </w:rPr>
        <w:t xml:space="preserve"> la qualification en tant que disposition d’interdiction</w:t>
      </w:r>
      <w:r>
        <w:rPr>
          <w:rFonts w:ascii="Times New Roman" w:eastAsia="Times New Roman" w:hAnsi="Times New Roman" w:cs="Times New Roman"/>
          <w:szCs w:val="20"/>
          <w:lang w:val="fr" w:eastAsia="en-IE"/>
        </w:rPr>
        <w:t xml:space="preserve"> est indifférent</w:t>
      </w:r>
      <w:r w:rsidR="00B41B63">
        <w:rPr>
          <w:rFonts w:ascii="Times New Roman" w:eastAsia="Times New Roman" w:hAnsi="Times New Roman" w:cs="Times New Roman"/>
          <w:szCs w:val="20"/>
          <w:lang w:val="fr" w:eastAsia="en-IE"/>
        </w:rPr>
        <w:t xml:space="preserve">e à l’incidence de l’interdiction sur </w:t>
      </w:r>
      <w:r>
        <w:rPr>
          <w:rFonts w:ascii="Times New Roman" w:eastAsia="Times New Roman" w:hAnsi="Times New Roman" w:cs="Times New Roman"/>
          <w:szCs w:val="20"/>
          <w:lang w:val="fr" w:eastAsia="en-IE"/>
        </w:rPr>
        <w:t>la</w:t>
      </w:r>
      <w:r w:rsidRPr="007B044C">
        <w:rPr>
          <w:rFonts w:ascii="Times New Roman" w:eastAsia="Times New Roman" w:hAnsi="Times New Roman" w:cs="Times New Roman"/>
          <w:szCs w:val="20"/>
          <w:lang w:val="fr" w:eastAsia="en-IE"/>
        </w:rPr>
        <w:t xml:space="preserve"> composition, nature ou commercialisation</w:t>
      </w:r>
      <w:r>
        <w:rPr>
          <w:rFonts w:ascii="Times New Roman" w:eastAsia="Times New Roman" w:hAnsi="Times New Roman" w:cs="Times New Roman"/>
          <w:szCs w:val="20"/>
          <w:lang w:val="fr" w:eastAsia="en-IE"/>
        </w:rPr>
        <w:t xml:space="preserve"> des produits concernés.</w:t>
      </w:r>
    </w:p>
    <w:p w14:paraId="58611995" w14:textId="77777777" w:rsidR="00A23485" w:rsidRPr="007B044C" w:rsidRDefault="00A23485"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p>
    <w:p w14:paraId="201F51E2" w14:textId="2998631F" w:rsidR="00A23485" w:rsidRPr="007B044C" w:rsidRDefault="00A23485" w:rsidP="00AA4F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 w:eastAsia="en-IE"/>
        </w:rPr>
        <w:t>« </w:t>
      </w:r>
      <w:r w:rsidRPr="007B044C">
        <w:rPr>
          <w:rFonts w:ascii="Times New Roman" w:eastAsia="Times New Roman" w:hAnsi="Times New Roman" w:cs="Times New Roman"/>
          <w:i/>
          <w:iCs/>
          <w:sz w:val="20"/>
          <w:szCs w:val="16"/>
          <w:lang w:val="fr-BE" w:eastAsia="en-IE"/>
        </w:rPr>
        <w:t>75</w:t>
      </w:r>
      <w:r w:rsidR="005C053F">
        <w:rPr>
          <w:rFonts w:ascii="Times New Roman" w:eastAsia="Times New Roman" w:hAnsi="Times New Roman" w:cs="Times New Roman"/>
          <w:i/>
          <w:iCs/>
          <w:sz w:val="20"/>
          <w:szCs w:val="16"/>
          <w:lang w:val="fr-BE" w:eastAsia="en-IE"/>
        </w:rPr>
        <w:t>.</w:t>
      </w:r>
      <w:r w:rsidRPr="007B044C">
        <w:rPr>
          <w:rFonts w:ascii="Times New Roman" w:eastAsia="Times New Roman" w:hAnsi="Times New Roman" w:cs="Times New Roman"/>
          <w:i/>
          <w:iCs/>
          <w:sz w:val="20"/>
          <w:szCs w:val="16"/>
          <w:lang w:val="fr-BE" w:eastAsia="en-IE"/>
        </w:rPr>
        <w:t>  </w:t>
      </w:r>
      <w:r w:rsidR="00B313DA">
        <w:rPr>
          <w:rFonts w:ascii="Times New Roman" w:eastAsia="Times New Roman" w:hAnsi="Times New Roman" w:cs="Times New Roman"/>
          <w:i/>
          <w:iCs/>
          <w:sz w:val="20"/>
          <w:szCs w:val="16"/>
          <w:lang w:val="fr-BE" w:eastAsia="en-IE"/>
        </w:rPr>
        <w:t>[…]</w:t>
      </w:r>
      <w:r w:rsidRPr="007B044C">
        <w:rPr>
          <w:rFonts w:ascii="Times New Roman" w:eastAsia="Times New Roman" w:hAnsi="Times New Roman" w:cs="Times New Roman"/>
          <w:i/>
          <w:iCs/>
          <w:sz w:val="20"/>
          <w:szCs w:val="16"/>
          <w:lang w:val="fr-BE" w:eastAsia="en-IE"/>
        </w:rPr>
        <w:t xml:space="preserve"> il est significatif que ladite troisième catégorie de règles techniques définie à l’article 1</w:t>
      </w:r>
      <w:r w:rsidRPr="007B044C">
        <w:rPr>
          <w:rFonts w:ascii="Times New Roman" w:eastAsia="Times New Roman" w:hAnsi="Times New Roman" w:cs="Times New Roman"/>
          <w:i/>
          <w:iCs/>
          <w:sz w:val="20"/>
          <w:szCs w:val="16"/>
          <w:vertAlign w:val="superscript"/>
          <w:lang w:val="fr-BE" w:eastAsia="en-IE"/>
        </w:rPr>
        <w:t>er</w:t>
      </w:r>
      <w:r w:rsidRPr="007B044C">
        <w:rPr>
          <w:rFonts w:ascii="Times New Roman" w:eastAsia="Times New Roman" w:hAnsi="Times New Roman" w:cs="Times New Roman"/>
          <w:i/>
          <w:iCs/>
          <w:sz w:val="20"/>
          <w:szCs w:val="16"/>
          <w:lang w:val="fr-BE" w:eastAsia="en-IE"/>
        </w:rPr>
        <w:t>, point 9, de la directive 83/189 ne comporte pas, à la différence de la deuxième catégorie constituée par les autres exigences au sens du point 3 du même article, la condition selon laquelle l’interdiction concernée doit être susceptible d’influencer de manière significative la composition, la nature ou la commercialisation du produit.</w:t>
      </w:r>
    </w:p>
    <w:p w14:paraId="6C94FC07" w14:textId="77777777" w:rsidR="00A23485" w:rsidRPr="007B044C" w:rsidRDefault="00A23485" w:rsidP="00AA4F20">
      <w:pPr>
        <w:widowControl w:val="0"/>
        <w:tabs>
          <w:tab w:val="left" w:pos="396"/>
          <w:tab w:val="left" w:pos="42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2A9589D6" w14:textId="1030930D" w:rsidR="00A23485" w:rsidRPr="007B044C" w:rsidRDefault="00A23485" w:rsidP="00AA4F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BE" w:eastAsia="en-IE"/>
        </w:rPr>
        <w:t>76</w:t>
      </w:r>
      <w:r w:rsidR="005C053F">
        <w:rPr>
          <w:rFonts w:ascii="Times New Roman" w:eastAsia="Times New Roman" w:hAnsi="Times New Roman" w:cs="Times New Roman"/>
          <w:i/>
          <w:iCs/>
          <w:sz w:val="20"/>
          <w:szCs w:val="16"/>
          <w:lang w:val="fr-BE" w:eastAsia="en-IE"/>
        </w:rPr>
        <w:t>.</w:t>
      </w:r>
      <w:r w:rsidRPr="007B044C">
        <w:rPr>
          <w:rFonts w:ascii="Times New Roman" w:eastAsia="Times New Roman" w:hAnsi="Times New Roman" w:cs="Times New Roman"/>
          <w:i/>
          <w:iCs/>
          <w:sz w:val="20"/>
          <w:szCs w:val="16"/>
          <w:lang w:val="fr-BE" w:eastAsia="en-IE"/>
        </w:rPr>
        <w:t> Cette troisième catégorie de règles techniques visant une interdiction notamment d’utilisation, il doit s’agir de mesures qui ont une portée qui va clairement au-delà d’une limitation à certains usages possibles du produit en cause et ne se limitent donc pas à une simple restriction de l’utilisation de celui-ci.</w:t>
      </w:r>
    </w:p>
    <w:p w14:paraId="45D5A2CB" w14:textId="77777777" w:rsidR="00A23485" w:rsidRPr="007B044C" w:rsidRDefault="00A23485" w:rsidP="00AA4F20">
      <w:pPr>
        <w:widowControl w:val="0"/>
        <w:tabs>
          <w:tab w:val="left" w:pos="396"/>
          <w:tab w:val="left" w:pos="42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p>
    <w:p w14:paraId="2FD32D99" w14:textId="42D5A5D4" w:rsidR="00A23485" w:rsidRDefault="00A23485" w:rsidP="00AA4F20">
      <w:pPr>
        <w:widowControl w:val="0"/>
        <w:tabs>
          <w:tab w:val="left" w:pos="396"/>
          <w:tab w:val="left" w:pos="42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7B044C">
        <w:rPr>
          <w:rFonts w:ascii="Times New Roman" w:eastAsia="Times New Roman" w:hAnsi="Times New Roman" w:cs="Times New Roman"/>
          <w:i/>
          <w:iCs/>
          <w:sz w:val="20"/>
          <w:szCs w:val="16"/>
          <w:lang w:val="fr-BE" w:eastAsia="en-IE"/>
        </w:rPr>
        <w:t>77</w:t>
      </w:r>
      <w:r w:rsidR="005C053F">
        <w:rPr>
          <w:rFonts w:ascii="Times New Roman" w:eastAsia="Times New Roman" w:hAnsi="Times New Roman" w:cs="Times New Roman"/>
          <w:i/>
          <w:iCs/>
          <w:sz w:val="20"/>
          <w:szCs w:val="16"/>
          <w:lang w:val="fr-BE" w:eastAsia="en-IE"/>
        </w:rPr>
        <w:t xml:space="preserve">. </w:t>
      </w:r>
      <w:r w:rsidRPr="007B044C">
        <w:rPr>
          <w:rFonts w:ascii="Times New Roman" w:eastAsia="Times New Roman" w:hAnsi="Times New Roman" w:cs="Times New Roman"/>
          <w:i/>
          <w:iCs/>
          <w:sz w:val="20"/>
          <w:szCs w:val="16"/>
          <w:lang w:val="fr-BE" w:eastAsia="en-IE"/>
        </w:rPr>
        <w:t>Ainsi que M. l’avocat général l’a relevé au point 70 de ses conclusions, cette catégorie de règles techniques vise plus particulièrement des mesures nationales qui ne laissent place à aucune utilisation autre que purement marginale pouvant raisonnablement être attendue du produit concerné. Il incombe à la juridiction de renvoi de vérifier si tel est le cas pour ce qui concerne l’interdiction que comporte la disposition nationale en cause au principal »</w:t>
      </w:r>
    </w:p>
    <w:p w14:paraId="67FF74EE" w14:textId="77777777" w:rsidR="00A23485" w:rsidRDefault="00A23485"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68FE6490" w14:textId="4CB40CB4" w:rsidR="00A23485" w:rsidRPr="00880A8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1" w:history="1">
        <w:r w:rsidR="00A23485" w:rsidRPr="00880A87">
          <w:rPr>
            <w:rFonts w:ascii="Times New Roman" w:eastAsia="Times New Roman" w:hAnsi="Times New Roman" w:cs="Times New Roman"/>
            <w:b/>
            <w:i/>
            <w:color w:val="0000FF"/>
            <w:szCs w:val="20"/>
            <w:u w:val="single"/>
            <w:lang w:val="fr" w:eastAsia="en-IE"/>
          </w:rPr>
          <w:t>Arrêt du 8 septembre 2005</w:t>
        </w:r>
      </w:hyperlink>
      <w:r w:rsidR="00A23485" w:rsidRPr="00880A87">
        <w:rPr>
          <w:rFonts w:ascii="Times New Roman" w:eastAsia="Times New Roman" w:hAnsi="Times New Roman" w:cs="Times New Roman"/>
          <w:b/>
          <w:i/>
          <w:szCs w:val="20"/>
          <w:lang w:val="fr" w:eastAsia="en-IE"/>
        </w:rPr>
        <w:t xml:space="preserve">, </w:t>
      </w:r>
      <w:r w:rsidR="00437A3E" w:rsidRPr="00880A87">
        <w:rPr>
          <w:rFonts w:ascii="Times New Roman" w:eastAsia="Times New Roman" w:hAnsi="Times New Roman" w:cs="Times New Roman"/>
          <w:b/>
          <w:i/>
          <w:szCs w:val="20"/>
          <w:lang w:val="fr" w:eastAsia="en-IE"/>
        </w:rPr>
        <w:t xml:space="preserve">Lidl Italia, </w:t>
      </w:r>
      <w:r w:rsidR="00A23485" w:rsidRPr="00880A87">
        <w:rPr>
          <w:rFonts w:ascii="Times New Roman" w:eastAsia="Times New Roman" w:hAnsi="Times New Roman" w:cs="Times New Roman"/>
          <w:b/>
          <w:i/>
          <w:szCs w:val="20"/>
          <w:lang w:val="fr" w:eastAsia="en-IE"/>
        </w:rPr>
        <w:t>C-303/04, EU:C:2005:528</w:t>
      </w:r>
      <w:r w:rsidR="00A23485" w:rsidRPr="000A18C4">
        <w:rPr>
          <w:rFonts w:ascii="Times New Roman" w:eastAsia="Times New Roman" w:hAnsi="Times New Roman" w:cs="Times New Roman"/>
          <w:b/>
          <w:i/>
          <w:szCs w:val="20"/>
          <w:lang w:val="fr" w:eastAsia="en-IE"/>
        </w:rPr>
        <w:t>, point</w:t>
      </w:r>
      <w:r w:rsidR="000A18C4">
        <w:rPr>
          <w:rFonts w:ascii="Times New Roman" w:eastAsia="Times New Roman" w:hAnsi="Times New Roman" w:cs="Times New Roman"/>
          <w:b/>
          <w:i/>
          <w:szCs w:val="20"/>
          <w:lang w:val="fr" w:eastAsia="en-IE"/>
        </w:rPr>
        <w:t>s</w:t>
      </w:r>
      <w:r w:rsidR="00A23485" w:rsidRPr="000A18C4">
        <w:rPr>
          <w:rFonts w:ascii="Times New Roman" w:eastAsia="Times New Roman" w:hAnsi="Times New Roman" w:cs="Times New Roman"/>
          <w:b/>
          <w:i/>
          <w:szCs w:val="20"/>
          <w:lang w:val="fr" w:eastAsia="en-IE"/>
        </w:rPr>
        <w:t xml:space="preserve"> 1</w:t>
      </w:r>
      <w:r w:rsidR="00F35643">
        <w:rPr>
          <w:rFonts w:ascii="Times New Roman" w:eastAsia="Times New Roman" w:hAnsi="Times New Roman" w:cs="Times New Roman"/>
          <w:b/>
          <w:i/>
          <w:szCs w:val="20"/>
          <w:lang w:val="fr" w:eastAsia="en-IE"/>
        </w:rPr>
        <w:t>2</w:t>
      </w:r>
      <w:r w:rsidR="000A18C4">
        <w:rPr>
          <w:rFonts w:ascii="Times New Roman" w:eastAsia="Times New Roman" w:hAnsi="Times New Roman" w:cs="Times New Roman"/>
          <w:b/>
          <w:i/>
          <w:szCs w:val="20"/>
          <w:lang w:val="fr" w:eastAsia="en-IE"/>
        </w:rPr>
        <w:t xml:space="preserve"> et 1</w:t>
      </w:r>
      <w:r w:rsidR="00F35643">
        <w:rPr>
          <w:rFonts w:ascii="Times New Roman" w:eastAsia="Times New Roman" w:hAnsi="Times New Roman" w:cs="Times New Roman"/>
          <w:b/>
          <w:i/>
          <w:szCs w:val="20"/>
          <w:lang w:val="fr" w:eastAsia="en-IE"/>
        </w:rPr>
        <w:t>3</w:t>
      </w:r>
    </w:p>
    <w:p w14:paraId="0264E5E6" w14:textId="77777777" w:rsidR="00A23485" w:rsidRPr="00880A87"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73D45D27" w14:textId="4277DFEA" w:rsidR="00A23485" w:rsidRPr="00880A87" w:rsidRDefault="00A23485"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r w:rsidRPr="00880A87">
        <w:rPr>
          <w:rFonts w:ascii="Times New Roman" w:eastAsia="Times New Roman" w:hAnsi="Times New Roman" w:cs="Times New Roman"/>
          <w:szCs w:val="20"/>
          <w:lang w:val="fr" w:eastAsia="en-IE"/>
        </w:rPr>
        <w:t xml:space="preserve">Une disposition législative nationale qui comporte une interdiction de commercialisation de produits qui ne sont pas fabriqués à partir de certains matériaux constitue une </w:t>
      </w:r>
      <w:r>
        <w:rPr>
          <w:rFonts w:ascii="Times New Roman" w:eastAsia="Times New Roman" w:hAnsi="Times New Roman" w:cs="Times New Roman"/>
          <w:szCs w:val="20"/>
          <w:lang w:val="fr" w:eastAsia="en-IE"/>
        </w:rPr>
        <w:t>disposition d’interdiction de fabrication et de commercialisation</w:t>
      </w:r>
      <w:r w:rsidR="000D631B">
        <w:rPr>
          <w:rFonts w:ascii="Times New Roman" w:eastAsia="Times New Roman" w:hAnsi="Times New Roman" w:cs="Times New Roman"/>
          <w:szCs w:val="20"/>
          <w:lang w:val="fr" w:eastAsia="en-IE"/>
        </w:rPr>
        <w:t>.</w:t>
      </w:r>
    </w:p>
    <w:p w14:paraId="35068EA4" w14:textId="77777777" w:rsidR="00A23485" w:rsidRPr="00880A87" w:rsidRDefault="00A23485" w:rsidP="00AA4F20">
      <w:pPr>
        <w:widowControl w:val="0"/>
        <w:tabs>
          <w:tab w:val="left" w:pos="393"/>
        </w:tabs>
        <w:autoSpaceDE w:val="0"/>
        <w:autoSpaceDN w:val="0"/>
        <w:spacing w:after="0" w:line="240" w:lineRule="auto"/>
        <w:jc w:val="both"/>
        <w:rPr>
          <w:rFonts w:ascii="Times New Roman" w:eastAsia="Times New Roman" w:hAnsi="Times New Roman" w:cs="Times New Roman"/>
          <w:szCs w:val="20"/>
          <w:lang w:val="fr" w:eastAsia="en-IE"/>
        </w:rPr>
      </w:pPr>
    </w:p>
    <w:p w14:paraId="579B0284" w14:textId="69A8B341" w:rsidR="00A23485" w:rsidRPr="00880A87" w:rsidRDefault="00A23485" w:rsidP="00AA4F20">
      <w:pPr>
        <w:widowControl w:val="0"/>
        <w:tabs>
          <w:tab w:val="left" w:pos="39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80A87">
        <w:rPr>
          <w:rFonts w:ascii="Times New Roman" w:eastAsia="Times New Roman" w:hAnsi="Times New Roman" w:cs="Times New Roman"/>
          <w:i/>
          <w:iCs/>
          <w:sz w:val="20"/>
          <w:szCs w:val="16"/>
          <w:lang w:val="fr" w:eastAsia="en-IE"/>
        </w:rPr>
        <w:t>« </w:t>
      </w:r>
      <w:r w:rsidRPr="00880A87">
        <w:rPr>
          <w:rFonts w:ascii="Times New Roman" w:eastAsia="Times New Roman" w:hAnsi="Times New Roman" w:cs="Times New Roman"/>
          <w:i/>
          <w:iCs/>
          <w:sz w:val="20"/>
          <w:szCs w:val="16"/>
          <w:lang w:val="fr-BE" w:eastAsia="en-IE"/>
        </w:rPr>
        <w:t>12</w:t>
      </w:r>
      <w:r w:rsidR="005C053F">
        <w:rPr>
          <w:rFonts w:ascii="Times New Roman" w:eastAsia="Times New Roman" w:hAnsi="Times New Roman" w:cs="Times New Roman"/>
          <w:i/>
          <w:iCs/>
          <w:sz w:val="20"/>
          <w:szCs w:val="16"/>
          <w:lang w:val="fr-BE" w:eastAsia="en-IE"/>
        </w:rPr>
        <w:t>.</w:t>
      </w:r>
      <w:r w:rsidRPr="00880A87">
        <w:rPr>
          <w:rFonts w:ascii="Times New Roman" w:eastAsia="Times New Roman" w:hAnsi="Times New Roman" w:cs="Times New Roman"/>
          <w:i/>
          <w:iCs/>
          <w:sz w:val="20"/>
          <w:szCs w:val="16"/>
          <w:lang w:val="fr-BE" w:eastAsia="en-IE"/>
        </w:rPr>
        <w:t> </w:t>
      </w:r>
      <w:r w:rsidR="002829DC">
        <w:rPr>
          <w:rFonts w:ascii="Times New Roman" w:eastAsia="Times New Roman" w:hAnsi="Times New Roman" w:cs="Times New Roman"/>
          <w:i/>
          <w:iCs/>
          <w:sz w:val="20"/>
          <w:szCs w:val="16"/>
          <w:lang w:val="fr-BE" w:eastAsia="en-IE"/>
        </w:rPr>
        <w:t>[…]</w:t>
      </w:r>
      <w:r w:rsidRPr="00880A87">
        <w:rPr>
          <w:rFonts w:ascii="Times New Roman" w:eastAsia="Times New Roman" w:hAnsi="Times New Roman" w:cs="Times New Roman"/>
          <w:i/>
          <w:iCs/>
          <w:sz w:val="20"/>
          <w:szCs w:val="16"/>
          <w:lang w:val="fr-BE" w:eastAsia="en-IE"/>
        </w:rPr>
        <w:t xml:space="preserve"> il convient de relever que, aux termes de l’article 1</w:t>
      </w:r>
      <w:r w:rsidRPr="00880A87">
        <w:rPr>
          <w:rFonts w:ascii="Times New Roman" w:eastAsia="Times New Roman" w:hAnsi="Times New Roman" w:cs="Times New Roman"/>
          <w:i/>
          <w:iCs/>
          <w:sz w:val="20"/>
          <w:szCs w:val="16"/>
          <w:vertAlign w:val="superscript"/>
          <w:lang w:val="fr-BE" w:eastAsia="en-IE"/>
        </w:rPr>
        <w:t>er</w:t>
      </w:r>
      <w:r w:rsidRPr="00880A87">
        <w:rPr>
          <w:rFonts w:ascii="Times New Roman" w:eastAsia="Times New Roman" w:hAnsi="Times New Roman" w:cs="Times New Roman"/>
          <w:i/>
          <w:iCs/>
          <w:sz w:val="20"/>
          <w:szCs w:val="16"/>
          <w:lang w:val="fr-BE" w:eastAsia="en-IE"/>
        </w:rPr>
        <w:t>, point 11, de la directive 98/34, une disposition nationale d’un État membre interdisant la fabrication, l’importation, la commercialisation ou l’utilisation d’un produit doit être regardée comme une catégorie de règle technique (voir arrêt du 21 avril 2005, Lindberg, C-267/03, non encore publié au Recueil, point 54).</w:t>
      </w:r>
    </w:p>
    <w:p w14:paraId="70BC7318" w14:textId="77777777" w:rsidR="00A23485" w:rsidRPr="00880A87" w:rsidRDefault="00A23485" w:rsidP="00AA4F20">
      <w:pPr>
        <w:widowControl w:val="0"/>
        <w:tabs>
          <w:tab w:val="left" w:pos="39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8984434" w14:textId="17F536FB" w:rsidR="00A23485" w:rsidRPr="00880A87" w:rsidRDefault="00A23485" w:rsidP="00AA4F20">
      <w:pPr>
        <w:widowControl w:val="0"/>
        <w:tabs>
          <w:tab w:val="left" w:pos="39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80A87">
        <w:rPr>
          <w:rFonts w:ascii="Times New Roman" w:eastAsia="Times New Roman" w:hAnsi="Times New Roman" w:cs="Times New Roman"/>
          <w:i/>
          <w:iCs/>
          <w:sz w:val="20"/>
          <w:szCs w:val="16"/>
          <w:lang w:val="fr-BE" w:eastAsia="en-IE"/>
        </w:rPr>
        <w:t>13</w:t>
      </w:r>
      <w:r w:rsidR="005C053F">
        <w:rPr>
          <w:rFonts w:ascii="Times New Roman" w:eastAsia="Times New Roman" w:hAnsi="Times New Roman" w:cs="Times New Roman"/>
          <w:i/>
          <w:iCs/>
          <w:sz w:val="20"/>
          <w:szCs w:val="16"/>
          <w:lang w:val="fr-BE" w:eastAsia="en-IE"/>
        </w:rPr>
        <w:t xml:space="preserve">. </w:t>
      </w:r>
      <w:r w:rsidRPr="00880A87">
        <w:rPr>
          <w:rFonts w:ascii="Times New Roman" w:eastAsia="Times New Roman" w:hAnsi="Times New Roman" w:cs="Times New Roman"/>
          <w:i/>
          <w:iCs/>
          <w:sz w:val="20"/>
          <w:szCs w:val="16"/>
          <w:lang w:val="fr-BE" w:eastAsia="en-IE"/>
        </w:rPr>
        <w:t xml:space="preserve">Or, en l’espèce, il suffit de constater que l’article 19, paragraphe 2, de la loi n° 93/2001 est une </w:t>
      </w:r>
      <w:r w:rsidRPr="00880A87">
        <w:rPr>
          <w:rFonts w:ascii="Times New Roman" w:eastAsia="Times New Roman" w:hAnsi="Times New Roman" w:cs="Times New Roman"/>
          <w:i/>
          <w:iCs/>
          <w:sz w:val="20"/>
          <w:szCs w:val="16"/>
          <w:lang w:val="fr-BE" w:eastAsia="en-IE"/>
        </w:rPr>
        <w:lastRenderedPageBreak/>
        <w:t>disposition de cette nature. En effet, selon ce paragraphe, la production et la commercialisation de cotons-tiges qui ne présentent pas les caractéristiques indiquées, c’est-à-dire qui ne sont pas fabriqués exclusivement au moyen de matières biodégradables, conformément aux normes UNI 10785, constituent des infractions sanctionnées par voie administrative.» </w:t>
      </w:r>
    </w:p>
    <w:p w14:paraId="7E80215F" w14:textId="77777777" w:rsidR="00A23485" w:rsidRDefault="00A23485"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6717B4ED" w14:textId="0E6DF580" w:rsidR="00A23485" w:rsidRPr="00880A8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2" w:history="1">
        <w:r w:rsidR="00A23485" w:rsidRPr="00880A87">
          <w:rPr>
            <w:rFonts w:ascii="Times New Roman" w:eastAsia="Times New Roman" w:hAnsi="Times New Roman" w:cs="Times New Roman"/>
            <w:b/>
            <w:i/>
            <w:color w:val="0000FF"/>
            <w:szCs w:val="20"/>
            <w:u w:val="single"/>
            <w:lang w:val="fr" w:eastAsia="en-IE"/>
          </w:rPr>
          <w:t>Arrêt du 26 octobre 2006</w:t>
        </w:r>
      </w:hyperlink>
      <w:r w:rsidR="00A23485" w:rsidRPr="00880A87">
        <w:rPr>
          <w:rFonts w:ascii="Times New Roman" w:eastAsia="Times New Roman" w:hAnsi="Times New Roman" w:cs="Times New Roman"/>
          <w:b/>
          <w:i/>
          <w:szCs w:val="20"/>
          <w:lang w:val="fr" w:eastAsia="en-IE"/>
        </w:rPr>
        <w:t xml:space="preserve">, </w:t>
      </w:r>
      <w:r w:rsidR="00437A3E" w:rsidRPr="00880A87">
        <w:rPr>
          <w:rFonts w:ascii="Times New Roman" w:eastAsia="Times New Roman" w:hAnsi="Times New Roman" w:cs="Times New Roman"/>
          <w:b/>
          <w:i/>
          <w:szCs w:val="20"/>
          <w:lang w:val="fr" w:eastAsia="en-IE"/>
        </w:rPr>
        <w:t xml:space="preserve">Commission/Grèce, </w:t>
      </w:r>
      <w:r w:rsidR="00A23485" w:rsidRPr="00880A87">
        <w:rPr>
          <w:rFonts w:ascii="Times New Roman" w:eastAsia="Times New Roman" w:hAnsi="Times New Roman" w:cs="Times New Roman"/>
          <w:b/>
          <w:i/>
          <w:szCs w:val="20"/>
          <w:lang w:val="fr" w:eastAsia="en-IE"/>
        </w:rPr>
        <w:t>C-65/05, EU:C:2006:673, point 61</w:t>
      </w:r>
    </w:p>
    <w:p w14:paraId="1384E767" w14:textId="77777777" w:rsidR="00A23485" w:rsidRPr="00880A87"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CAE2532" w14:textId="14FAC0EB" w:rsidR="00A23485" w:rsidRPr="00880A87" w:rsidRDefault="00A23485" w:rsidP="00AA4F20">
      <w:pPr>
        <w:widowControl w:val="0"/>
        <w:tabs>
          <w:tab w:val="left" w:pos="415"/>
        </w:tabs>
        <w:autoSpaceDE w:val="0"/>
        <w:autoSpaceDN w:val="0"/>
        <w:spacing w:after="0" w:line="240" w:lineRule="auto"/>
        <w:jc w:val="both"/>
        <w:rPr>
          <w:rFonts w:ascii="Times New Roman" w:eastAsia="Times New Roman" w:hAnsi="Times New Roman" w:cs="Times New Roman"/>
          <w:szCs w:val="20"/>
          <w:lang w:val="fr" w:eastAsia="en-IE"/>
        </w:rPr>
      </w:pPr>
      <w:r w:rsidRPr="00880A87">
        <w:rPr>
          <w:rFonts w:ascii="Times New Roman" w:eastAsia="Times New Roman" w:hAnsi="Times New Roman" w:cs="Times New Roman"/>
          <w:szCs w:val="20"/>
          <w:lang w:val="fr" w:eastAsia="en-IE"/>
        </w:rPr>
        <w:t>Doivent être considérées comme des règles techniques</w:t>
      </w:r>
      <w:r>
        <w:rPr>
          <w:rFonts w:ascii="Times New Roman" w:eastAsia="Times New Roman" w:hAnsi="Times New Roman" w:cs="Times New Roman"/>
          <w:szCs w:val="20"/>
          <w:lang w:val="fr" w:eastAsia="en-IE"/>
        </w:rPr>
        <w:t xml:space="preserve"> </w:t>
      </w:r>
      <w:r w:rsidRPr="00880A87">
        <w:rPr>
          <w:rFonts w:ascii="Times New Roman" w:eastAsia="Times New Roman" w:hAnsi="Times New Roman" w:cs="Times New Roman"/>
          <w:szCs w:val="20"/>
          <w:lang w:val="fr" w:eastAsia="en-IE"/>
        </w:rPr>
        <w:t>les mesures interdisant l’installation</w:t>
      </w:r>
      <w:r w:rsidR="0051744C">
        <w:rPr>
          <w:rFonts w:ascii="Times New Roman" w:eastAsia="Times New Roman" w:hAnsi="Times New Roman" w:cs="Times New Roman"/>
          <w:szCs w:val="20"/>
          <w:lang w:val="fr" w:eastAsia="en-IE"/>
        </w:rPr>
        <w:t xml:space="preserve">, hors des casinos, </w:t>
      </w:r>
      <w:r w:rsidRPr="00880A87">
        <w:rPr>
          <w:rFonts w:ascii="Times New Roman" w:eastAsia="Times New Roman" w:hAnsi="Times New Roman" w:cs="Times New Roman"/>
          <w:szCs w:val="20"/>
          <w:lang w:val="fr" w:eastAsia="en-IE"/>
        </w:rPr>
        <w:t>de tou</w:t>
      </w:r>
      <w:r w:rsidR="0051744C">
        <w:rPr>
          <w:rFonts w:ascii="Times New Roman" w:eastAsia="Times New Roman" w:hAnsi="Times New Roman" w:cs="Times New Roman"/>
          <w:szCs w:val="20"/>
          <w:lang w:val="fr" w:eastAsia="en-IE"/>
        </w:rPr>
        <w:t>t</w:t>
      </w:r>
      <w:r w:rsidRPr="00880A87">
        <w:rPr>
          <w:rFonts w:ascii="Times New Roman" w:eastAsia="Times New Roman" w:hAnsi="Times New Roman" w:cs="Times New Roman"/>
          <w:szCs w:val="20"/>
          <w:lang w:val="fr" w:eastAsia="en-IE"/>
        </w:rPr>
        <w:t xml:space="preserve"> jeux électrique </w:t>
      </w:r>
      <w:r w:rsidR="0051744C">
        <w:rPr>
          <w:rFonts w:ascii="Times New Roman" w:eastAsia="Times New Roman" w:hAnsi="Times New Roman" w:cs="Times New Roman"/>
          <w:szCs w:val="20"/>
          <w:lang w:val="fr" w:eastAsia="en-IE"/>
        </w:rPr>
        <w:t>ou</w:t>
      </w:r>
      <w:r w:rsidRPr="00880A87">
        <w:rPr>
          <w:rFonts w:ascii="Times New Roman" w:eastAsia="Times New Roman" w:hAnsi="Times New Roman" w:cs="Times New Roman"/>
          <w:szCs w:val="20"/>
          <w:lang w:val="fr" w:eastAsia="en-IE"/>
        </w:rPr>
        <w:t xml:space="preserve"> électronique ainsi que l’utilisation de jeux sur ordinateurs dans les entreprises fournissant des services Internet, et subordonnant l’exploitation de telles entreprises à la délivrance d’une autorisation spéciale.</w:t>
      </w:r>
    </w:p>
    <w:p w14:paraId="6FD5D3A4" w14:textId="77777777" w:rsidR="00A23485" w:rsidRPr="00880A87" w:rsidRDefault="00A23485" w:rsidP="00AA4F20">
      <w:pPr>
        <w:widowControl w:val="0"/>
        <w:tabs>
          <w:tab w:val="left" w:pos="415"/>
        </w:tabs>
        <w:autoSpaceDE w:val="0"/>
        <w:autoSpaceDN w:val="0"/>
        <w:spacing w:after="0" w:line="240" w:lineRule="auto"/>
        <w:jc w:val="both"/>
        <w:rPr>
          <w:rFonts w:ascii="Times New Roman" w:eastAsia="Times New Roman" w:hAnsi="Times New Roman" w:cs="Times New Roman"/>
          <w:szCs w:val="20"/>
          <w:lang w:val="fr" w:eastAsia="en-IE"/>
        </w:rPr>
      </w:pPr>
    </w:p>
    <w:p w14:paraId="79252ABE" w14:textId="411C189A" w:rsidR="00A23485" w:rsidRPr="00880A87" w:rsidRDefault="00A23485" w:rsidP="00AA4F20">
      <w:pPr>
        <w:widowControl w:val="0"/>
        <w:tabs>
          <w:tab w:val="left" w:pos="415"/>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880A87">
        <w:rPr>
          <w:rFonts w:ascii="Times New Roman" w:eastAsia="Times New Roman" w:hAnsi="Times New Roman" w:cs="Times New Roman"/>
          <w:i/>
          <w:iCs/>
          <w:sz w:val="20"/>
          <w:szCs w:val="16"/>
          <w:lang w:val="fr" w:eastAsia="en-IE"/>
        </w:rPr>
        <w:t>« 61</w:t>
      </w:r>
      <w:r w:rsidR="005C053F">
        <w:rPr>
          <w:rFonts w:ascii="Times New Roman" w:eastAsia="Times New Roman" w:hAnsi="Times New Roman" w:cs="Times New Roman"/>
          <w:i/>
          <w:iCs/>
          <w:sz w:val="20"/>
          <w:szCs w:val="16"/>
          <w:lang w:val="fr" w:eastAsia="en-IE"/>
        </w:rPr>
        <w:t xml:space="preserve">. </w:t>
      </w:r>
      <w:r w:rsidR="002829DC">
        <w:rPr>
          <w:rFonts w:ascii="Times New Roman" w:eastAsia="Times New Roman" w:hAnsi="Times New Roman" w:cs="Times New Roman"/>
          <w:i/>
          <w:iCs/>
          <w:sz w:val="20"/>
          <w:szCs w:val="16"/>
          <w:lang w:val="fr" w:eastAsia="en-IE"/>
        </w:rPr>
        <w:t>[…]</w:t>
      </w:r>
      <w:r w:rsidRPr="00880A87">
        <w:rPr>
          <w:rFonts w:ascii="Times New Roman" w:eastAsia="Times New Roman" w:hAnsi="Times New Roman" w:cs="Times New Roman"/>
          <w:i/>
          <w:iCs/>
          <w:sz w:val="20"/>
          <w:szCs w:val="16"/>
          <w:lang w:val="fr" w:eastAsia="en-IE"/>
        </w:rPr>
        <w:t xml:space="preserve"> des mesures telles que celles prévues aux articles 2, paragraphe 1, et 3 de la loi n° 3037/2002, dans la mesure où elles interdisent l’utilisation de tous les jeux électriques, électromécaniques et électroniques, y compris tous les jeux pour ordinateurs, dans tous les lieux publics et privés, à l’exception des casinos, ainsi que l’utilisation de jeux sur les ordinateurs se trouvant dans des entreprises de prestation de services Internet et soumettent l’exploitation de ces entreprises à la délivrance d’une autorisation spéciale, doivent être qualifiées de règles techniques au sens de l’article 1</w:t>
      </w:r>
      <w:r w:rsidRPr="00880A87">
        <w:rPr>
          <w:rFonts w:ascii="Times New Roman" w:eastAsia="Times New Roman" w:hAnsi="Times New Roman" w:cs="Times New Roman"/>
          <w:i/>
          <w:iCs/>
          <w:sz w:val="20"/>
          <w:szCs w:val="16"/>
          <w:vertAlign w:val="superscript"/>
          <w:lang w:val="fr" w:eastAsia="en-IE"/>
        </w:rPr>
        <w:t>er</w:t>
      </w:r>
      <w:r w:rsidRPr="00880A87">
        <w:rPr>
          <w:rFonts w:ascii="Times New Roman" w:eastAsia="Times New Roman" w:hAnsi="Times New Roman" w:cs="Times New Roman"/>
          <w:i/>
          <w:iCs/>
          <w:sz w:val="20"/>
          <w:szCs w:val="16"/>
          <w:lang w:val="fr" w:eastAsia="en-IE"/>
        </w:rPr>
        <w:t>, point 11, de la directive 98/34 (voir, en ce sens, arrêt du 21 avril 2005, Lindberg, C</w:t>
      </w:r>
      <w:r w:rsidRPr="00880A87">
        <w:rPr>
          <w:rFonts w:ascii="Times New Roman" w:eastAsia="Times New Roman" w:hAnsi="Times New Roman" w:cs="Times New Roman"/>
          <w:i/>
          <w:iCs/>
          <w:sz w:val="20"/>
          <w:szCs w:val="16"/>
          <w:lang w:val="fr" w:eastAsia="en-IE"/>
        </w:rPr>
        <w:noBreakHyphen/>
        <w:t>267/03, Rec. p. I</w:t>
      </w:r>
      <w:r w:rsidRPr="00880A87">
        <w:rPr>
          <w:rFonts w:ascii="Times New Roman" w:eastAsia="Times New Roman" w:hAnsi="Times New Roman" w:cs="Times New Roman"/>
          <w:i/>
          <w:iCs/>
          <w:sz w:val="20"/>
          <w:szCs w:val="16"/>
          <w:lang w:val="fr" w:eastAsia="en-IE"/>
        </w:rPr>
        <w:noBreakHyphen/>
        <w:t>3247). »</w:t>
      </w:r>
    </w:p>
    <w:p w14:paraId="0089E684" w14:textId="77777777" w:rsidR="00A23485" w:rsidRPr="00A23485" w:rsidRDefault="00A23485"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lang w:val="fr" w:eastAsia="en-IE"/>
        </w:rPr>
      </w:pPr>
    </w:p>
    <w:p w14:paraId="03A587DA" w14:textId="3080DFDA" w:rsidR="00A23485" w:rsidRPr="00C70A4B"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3" w:history="1">
        <w:r w:rsidR="00A23485" w:rsidRPr="00C70A4B">
          <w:rPr>
            <w:rFonts w:ascii="Times New Roman" w:eastAsia="Times New Roman" w:hAnsi="Times New Roman" w:cs="Times New Roman"/>
            <w:b/>
            <w:i/>
            <w:color w:val="0000FF"/>
            <w:szCs w:val="20"/>
            <w:u w:val="single"/>
            <w:lang w:val="fr" w:eastAsia="en-IE"/>
          </w:rPr>
          <w:t>Arrêt du 19 juillet 2012</w:t>
        </w:r>
      </w:hyperlink>
      <w:r w:rsidR="00A23485" w:rsidRPr="00C70A4B">
        <w:rPr>
          <w:rFonts w:ascii="Times New Roman" w:eastAsia="Times New Roman" w:hAnsi="Times New Roman" w:cs="Times New Roman"/>
          <w:b/>
          <w:i/>
          <w:szCs w:val="20"/>
          <w:lang w:val="fr" w:eastAsia="en-IE"/>
        </w:rPr>
        <w:t xml:space="preserve">, </w:t>
      </w:r>
      <w:r w:rsidR="00437A3E" w:rsidRPr="00C70A4B">
        <w:rPr>
          <w:rFonts w:ascii="Times New Roman" w:eastAsia="Times New Roman" w:hAnsi="Times New Roman" w:cs="Times New Roman"/>
          <w:b/>
          <w:i/>
          <w:szCs w:val="20"/>
          <w:lang w:val="fr" w:eastAsia="en-IE"/>
        </w:rPr>
        <w:t xml:space="preserve">Fortuna e.a., </w:t>
      </w:r>
      <w:r w:rsidR="00A23485" w:rsidRPr="00C70A4B">
        <w:rPr>
          <w:rFonts w:ascii="Times New Roman" w:eastAsia="Times New Roman" w:hAnsi="Times New Roman" w:cs="Times New Roman"/>
          <w:b/>
          <w:i/>
          <w:szCs w:val="20"/>
          <w:lang w:val="fr" w:eastAsia="en-IE"/>
        </w:rPr>
        <w:t xml:space="preserve">C-213/11, C-214/11 et C-217/11, EU:C:2012:495, points 24 </w:t>
      </w:r>
      <w:r w:rsidR="00004BD5">
        <w:rPr>
          <w:rFonts w:ascii="Times New Roman" w:eastAsia="Times New Roman" w:hAnsi="Times New Roman" w:cs="Times New Roman"/>
          <w:b/>
          <w:i/>
          <w:szCs w:val="20"/>
          <w:lang w:val="fr" w:eastAsia="en-IE"/>
        </w:rPr>
        <w:t>et</w:t>
      </w:r>
      <w:r w:rsidR="00A23485" w:rsidRPr="00C70A4B">
        <w:rPr>
          <w:rFonts w:ascii="Times New Roman" w:eastAsia="Times New Roman" w:hAnsi="Times New Roman" w:cs="Times New Roman"/>
          <w:b/>
          <w:i/>
          <w:szCs w:val="20"/>
          <w:lang w:val="fr" w:eastAsia="en-IE"/>
        </w:rPr>
        <w:t xml:space="preserve"> 25</w:t>
      </w:r>
    </w:p>
    <w:p w14:paraId="005978D0" w14:textId="77777777" w:rsidR="00A23485" w:rsidRPr="00C70A4B"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37C6309" w14:textId="72C7B0B1" w:rsidR="00A23485" w:rsidRPr="00C70A4B" w:rsidRDefault="00A23485" w:rsidP="00AA4F20">
      <w:pPr>
        <w:widowControl w:val="0"/>
        <w:tabs>
          <w:tab w:val="left" w:pos="451"/>
        </w:tabs>
        <w:autoSpaceDE w:val="0"/>
        <w:autoSpaceDN w:val="0"/>
        <w:spacing w:after="0" w:line="240" w:lineRule="auto"/>
        <w:jc w:val="both"/>
        <w:rPr>
          <w:rFonts w:ascii="Times New Roman" w:eastAsia="Times New Roman" w:hAnsi="Times New Roman" w:cs="Times New Roman"/>
          <w:szCs w:val="20"/>
          <w:lang w:val="fr" w:eastAsia="en-IE"/>
        </w:rPr>
      </w:pPr>
      <w:r w:rsidRPr="00C70A4B">
        <w:rPr>
          <w:rFonts w:ascii="Times New Roman" w:eastAsia="Times New Roman" w:hAnsi="Times New Roman" w:cs="Times New Roman"/>
          <w:szCs w:val="20"/>
          <w:lang w:val="fr" w:eastAsia="en-IE"/>
        </w:rPr>
        <w:t xml:space="preserve">Une mesure </w:t>
      </w:r>
      <w:r>
        <w:rPr>
          <w:rFonts w:ascii="Times New Roman" w:eastAsia="Times New Roman" w:hAnsi="Times New Roman" w:cs="Times New Roman"/>
          <w:szCs w:val="20"/>
          <w:lang w:val="fr" w:eastAsia="en-IE"/>
        </w:rPr>
        <w:t>interdisant</w:t>
      </w:r>
      <w:r w:rsidRPr="00C70A4B">
        <w:rPr>
          <w:rFonts w:ascii="Times New Roman" w:eastAsia="Times New Roman" w:hAnsi="Times New Roman" w:cs="Times New Roman"/>
          <w:szCs w:val="20"/>
          <w:lang w:val="fr" w:eastAsia="en-IE"/>
        </w:rPr>
        <w:t xml:space="preserve"> l’organisation de jeux sur machines </w:t>
      </w:r>
      <w:r>
        <w:rPr>
          <w:rFonts w:ascii="Times New Roman" w:eastAsia="Times New Roman" w:hAnsi="Times New Roman" w:cs="Times New Roman"/>
          <w:szCs w:val="20"/>
          <w:lang w:val="fr" w:eastAsia="en-IE"/>
        </w:rPr>
        <w:t>hors des</w:t>
      </w:r>
      <w:r w:rsidRPr="00C70A4B">
        <w:rPr>
          <w:rFonts w:ascii="Times New Roman" w:eastAsia="Times New Roman" w:hAnsi="Times New Roman" w:cs="Times New Roman"/>
          <w:szCs w:val="20"/>
          <w:lang w:val="fr" w:eastAsia="en-IE"/>
        </w:rPr>
        <w:t xml:space="preserve"> casinos doit être qualifié</w:t>
      </w:r>
      <w:r w:rsidR="0051744C">
        <w:rPr>
          <w:rFonts w:ascii="Times New Roman" w:eastAsia="Times New Roman" w:hAnsi="Times New Roman" w:cs="Times New Roman"/>
          <w:szCs w:val="20"/>
          <w:lang w:val="fr" w:eastAsia="en-IE"/>
        </w:rPr>
        <w:t>e</w:t>
      </w:r>
      <w:r w:rsidRPr="00C70A4B">
        <w:rPr>
          <w:rFonts w:ascii="Times New Roman" w:eastAsia="Times New Roman" w:hAnsi="Times New Roman" w:cs="Times New Roman"/>
          <w:szCs w:val="20"/>
          <w:lang w:val="fr" w:eastAsia="en-IE"/>
        </w:rPr>
        <w:t xml:space="preserve"> de « règle technique »</w:t>
      </w:r>
      <w:r>
        <w:rPr>
          <w:rFonts w:ascii="Times New Roman" w:eastAsia="Times New Roman" w:hAnsi="Times New Roman" w:cs="Times New Roman"/>
          <w:szCs w:val="20"/>
          <w:lang w:val="fr" w:eastAsia="en-IE"/>
        </w:rPr>
        <w:t>.</w:t>
      </w:r>
    </w:p>
    <w:p w14:paraId="55F00ED6" w14:textId="77777777" w:rsidR="00A23485" w:rsidRPr="00C70A4B" w:rsidRDefault="00A23485" w:rsidP="00AA4F20">
      <w:pPr>
        <w:widowControl w:val="0"/>
        <w:tabs>
          <w:tab w:val="left" w:pos="451"/>
        </w:tabs>
        <w:autoSpaceDE w:val="0"/>
        <w:autoSpaceDN w:val="0"/>
        <w:spacing w:after="0" w:line="240" w:lineRule="auto"/>
        <w:jc w:val="both"/>
        <w:rPr>
          <w:rFonts w:ascii="Times New Roman" w:eastAsia="Times New Roman" w:hAnsi="Times New Roman" w:cs="Times New Roman"/>
          <w:szCs w:val="20"/>
          <w:lang w:val="fr" w:eastAsia="en-IE"/>
        </w:rPr>
      </w:pPr>
    </w:p>
    <w:p w14:paraId="7576034A" w14:textId="252F2BE1" w:rsidR="00A23485" w:rsidRPr="00C70A4B" w:rsidRDefault="00A23485"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 w:eastAsia="en-IE"/>
        </w:rPr>
        <w:t>« </w:t>
      </w:r>
      <w:r w:rsidRPr="00C70A4B">
        <w:rPr>
          <w:rFonts w:ascii="Times New Roman" w:eastAsia="Times New Roman" w:hAnsi="Times New Roman" w:cs="Times New Roman"/>
          <w:i/>
          <w:iCs/>
          <w:sz w:val="20"/>
          <w:szCs w:val="16"/>
          <w:lang w:val="fr-BE" w:eastAsia="en-IE"/>
        </w:rPr>
        <w:t>24</w:t>
      </w:r>
      <w:r w:rsidR="005C053F">
        <w:rPr>
          <w:rFonts w:ascii="Times New Roman" w:eastAsia="Times New Roman" w:hAnsi="Times New Roman" w:cs="Times New Roman"/>
          <w:i/>
          <w:iCs/>
          <w:sz w:val="20"/>
          <w:szCs w:val="16"/>
          <w:lang w:val="fr-BE" w:eastAsia="en-IE"/>
        </w:rPr>
        <w:t xml:space="preserve">. </w:t>
      </w:r>
      <w:r w:rsidR="002829DC">
        <w:rPr>
          <w:rFonts w:ascii="Times New Roman" w:eastAsia="Times New Roman" w:hAnsi="Times New Roman" w:cs="Times New Roman"/>
          <w:i/>
          <w:iCs/>
          <w:sz w:val="20"/>
          <w:szCs w:val="16"/>
          <w:lang w:val="fr-BE" w:eastAsia="en-IE"/>
        </w:rPr>
        <w:t>[…]</w:t>
      </w:r>
      <w:r w:rsidRPr="00C70A4B">
        <w:rPr>
          <w:rFonts w:ascii="Times New Roman" w:eastAsia="Times New Roman" w:hAnsi="Times New Roman" w:cs="Times New Roman"/>
          <w:i/>
          <w:iCs/>
          <w:sz w:val="20"/>
          <w:szCs w:val="16"/>
          <w:lang w:val="fr-BE" w:eastAsia="en-IE"/>
        </w:rPr>
        <w:t xml:space="preserve"> la Cour a déjà jugé que des mesures qui interdisent l’utilisation de tous les jeux électriques, électromécaniques et électroniques, dans tous les lieux publics et privés, à l’exception des casinos, doivent être qualifiées de règles techniques au sens de l’article 1</w:t>
      </w:r>
      <w:r w:rsidRPr="00C70A4B">
        <w:rPr>
          <w:rFonts w:ascii="Times New Roman" w:eastAsia="Times New Roman" w:hAnsi="Times New Roman" w:cs="Times New Roman"/>
          <w:i/>
          <w:iCs/>
          <w:sz w:val="20"/>
          <w:szCs w:val="16"/>
          <w:vertAlign w:val="superscript"/>
          <w:lang w:val="fr-BE" w:eastAsia="en-IE"/>
        </w:rPr>
        <w:t>er</w:t>
      </w:r>
      <w:r w:rsidRPr="00C70A4B">
        <w:rPr>
          <w:rFonts w:ascii="Times New Roman" w:eastAsia="Times New Roman" w:hAnsi="Times New Roman" w:cs="Times New Roman"/>
          <w:i/>
          <w:iCs/>
          <w:sz w:val="20"/>
          <w:szCs w:val="16"/>
          <w:lang w:val="fr-BE" w:eastAsia="en-IE"/>
        </w:rPr>
        <w:t>, point 11, de la directive 98/34 (arrêt du 26 octobre 2006, Commission/Grèce, C</w:t>
      </w:r>
      <w:r w:rsidRPr="00C70A4B">
        <w:rPr>
          <w:rFonts w:ascii="Times New Roman" w:eastAsia="Times New Roman" w:hAnsi="Times New Roman" w:cs="Times New Roman"/>
          <w:i/>
          <w:iCs/>
          <w:sz w:val="20"/>
          <w:szCs w:val="16"/>
          <w:lang w:val="fr-BE" w:eastAsia="en-IE"/>
        </w:rPr>
        <w:noBreakHyphen/>
        <w:t>65/05, Rec. p. I</w:t>
      </w:r>
      <w:r w:rsidRPr="00C70A4B">
        <w:rPr>
          <w:rFonts w:ascii="Times New Roman" w:eastAsia="Times New Roman" w:hAnsi="Times New Roman" w:cs="Times New Roman"/>
          <w:i/>
          <w:iCs/>
          <w:sz w:val="20"/>
          <w:szCs w:val="16"/>
          <w:lang w:val="fr-BE" w:eastAsia="en-IE"/>
        </w:rPr>
        <w:noBreakHyphen/>
        <w:t>10341, point 61).</w:t>
      </w:r>
    </w:p>
    <w:p w14:paraId="4B6915E2" w14:textId="77777777" w:rsidR="00A23485" w:rsidRPr="00C70A4B" w:rsidRDefault="00A23485"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9795D70" w14:textId="0391D366" w:rsidR="00A23485" w:rsidRDefault="00A23485" w:rsidP="00AA4F20">
      <w:pPr>
        <w:widowControl w:val="0"/>
        <w:tabs>
          <w:tab w:val="left" w:pos="45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C70A4B">
        <w:rPr>
          <w:rFonts w:ascii="Times New Roman" w:eastAsia="Times New Roman" w:hAnsi="Times New Roman" w:cs="Times New Roman"/>
          <w:i/>
          <w:iCs/>
          <w:sz w:val="20"/>
          <w:szCs w:val="16"/>
          <w:lang w:val="fr-BE" w:eastAsia="en-IE"/>
        </w:rPr>
        <w:t>25</w:t>
      </w:r>
      <w:r w:rsidR="005C053F">
        <w:rPr>
          <w:rFonts w:ascii="Times New Roman" w:eastAsia="Times New Roman" w:hAnsi="Times New Roman" w:cs="Times New Roman"/>
          <w:i/>
          <w:iCs/>
          <w:sz w:val="20"/>
          <w:szCs w:val="16"/>
          <w:lang w:val="fr-BE" w:eastAsia="en-IE"/>
        </w:rPr>
        <w:t xml:space="preserve">. </w:t>
      </w:r>
      <w:r w:rsidRPr="00C70A4B">
        <w:rPr>
          <w:rFonts w:ascii="Times New Roman" w:eastAsia="Times New Roman" w:hAnsi="Times New Roman" w:cs="Times New Roman"/>
          <w:i/>
          <w:iCs/>
          <w:sz w:val="20"/>
          <w:szCs w:val="16"/>
          <w:lang w:val="fr-BE" w:eastAsia="en-IE"/>
        </w:rPr>
        <w:t>Dans ces conditions, une mesure, telle que l’article 14, paragraphe 1, de la loi sur les jeux de hasard, qui réserve l’organisation de jeux automatisés aux seuls casinos de jeux, doit être qualifiée de «règle technique», au sens de l’article 1</w:t>
      </w:r>
      <w:r w:rsidRPr="00C70A4B">
        <w:rPr>
          <w:rFonts w:ascii="Times New Roman" w:eastAsia="Times New Roman" w:hAnsi="Times New Roman" w:cs="Times New Roman"/>
          <w:i/>
          <w:iCs/>
          <w:sz w:val="20"/>
          <w:szCs w:val="16"/>
          <w:vertAlign w:val="superscript"/>
          <w:lang w:val="fr-BE" w:eastAsia="en-IE"/>
        </w:rPr>
        <w:t>er</w:t>
      </w:r>
      <w:r w:rsidRPr="00C70A4B">
        <w:rPr>
          <w:rFonts w:ascii="Times New Roman" w:eastAsia="Times New Roman" w:hAnsi="Times New Roman" w:cs="Times New Roman"/>
          <w:i/>
          <w:iCs/>
          <w:sz w:val="20"/>
          <w:szCs w:val="16"/>
          <w:lang w:val="fr-BE" w:eastAsia="en-IE"/>
        </w:rPr>
        <w:t>, point 11, de la directive 98/34. »</w:t>
      </w:r>
    </w:p>
    <w:p w14:paraId="4A0CD426" w14:textId="77777777" w:rsidR="00A23485" w:rsidRDefault="00A23485" w:rsidP="00AA4F20">
      <w:pPr>
        <w:spacing w:after="0" w:line="240" w:lineRule="auto"/>
        <w:rPr>
          <w:lang w:val="fr-BE"/>
        </w:rPr>
      </w:pPr>
    </w:p>
    <w:p w14:paraId="1675A539" w14:textId="18810F73" w:rsidR="00A23485" w:rsidRPr="005116E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4" w:history="1">
        <w:r w:rsidR="00A23485" w:rsidRPr="005116EF">
          <w:rPr>
            <w:rFonts w:ascii="Times New Roman" w:eastAsia="Times New Roman" w:hAnsi="Times New Roman" w:cs="Times New Roman"/>
            <w:b/>
            <w:i/>
            <w:color w:val="0000FF"/>
            <w:szCs w:val="20"/>
            <w:u w:val="single"/>
            <w:lang w:val="fr" w:eastAsia="en-IE"/>
          </w:rPr>
          <w:t>Arrêt du 27 octobre 2016</w:t>
        </w:r>
      </w:hyperlink>
      <w:r w:rsidR="00A23485" w:rsidRPr="005116EF">
        <w:rPr>
          <w:rFonts w:ascii="Times New Roman" w:eastAsia="Times New Roman" w:hAnsi="Times New Roman" w:cs="Times New Roman"/>
          <w:b/>
          <w:i/>
          <w:szCs w:val="20"/>
          <w:lang w:val="fr" w:eastAsia="en-IE"/>
        </w:rPr>
        <w:t xml:space="preserve">, </w:t>
      </w:r>
      <w:r w:rsidR="00437A3E" w:rsidRPr="005116EF">
        <w:rPr>
          <w:rFonts w:ascii="Times New Roman" w:eastAsia="Times New Roman" w:hAnsi="Times New Roman" w:cs="Times New Roman"/>
          <w:b/>
          <w:i/>
          <w:szCs w:val="20"/>
          <w:lang w:val="fr" w:eastAsia="en-IE"/>
        </w:rPr>
        <w:t xml:space="preserve">James Elliott Construction, </w:t>
      </w:r>
      <w:r w:rsidR="00A23485" w:rsidRPr="005116EF">
        <w:rPr>
          <w:rFonts w:ascii="Times New Roman" w:eastAsia="Times New Roman" w:hAnsi="Times New Roman" w:cs="Times New Roman"/>
          <w:b/>
          <w:i/>
          <w:szCs w:val="20"/>
          <w:lang w:val="fr" w:eastAsia="en-IE"/>
        </w:rPr>
        <w:t>C-613/14, EU:C:2016:821, point</w:t>
      </w:r>
      <w:r w:rsidR="00A23485">
        <w:rPr>
          <w:rFonts w:ascii="Times New Roman" w:eastAsia="Times New Roman" w:hAnsi="Times New Roman" w:cs="Times New Roman"/>
          <w:b/>
          <w:i/>
          <w:szCs w:val="20"/>
          <w:lang w:val="fr" w:eastAsia="en-IE"/>
        </w:rPr>
        <w:t xml:space="preserve"> 70</w:t>
      </w:r>
    </w:p>
    <w:p w14:paraId="3A50454A" w14:textId="77777777" w:rsidR="00A23485" w:rsidRPr="005116EF"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347EE999" w14:textId="77777777" w:rsidR="00A23485" w:rsidRPr="005116EF" w:rsidRDefault="00A23485" w:rsidP="00AA4F20">
      <w:pPr>
        <w:widowControl w:val="0"/>
        <w:tabs>
          <w:tab w:val="left" w:pos="430"/>
        </w:tabs>
        <w:autoSpaceDE w:val="0"/>
        <w:autoSpaceDN w:val="0"/>
        <w:spacing w:after="0" w:line="240" w:lineRule="auto"/>
        <w:jc w:val="both"/>
        <w:rPr>
          <w:rFonts w:ascii="Times New Roman" w:eastAsia="Times New Roman" w:hAnsi="Times New Roman" w:cs="Times New Roman"/>
          <w:szCs w:val="20"/>
          <w:lang w:val="fr" w:eastAsia="en-IE"/>
        </w:rPr>
      </w:pPr>
      <w:r w:rsidRPr="005116EF">
        <w:rPr>
          <w:rFonts w:ascii="Times New Roman" w:eastAsia="Times New Roman" w:hAnsi="Times New Roman" w:cs="Times New Roman"/>
          <w:szCs w:val="20"/>
          <w:lang w:val="fr" w:eastAsia="en-IE"/>
        </w:rPr>
        <w:t>Des dispositions nationales énonçant</w:t>
      </w:r>
      <w:r>
        <w:rPr>
          <w:rFonts w:ascii="Times New Roman" w:eastAsia="Times New Roman" w:hAnsi="Times New Roman" w:cs="Times New Roman"/>
          <w:szCs w:val="20"/>
          <w:lang w:val="fr" w:eastAsia="en-IE"/>
        </w:rPr>
        <w:t xml:space="preserve"> </w:t>
      </w:r>
      <w:r w:rsidRPr="005116EF">
        <w:rPr>
          <w:rFonts w:ascii="Times New Roman" w:eastAsia="Times New Roman" w:hAnsi="Times New Roman" w:cs="Times New Roman"/>
          <w:szCs w:val="20"/>
          <w:lang w:val="fr" w:eastAsia="en-IE"/>
        </w:rPr>
        <w:t xml:space="preserve">des conditions contractuelles implicites concernant la qualité marchande et l’aptitude à l’usage ou la qualité de produits vendus, ne constituent pas des </w:t>
      </w:r>
      <w:r>
        <w:rPr>
          <w:rFonts w:ascii="Times New Roman" w:eastAsia="Times New Roman" w:hAnsi="Times New Roman" w:cs="Times New Roman"/>
          <w:szCs w:val="20"/>
          <w:lang w:val="fr" w:eastAsia="en-IE"/>
        </w:rPr>
        <w:t>dispositions d’interdiction.</w:t>
      </w:r>
    </w:p>
    <w:p w14:paraId="03D45187" w14:textId="77777777" w:rsidR="00A23485" w:rsidRPr="005116EF" w:rsidRDefault="00A23485"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3484B57" w14:textId="299BC109" w:rsidR="00A23485" w:rsidRDefault="00A23485" w:rsidP="00AA4F20">
      <w:pPr>
        <w:widowControl w:val="0"/>
        <w:tabs>
          <w:tab w:val="left" w:pos="430"/>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60" w:name="point70"/>
      <w:r>
        <w:rPr>
          <w:rFonts w:ascii="Times New Roman" w:eastAsia="Times New Roman" w:hAnsi="Times New Roman" w:cs="Times New Roman"/>
          <w:i/>
          <w:iCs/>
          <w:sz w:val="20"/>
          <w:szCs w:val="16"/>
          <w:lang w:val="fr-BE" w:eastAsia="en-IE"/>
        </w:rPr>
        <w:t>« </w:t>
      </w:r>
      <w:r w:rsidRPr="005116EF">
        <w:rPr>
          <w:rFonts w:ascii="Times New Roman" w:eastAsia="Times New Roman" w:hAnsi="Times New Roman" w:cs="Times New Roman"/>
          <w:i/>
          <w:iCs/>
          <w:sz w:val="20"/>
          <w:szCs w:val="16"/>
          <w:lang w:val="fr-BE" w:eastAsia="en-IE"/>
        </w:rPr>
        <w:t>70</w:t>
      </w:r>
      <w:bookmarkEnd w:id="60"/>
      <w:r w:rsidR="005C053F">
        <w:rPr>
          <w:rFonts w:ascii="Times New Roman" w:eastAsia="Times New Roman" w:hAnsi="Times New Roman" w:cs="Times New Roman"/>
          <w:i/>
          <w:iCs/>
          <w:sz w:val="20"/>
          <w:szCs w:val="16"/>
          <w:lang w:val="fr-BE" w:eastAsia="en-IE"/>
        </w:rPr>
        <w:t xml:space="preserve">. </w:t>
      </w:r>
      <w:r w:rsidR="002829DC">
        <w:rPr>
          <w:rFonts w:ascii="Times New Roman" w:eastAsia="Times New Roman" w:hAnsi="Times New Roman" w:cs="Times New Roman"/>
          <w:i/>
          <w:iCs/>
          <w:sz w:val="20"/>
          <w:szCs w:val="16"/>
          <w:lang w:val="fr-BE" w:eastAsia="en-IE"/>
        </w:rPr>
        <w:t>[…]</w:t>
      </w:r>
      <w:r w:rsidRPr="005116EF">
        <w:rPr>
          <w:rFonts w:ascii="Times New Roman" w:eastAsia="Times New Roman" w:hAnsi="Times New Roman" w:cs="Times New Roman"/>
          <w:i/>
          <w:iCs/>
          <w:sz w:val="20"/>
          <w:szCs w:val="16"/>
          <w:lang w:val="fr-BE" w:eastAsia="en-IE"/>
        </w:rPr>
        <w:t xml:space="preserve"> la réglementation en cause au principal ne relève pas non plus de la catégorie des règles techniques visée à l’article 1</w:t>
      </w:r>
      <w:r w:rsidRPr="005116EF">
        <w:rPr>
          <w:rFonts w:ascii="Times New Roman" w:eastAsia="Times New Roman" w:hAnsi="Times New Roman" w:cs="Times New Roman"/>
          <w:i/>
          <w:iCs/>
          <w:sz w:val="20"/>
          <w:szCs w:val="16"/>
          <w:vertAlign w:val="superscript"/>
          <w:lang w:val="fr-BE" w:eastAsia="en-IE"/>
        </w:rPr>
        <w:t>er</w:t>
      </w:r>
      <w:r w:rsidRPr="005116EF">
        <w:rPr>
          <w:rFonts w:ascii="Times New Roman" w:eastAsia="Times New Roman" w:hAnsi="Times New Roman" w:cs="Times New Roman"/>
          <w:i/>
          <w:iCs/>
          <w:sz w:val="20"/>
          <w:szCs w:val="16"/>
          <w:lang w:val="fr-BE" w:eastAsia="en-IE"/>
        </w:rPr>
        <w:t>, point 11, de la directive 98/34, dans la mesure où, en se limitant à énoncer des exigences contractuelles implicites, elle ne comporte aucune interdiction, au sens de cette directive, soit de fabriquer, d’importer, de commercialiser ou d’utiliser un produit, soit de fournir ou d’utiliser un service ou de s’établir comme prestataire de services.</w:t>
      </w:r>
      <w:r>
        <w:rPr>
          <w:rFonts w:ascii="Times New Roman" w:eastAsia="Times New Roman" w:hAnsi="Times New Roman" w:cs="Times New Roman"/>
          <w:i/>
          <w:iCs/>
          <w:sz w:val="20"/>
          <w:szCs w:val="16"/>
          <w:lang w:val="fr-BE" w:eastAsia="en-IE"/>
        </w:rPr>
        <w:t> »</w:t>
      </w:r>
    </w:p>
    <w:p w14:paraId="444E99F8" w14:textId="77777777" w:rsidR="00A23485" w:rsidRDefault="00A23485" w:rsidP="00AA4F20">
      <w:pPr>
        <w:spacing w:after="0" w:line="240" w:lineRule="auto"/>
        <w:rPr>
          <w:lang w:val="fr-BE"/>
        </w:rPr>
      </w:pPr>
    </w:p>
    <w:p w14:paraId="178807FF" w14:textId="28FF3AB2" w:rsidR="00A23485" w:rsidRPr="00C54456"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5" w:anchor="ctx1" w:history="1">
        <w:r w:rsidR="00A23485" w:rsidRPr="00C54456">
          <w:rPr>
            <w:rFonts w:ascii="Times New Roman" w:eastAsia="Times New Roman" w:hAnsi="Times New Roman" w:cs="Times New Roman"/>
            <w:b/>
            <w:i/>
            <w:color w:val="0000FF"/>
            <w:szCs w:val="20"/>
            <w:u w:val="single"/>
            <w:lang w:val="fr" w:eastAsia="en-IE"/>
          </w:rPr>
          <w:t>Arrêt du 28 mai 2020</w:t>
        </w:r>
      </w:hyperlink>
      <w:r w:rsidR="00A23485" w:rsidRPr="00C54456">
        <w:rPr>
          <w:rFonts w:ascii="Times New Roman" w:eastAsia="Times New Roman" w:hAnsi="Times New Roman" w:cs="Times New Roman"/>
          <w:b/>
          <w:i/>
          <w:szCs w:val="20"/>
          <w:lang w:val="fr" w:eastAsia="en-IE"/>
        </w:rPr>
        <w:t xml:space="preserve">, </w:t>
      </w:r>
      <w:r w:rsidR="00437A3E" w:rsidRPr="00C54456">
        <w:rPr>
          <w:rFonts w:ascii="Times New Roman" w:eastAsia="Times New Roman" w:hAnsi="Times New Roman" w:cs="Times New Roman"/>
          <w:b/>
          <w:i/>
          <w:szCs w:val="20"/>
          <w:lang w:val="fr" w:eastAsia="en-IE"/>
        </w:rPr>
        <w:t xml:space="preserve">ECO-WIND Construction, </w:t>
      </w:r>
      <w:r w:rsidR="00A23485" w:rsidRPr="00C54456">
        <w:rPr>
          <w:rFonts w:ascii="Times New Roman" w:eastAsia="Times New Roman" w:hAnsi="Times New Roman" w:cs="Times New Roman"/>
          <w:b/>
          <w:i/>
          <w:szCs w:val="20"/>
          <w:lang w:val="fr" w:eastAsia="en-IE"/>
        </w:rPr>
        <w:t xml:space="preserve">C-727/17, EU:C:2020:393, points </w:t>
      </w:r>
      <w:r w:rsidR="00A23485">
        <w:rPr>
          <w:rFonts w:ascii="Times New Roman" w:eastAsia="Times New Roman" w:hAnsi="Times New Roman" w:cs="Times New Roman"/>
          <w:b/>
          <w:i/>
          <w:szCs w:val="20"/>
          <w:lang w:val="fr" w:eastAsia="en-IE"/>
        </w:rPr>
        <w:t>45 à 47</w:t>
      </w:r>
    </w:p>
    <w:p w14:paraId="58A77184" w14:textId="77777777" w:rsidR="00A23485" w:rsidRPr="00C54456"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ABAB16B" w14:textId="6CD5F72C" w:rsidR="00A23485" w:rsidRPr="00C54456"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C54456">
        <w:rPr>
          <w:rFonts w:ascii="Times New Roman" w:eastAsia="Times New Roman" w:hAnsi="Times New Roman" w:cs="Times New Roman"/>
          <w:szCs w:val="20"/>
          <w:lang w:val="fr" w:eastAsia="en-IE"/>
        </w:rPr>
        <w:t xml:space="preserve">Une réglementation imposant une distance minimale pour l’installation d’éoliennes </w:t>
      </w:r>
      <w:r w:rsidR="0051744C">
        <w:rPr>
          <w:rFonts w:ascii="Times New Roman" w:eastAsia="Times New Roman" w:hAnsi="Times New Roman" w:cs="Times New Roman"/>
          <w:szCs w:val="20"/>
          <w:lang w:val="fr" w:eastAsia="en-IE"/>
        </w:rPr>
        <w:t>ne constitue pas une interdiction</w:t>
      </w:r>
      <w:r w:rsidRPr="00C54456">
        <w:rPr>
          <w:rFonts w:ascii="Times New Roman" w:eastAsia="Times New Roman" w:hAnsi="Times New Roman" w:cs="Times New Roman"/>
          <w:szCs w:val="20"/>
          <w:lang w:val="fr" w:eastAsia="en-IE"/>
        </w:rPr>
        <w:t xml:space="preserve"> </w:t>
      </w:r>
      <w:r w:rsidR="0051744C">
        <w:rPr>
          <w:rFonts w:ascii="Times New Roman" w:eastAsia="Times New Roman" w:hAnsi="Times New Roman" w:cs="Times New Roman"/>
          <w:szCs w:val="20"/>
          <w:lang w:val="fr" w:eastAsia="en-IE"/>
        </w:rPr>
        <w:t xml:space="preserve">de </w:t>
      </w:r>
      <w:r w:rsidRPr="00C54456">
        <w:rPr>
          <w:rFonts w:ascii="Times New Roman" w:eastAsia="Times New Roman" w:hAnsi="Times New Roman" w:cs="Times New Roman"/>
          <w:szCs w:val="20"/>
          <w:lang w:val="fr" w:eastAsia="en-IE"/>
        </w:rPr>
        <w:t>fabrication, d’importation, de commercialisation ou d’utilisation d’un produit, sauf si elle entraîne une interdiction de fait de la commercialisation des éoliennes, ne laissant place qu’à une utilisation purement marginale</w:t>
      </w:r>
      <w:r w:rsidR="0051744C">
        <w:rPr>
          <w:rFonts w:ascii="Times New Roman" w:eastAsia="Times New Roman" w:hAnsi="Times New Roman" w:cs="Times New Roman"/>
          <w:szCs w:val="20"/>
          <w:lang w:val="fr" w:eastAsia="en-IE"/>
        </w:rPr>
        <w:t xml:space="preserve"> de ces dernières.</w:t>
      </w:r>
    </w:p>
    <w:p w14:paraId="57350EE4" w14:textId="77777777" w:rsidR="00A23485" w:rsidRDefault="00A23485" w:rsidP="00AA4F20">
      <w:pPr>
        <w:pStyle w:val="BodyText"/>
        <w:jc w:val="left"/>
      </w:pPr>
    </w:p>
    <w:p w14:paraId="2989236F" w14:textId="7543A391" w:rsidR="00A23485" w:rsidRPr="002F655D" w:rsidRDefault="00A23485" w:rsidP="00AA4F20">
      <w:pPr>
        <w:pStyle w:val="BodyText"/>
        <w:ind w:left="567"/>
        <w:rPr>
          <w:i/>
          <w:iCs/>
          <w:sz w:val="20"/>
          <w:lang w:val="fr-BE"/>
        </w:rPr>
      </w:pPr>
      <w:bookmarkStart w:id="61" w:name="point45"/>
      <w:r w:rsidRPr="002F655D">
        <w:rPr>
          <w:i/>
          <w:iCs/>
          <w:sz w:val="20"/>
          <w:lang w:val="fr-BE"/>
        </w:rPr>
        <w:t>« 45</w:t>
      </w:r>
      <w:bookmarkEnd w:id="61"/>
      <w:r w:rsidR="005C053F">
        <w:rPr>
          <w:i/>
          <w:iCs/>
          <w:sz w:val="20"/>
          <w:lang w:val="fr-BE"/>
        </w:rPr>
        <w:t xml:space="preserve">. </w:t>
      </w:r>
      <w:r w:rsidRPr="002F655D">
        <w:rPr>
          <w:i/>
          <w:iCs/>
          <w:sz w:val="20"/>
          <w:lang w:val="fr-BE"/>
        </w:rPr>
        <w:t>Cette catégorie</w:t>
      </w:r>
      <w:r w:rsidR="002829DC">
        <w:rPr>
          <w:i/>
          <w:iCs/>
          <w:sz w:val="20"/>
          <w:lang w:val="fr-BE"/>
        </w:rPr>
        <w:t xml:space="preserve"> </w:t>
      </w:r>
      <w:r w:rsidR="002829DC" w:rsidRPr="002829DC">
        <w:rPr>
          <w:sz w:val="20"/>
          <w:lang w:val="fr-BE"/>
        </w:rPr>
        <w:t>[</w:t>
      </w:r>
      <w:r w:rsidR="002829DC">
        <w:rPr>
          <w:sz w:val="20"/>
          <w:lang w:val="fr-BE"/>
        </w:rPr>
        <w:t>de dispositions d’interdiction]</w:t>
      </w:r>
      <w:r w:rsidRPr="002F655D">
        <w:rPr>
          <w:i/>
          <w:iCs/>
          <w:sz w:val="20"/>
          <w:lang w:val="fr-BE"/>
        </w:rPr>
        <w:t xml:space="preserve"> suppose que la mesure en cause ait une portée qui aille clairement au-delà d’une limitation à certains usages du produit en cause et qu’elle ne se limite pas à une simple restriction de l’utilisation de celui-ci (arrêts du 21 avril 2005, Lindberg, C</w:t>
      </w:r>
      <w:r w:rsidRPr="002F655D">
        <w:rPr>
          <w:i/>
          <w:iCs/>
          <w:sz w:val="20"/>
          <w:lang w:val="fr-BE"/>
        </w:rPr>
        <w:noBreakHyphen/>
        <w:t xml:space="preserve">267/03, </w:t>
      </w:r>
      <w:r w:rsidRPr="002F655D">
        <w:rPr>
          <w:i/>
          <w:iCs/>
          <w:sz w:val="20"/>
          <w:lang w:val="fr-BE"/>
        </w:rPr>
        <w:lastRenderedPageBreak/>
        <w:t>EU:C:2005:246, point 76, ainsi que du 19 juillet 2012, Fortuna e.a., C</w:t>
      </w:r>
      <w:r w:rsidRPr="002F655D">
        <w:rPr>
          <w:i/>
          <w:iCs/>
          <w:sz w:val="20"/>
          <w:lang w:val="fr-BE"/>
        </w:rPr>
        <w:noBreakHyphen/>
        <w:t>213/11, C</w:t>
      </w:r>
      <w:r w:rsidRPr="002F655D">
        <w:rPr>
          <w:i/>
          <w:iCs/>
          <w:sz w:val="20"/>
          <w:lang w:val="fr-BE"/>
        </w:rPr>
        <w:noBreakHyphen/>
        <w:t>214/11 et C</w:t>
      </w:r>
      <w:r w:rsidRPr="002F655D">
        <w:rPr>
          <w:i/>
          <w:iCs/>
          <w:sz w:val="20"/>
          <w:lang w:val="fr-BE"/>
        </w:rPr>
        <w:noBreakHyphen/>
        <w:t>217/11, EU:C:2012:495, point 31).</w:t>
      </w:r>
    </w:p>
    <w:p w14:paraId="0D2134AA" w14:textId="77777777" w:rsidR="00A23485" w:rsidRPr="002F655D" w:rsidRDefault="00A23485" w:rsidP="00AA4F20">
      <w:pPr>
        <w:pStyle w:val="BodyText"/>
        <w:ind w:left="567"/>
        <w:rPr>
          <w:i/>
          <w:iCs/>
          <w:sz w:val="20"/>
          <w:lang w:val="fr-BE"/>
        </w:rPr>
      </w:pPr>
    </w:p>
    <w:p w14:paraId="4DEE2158" w14:textId="27D65DD0" w:rsidR="00A23485" w:rsidRPr="002F655D" w:rsidRDefault="00A23485" w:rsidP="00AA4F20">
      <w:pPr>
        <w:pStyle w:val="BodyText"/>
        <w:ind w:left="567"/>
        <w:rPr>
          <w:i/>
          <w:iCs/>
          <w:sz w:val="20"/>
          <w:lang w:val="fr-BE"/>
        </w:rPr>
      </w:pPr>
      <w:bookmarkStart w:id="62" w:name="point46"/>
      <w:r w:rsidRPr="002F655D">
        <w:rPr>
          <w:i/>
          <w:iCs/>
          <w:sz w:val="20"/>
          <w:lang w:val="fr-BE"/>
        </w:rPr>
        <w:t>46</w:t>
      </w:r>
      <w:bookmarkEnd w:id="62"/>
      <w:r w:rsidR="005C053F">
        <w:rPr>
          <w:i/>
          <w:iCs/>
          <w:sz w:val="20"/>
          <w:lang w:val="fr-BE"/>
        </w:rPr>
        <w:t xml:space="preserve">. </w:t>
      </w:r>
      <w:r w:rsidRPr="002F655D">
        <w:rPr>
          <w:i/>
          <w:iCs/>
          <w:sz w:val="20"/>
          <w:lang w:val="fr-BE"/>
        </w:rPr>
        <w:t>En effet, ladite catégorie vise plus particulièrement des mesures nationales qui ne laissent place à aucune utilisation autre que purement marginale pouvant raisonnablement être attendue du produit concerné (arrêts du 21 avril 2005, Lindberg, C</w:t>
      </w:r>
      <w:r w:rsidRPr="002F655D">
        <w:rPr>
          <w:i/>
          <w:iCs/>
          <w:sz w:val="20"/>
          <w:lang w:val="fr-BE"/>
        </w:rPr>
        <w:noBreakHyphen/>
        <w:t>267/03, EU:C:2005:246, point 77, ainsi que du 19 juillet 2012, Fortuna e.a., C</w:t>
      </w:r>
      <w:r w:rsidRPr="002F655D">
        <w:rPr>
          <w:i/>
          <w:iCs/>
          <w:sz w:val="20"/>
          <w:lang w:val="fr-BE"/>
        </w:rPr>
        <w:noBreakHyphen/>
        <w:t>213/11, C</w:t>
      </w:r>
      <w:r w:rsidRPr="002F655D">
        <w:rPr>
          <w:i/>
          <w:iCs/>
          <w:sz w:val="20"/>
          <w:lang w:val="fr-BE"/>
        </w:rPr>
        <w:noBreakHyphen/>
        <w:t>214/11 et C</w:t>
      </w:r>
      <w:r w:rsidRPr="002F655D">
        <w:rPr>
          <w:i/>
          <w:iCs/>
          <w:sz w:val="20"/>
          <w:lang w:val="fr-BE"/>
        </w:rPr>
        <w:noBreakHyphen/>
        <w:t>217/11, EU:C:2012:495, point 32).</w:t>
      </w:r>
    </w:p>
    <w:p w14:paraId="438200AA" w14:textId="77777777" w:rsidR="00A23485" w:rsidRPr="002F655D" w:rsidRDefault="00A23485" w:rsidP="00AA4F20">
      <w:pPr>
        <w:pStyle w:val="BodyText"/>
        <w:ind w:left="567"/>
        <w:rPr>
          <w:i/>
          <w:iCs/>
          <w:sz w:val="20"/>
          <w:lang w:val="fr-BE"/>
        </w:rPr>
      </w:pPr>
    </w:p>
    <w:p w14:paraId="6508CA59" w14:textId="77B89676" w:rsidR="00A23485" w:rsidRDefault="00A23485" w:rsidP="00AA4F20">
      <w:pPr>
        <w:pStyle w:val="BodyText"/>
        <w:ind w:left="567"/>
        <w:rPr>
          <w:i/>
          <w:iCs/>
          <w:sz w:val="20"/>
          <w:lang w:val="fr-BE"/>
        </w:rPr>
      </w:pPr>
      <w:r w:rsidRPr="002F655D">
        <w:rPr>
          <w:i/>
          <w:iCs/>
          <w:sz w:val="20"/>
          <w:lang w:val="fr-BE"/>
        </w:rPr>
        <w:t>47</w:t>
      </w:r>
      <w:r w:rsidR="005C053F">
        <w:rPr>
          <w:i/>
          <w:iCs/>
          <w:sz w:val="20"/>
          <w:lang w:val="fr-BE"/>
        </w:rPr>
        <w:t xml:space="preserve">. </w:t>
      </w:r>
      <w:r w:rsidRPr="002F655D">
        <w:rPr>
          <w:i/>
          <w:iCs/>
          <w:sz w:val="20"/>
          <w:lang w:val="fr-BE"/>
        </w:rPr>
        <w:t>En l’occurrence, si l’exigence selon laquelle l’installation d’une éolienne est soumise au respect d’une distance minimale entre celle-ci et des bâtiments ayant une fonction résidentielle, imposée par la réglementation nationale en cause au principal, comporte certes une interdiction d’installer une éolienne à une distance minimale inférieure au décuple de la hauteur totale de l’installation projetée de tout bâtiment ayant une fonction résidentielle, il importe de relever que cette réglementation n’interdit cependant pas aux opérateurs économiques de poursuivre l’installation d’éoliennes et, partant, l’utilisation et la commercialisation d’aérogénérateurs. »</w:t>
      </w:r>
    </w:p>
    <w:p w14:paraId="17B77596" w14:textId="77777777" w:rsidR="00A23485" w:rsidRDefault="00A23485" w:rsidP="00AA4F20">
      <w:pPr>
        <w:spacing w:after="0" w:line="240" w:lineRule="auto"/>
        <w:rPr>
          <w:rFonts w:ascii="Times New Roman" w:eastAsia="Times New Roman" w:hAnsi="Times New Roman" w:cs="Times New Roman"/>
          <w:i/>
          <w:iCs/>
          <w:sz w:val="20"/>
          <w:szCs w:val="20"/>
          <w:lang w:val="fr-BE" w:eastAsia="en-IE"/>
        </w:rPr>
      </w:pPr>
      <w:r>
        <w:rPr>
          <w:i/>
          <w:iCs/>
          <w:sz w:val="20"/>
          <w:lang w:val="fr-BE"/>
        </w:rPr>
        <w:br w:type="page"/>
      </w:r>
    </w:p>
    <w:p w14:paraId="235FB3C0" w14:textId="0DBDAB5E" w:rsidR="00A23485" w:rsidRPr="00745699" w:rsidRDefault="00745699" w:rsidP="002C17AE">
      <w:pPr>
        <w:pStyle w:val="Heading2"/>
        <w:spacing w:after="0"/>
        <w:jc w:val="center"/>
        <w:rPr>
          <w:color w:val="auto"/>
          <w:lang w:val="fr-BE"/>
        </w:rPr>
      </w:pPr>
      <w:bookmarkStart w:id="63" w:name="_Toc203035383"/>
      <w:r w:rsidRPr="00745699">
        <w:rPr>
          <w:color w:val="auto"/>
          <w:lang w:val="fr-BE"/>
        </w:rPr>
        <w:lastRenderedPageBreak/>
        <w:t xml:space="preserve">f. </w:t>
      </w:r>
      <w:bookmarkStart w:id="64" w:name="_Ref194484603"/>
      <w:r w:rsidR="00A23485" w:rsidRPr="00745699">
        <w:rPr>
          <w:color w:val="auto"/>
          <w:lang w:val="fr-BE"/>
        </w:rPr>
        <w:t>Règles techniques de facto</w:t>
      </w:r>
      <w:bookmarkEnd w:id="64"/>
      <w:bookmarkEnd w:id="63"/>
    </w:p>
    <w:p w14:paraId="297F85EC" w14:textId="77777777" w:rsidR="00A23485" w:rsidRDefault="00A23485" w:rsidP="002C17AE">
      <w:pPr>
        <w:pStyle w:val="BodyText"/>
      </w:pPr>
    </w:p>
    <w:p w14:paraId="1C4178EA" w14:textId="77777777" w:rsidR="00A23485" w:rsidRPr="00AE28CE" w:rsidRDefault="00A23485" w:rsidP="00AA4F20">
      <w:pPr>
        <w:pStyle w:val="BodyText"/>
        <w:ind w:left="567"/>
        <w:rPr>
          <w:i/>
          <w:iCs/>
          <w:lang w:val="fr-BE"/>
        </w:rPr>
      </w:pPr>
      <w:r w:rsidRPr="002A04C0">
        <w:rPr>
          <w:i/>
          <w:iCs/>
          <w:lang w:val="fr-BE"/>
        </w:rPr>
        <w:t>« </w:t>
      </w:r>
      <w:r w:rsidRPr="00AE28CE">
        <w:rPr>
          <w:i/>
          <w:iCs/>
          <w:lang w:val="fr-BE"/>
        </w:rPr>
        <w:t xml:space="preserve">Constituent notamment des règles techniques de facto: </w:t>
      </w:r>
    </w:p>
    <w:p w14:paraId="16C87C1B" w14:textId="77777777" w:rsidR="00A23485" w:rsidRDefault="00A23485" w:rsidP="00AA4F20">
      <w:pPr>
        <w:pStyle w:val="BodyText"/>
        <w:ind w:left="567"/>
        <w:rPr>
          <w:i/>
          <w:iCs/>
          <w:lang w:val="fr-BE"/>
        </w:rPr>
      </w:pPr>
    </w:p>
    <w:p w14:paraId="244DDC25" w14:textId="77777777" w:rsidR="00A23485" w:rsidRDefault="00A23485" w:rsidP="00AA4F20">
      <w:pPr>
        <w:pStyle w:val="BodyText"/>
        <w:numPr>
          <w:ilvl w:val="0"/>
          <w:numId w:val="7"/>
        </w:numPr>
        <w:rPr>
          <w:i/>
          <w:iCs/>
          <w:lang w:val="fr-BE"/>
        </w:rPr>
      </w:pPr>
      <w:r w:rsidRPr="00AE28CE">
        <w:rPr>
          <w:i/>
          <w:iCs/>
          <w:lang w:val="fr-BE"/>
        </w:rPr>
        <w:t xml:space="preserve">les dispositions législatives, réglementaires ou administratives d'un État membre qui renvoient soit à des spécifications techniques ou à d'autres exigences ou à des règles relatives aux services, soit à des codes professionnels ou de bonne pratique qui se réfèrent eux-mêmes à des spécifications techniques ou à d'autres exigences ou à des </w:t>
      </w:r>
      <w:r>
        <w:rPr>
          <w:i/>
          <w:iCs/>
          <w:lang w:val="fr-BE"/>
        </w:rPr>
        <w:t xml:space="preserve"> </w:t>
      </w:r>
      <w:r w:rsidRPr="00AE28CE">
        <w:rPr>
          <w:i/>
          <w:iCs/>
          <w:lang w:val="fr-BE"/>
        </w:rPr>
        <w:t xml:space="preserve">règles relatives aux services, dont le respect confère une présomption de conformité aux prescriptions fixées par lesdites dispositions législatives, réglementaires ou administratives; </w:t>
      </w:r>
    </w:p>
    <w:p w14:paraId="5A034417" w14:textId="77777777" w:rsidR="00A23485" w:rsidRPr="00AE28CE" w:rsidRDefault="00A23485" w:rsidP="00AA4F20">
      <w:pPr>
        <w:pStyle w:val="BodyText"/>
        <w:ind w:left="1287"/>
        <w:rPr>
          <w:i/>
          <w:iCs/>
          <w:lang w:val="fr-BE"/>
        </w:rPr>
      </w:pPr>
    </w:p>
    <w:p w14:paraId="4A581F97" w14:textId="77777777" w:rsidR="00A23485" w:rsidRDefault="00A23485" w:rsidP="00AA4F20">
      <w:pPr>
        <w:pStyle w:val="BodyText"/>
        <w:numPr>
          <w:ilvl w:val="0"/>
          <w:numId w:val="7"/>
        </w:numPr>
        <w:rPr>
          <w:i/>
          <w:iCs/>
          <w:lang w:val="fr-BE"/>
        </w:rPr>
      </w:pPr>
      <w:r w:rsidRPr="00AE28CE">
        <w:rPr>
          <w:i/>
          <w:iCs/>
          <w:lang w:val="fr-BE"/>
        </w:rPr>
        <w:t xml:space="preserve">les accords volontaires auxquels l'autorité publique est partie contractante et qui visent, dans l'intérêt général, le respect de spécifications techniques ou d'autres exigences, ou de règles relatives aux services, à l'exclusion des cahiers de charges des marchés publics; </w:t>
      </w:r>
    </w:p>
    <w:p w14:paraId="31C0B9A6" w14:textId="77777777" w:rsidR="00A23485" w:rsidRDefault="00A23485" w:rsidP="00AA4F20">
      <w:pPr>
        <w:pStyle w:val="ListParagraph"/>
        <w:spacing w:after="0" w:line="240" w:lineRule="auto"/>
        <w:rPr>
          <w:i/>
          <w:iCs/>
          <w:lang w:val="fr-BE"/>
        </w:rPr>
      </w:pPr>
    </w:p>
    <w:p w14:paraId="499EEE52" w14:textId="77777777" w:rsidR="00A23485" w:rsidRDefault="00A23485" w:rsidP="00AA4F20">
      <w:pPr>
        <w:pStyle w:val="BodyText"/>
        <w:numPr>
          <w:ilvl w:val="0"/>
          <w:numId w:val="7"/>
        </w:numPr>
        <w:rPr>
          <w:i/>
          <w:iCs/>
          <w:lang w:val="fr-BE"/>
        </w:rPr>
      </w:pPr>
      <w:r w:rsidRPr="00AE28CE">
        <w:rPr>
          <w:i/>
          <w:iCs/>
          <w:lang w:val="fr-BE"/>
        </w:rPr>
        <w:t>les spécifications techniques ou d'autres exigences ou les règles relatives aux services liées à des mesures fiscales ou financières qui affectent la consommation de produits ou de services en encourageant le respect de ces spécifications techniques ou autres exigences ou règles relatives aux services; ne sont pas concernées les spécifications techniques ou autres exigences ou les règles relatives aux services liées aux régimes nationaux de sécurité sociale.</w:t>
      </w:r>
      <w:r>
        <w:rPr>
          <w:i/>
          <w:iCs/>
          <w:lang w:val="fr-BE"/>
        </w:rPr>
        <w:t> </w:t>
      </w:r>
    </w:p>
    <w:p w14:paraId="71299188" w14:textId="77777777" w:rsidR="00A23485" w:rsidRDefault="00A23485" w:rsidP="00AA4F20">
      <w:pPr>
        <w:pStyle w:val="BodyText"/>
        <w:ind w:left="567"/>
        <w:rPr>
          <w:i/>
          <w:iCs/>
          <w:lang w:val="fr-BE"/>
        </w:rPr>
      </w:pPr>
    </w:p>
    <w:p w14:paraId="62C11520" w14:textId="77777777" w:rsidR="00A23485" w:rsidRPr="00D717F0" w:rsidRDefault="00A23485" w:rsidP="00AA4F20">
      <w:pPr>
        <w:pStyle w:val="BodyText"/>
        <w:ind w:left="567"/>
        <w:rPr>
          <w:i/>
          <w:iCs/>
          <w:lang w:val="fr-BE"/>
        </w:rPr>
      </w:pPr>
      <w:r w:rsidRPr="00D717F0">
        <w:rPr>
          <w:i/>
          <w:iCs/>
          <w:lang w:val="fr-BE"/>
        </w:rPr>
        <w:t>Sont concernées les règles techniques qui sont fixées par les autorités désignées par les États membres et qui figurent sur une liste établie et mise à jour, le cas échéant, par la Commission dans le cadre du comité visé à l'article 2.»</w:t>
      </w:r>
    </w:p>
    <w:p w14:paraId="24545D3F" w14:textId="77777777" w:rsidR="00A23485" w:rsidRPr="002A04C0" w:rsidRDefault="00A23485" w:rsidP="00AA4F20">
      <w:pPr>
        <w:pStyle w:val="BodyText"/>
        <w:ind w:left="567"/>
        <w:rPr>
          <w:i/>
          <w:iCs/>
          <w:lang w:val="fr-BE"/>
        </w:rPr>
      </w:pPr>
    </w:p>
    <w:p w14:paraId="795B9998" w14:textId="77777777" w:rsidR="002D4B5F" w:rsidRDefault="00A23485" w:rsidP="00AA4F20">
      <w:pPr>
        <w:pStyle w:val="BodyText"/>
        <w:jc w:val="right"/>
      </w:pPr>
      <w:r>
        <w:t xml:space="preserve">(article </w:t>
      </w:r>
      <w:r w:rsidR="000A18C4">
        <w:t>1</w:t>
      </w:r>
      <w:r w:rsidR="000A18C4" w:rsidRPr="000A18C4">
        <w:rPr>
          <w:vertAlign w:val="superscript"/>
        </w:rPr>
        <w:t>er</w:t>
      </w:r>
      <w:r w:rsidRPr="00311E84">
        <w:t>,</w:t>
      </w:r>
      <w:r>
        <w:t xml:space="preserve"> </w:t>
      </w:r>
      <w:r w:rsidRPr="00311E84">
        <w:t xml:space="preserve">paragraphe 1, </w:t>
      </w:r>
      <w:r w:rsidR="001305B4">
        <w:t>point</w:t>
      </w:r>
      <w:r w:rsidRPr="00311E84">
        <w:t xml:space="preserve"> </w:t>
      </w:r>
      <w:r>
        <w:t>f</w:t>
      </w:r>
      <w:r w:rsidR="00B63F8E">
        <w:t>)</w:t>
      </w:r>
      <w:r>
        <w:t xml:space="preserve">, </w:t>
      </w:r>
      <w:r w:rsidR="002D4B5F">
        <w:t xml:space="preserve">deuxième et troisième phrases </w:t>
      </w:r>
    </w:p>
    <w:p w14:paraId="5389ED96" w14:textId="679FD281" w:rsidR="00A23485" w:rsidRDefault="00A23485" w:rsidP="00AA4F20">
      <w:pPr>
        <w:pStyle w:val="BodyText"/>
        <w:jc w:val="right"/>
      </w:pPr>
      <w:r>
        <w:t xml:space="preserve">de la directive </w:t>
      </w:r>
      <w:r w:rsidR="006C60E5">
        <w:t xml:space="preserve">(UE) </w:t>
      </w:r>
      <w:r>
        <w:t>2015/1535</w:t>
      </w:r>
      <w:r w:rsidRPr="00311E84">
        <w:t>)</w:t>
      </w:r>
    </w:p>
    <w:p w14:paraId="1343FCC6" w14:textId="77777777" w:rsidR="00A23485" w:rsidRDefault="00A23485" w:rsidP="00AA4F20">
      <w:pPr>
        <w:pStyle w:val="BodyText"/>
        <w:ind w:left="567"/>
        <w:rPr>
          <w:i/>
          <w:iCs/>
          <w:sz w:val="20"/>
        </w:rPr>
      </w:pPr>
    </w:p>
    <w:p w14:paraId="46B01CEE" w14:textId="159A76F3" w:rsidR="00A23485" w:rsidRPr="00580DA5"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6" w:history="1">
        <w:r w:rsidR="00A23485" w:rsidRPr="00580DA5">
          <w:rPr>
            <w:rFonts w:ascii="Times New Roman" w:eastAsia="Times New Roman" w:hAnsi="Times New Roman" w:cs="Times New Roman"/>
            <w:b/>
            <w:i/>
            <w:color w:val="0000FF"/>
            <w:szCs w:val="20"/>
            <w:u w:val="single"/>
            <w:lang w:val="fr" w:eastAsia="en-IE"/>
          </w:rPr>
          <w:t>Arrêt du 20 mars 1997</w:t>
        </w:r>
      </w:hyperlink>
      <w:r w:rsidR="00A23485" w:rsidRPr="00580DA5">
        <w:rPr>
          <w:rFonts w:ascii="Times New Roman" w:eastAsia="Times New Roman" w:hAnsi="Times New Roman" w:cs="Times New Roman"/>
          <w:b/>
          <w:i/>
          <w:szCs w:val="20"/>
          <w:lang w:val="fr" w:eastAsia="en-IE"/>
        </w:rPr>
        <w:t xml:space="preserve">, </w:t>
      </w:r>
      <w:r w:rsidR="00437A3E" w:rsidRPr="00580DA5">
        <w:rPr>
          <w:rFonts w:ascii="Times New Roman" w:eastAsia="Times New Roman" w:hAnsi="Times New Roman" w:cs="Times New Roman"/>
          <w:b/>
          <w:i/>
          <w:szCs w:val="20"/>
          <w:lang w:val="fr" w:eastAsia="en-IE"/>
        </w:rPr>
        <w:t xml:space="preserve">Bic Benelux, </w:t>
      </w:r>
      <w:r w:rsidR="00A23485" w:rsidRPr="00580DA5">
        <w:rPr>
          <w:rFonts w:ascii="Times New Roman" w:eastAsia="Times New Roman" w:hAnsi="Times New Roman" w:cs="Times New Roman"/>
          <w:b/>
          <w:i/>
          <w:szCs w:val="20"/>
          <w:lang w:val="fr" w:eastAsia="en-IE"/>
        </w:rPr>
        <w:t xml:space="preserve">C-13/96, </w:t>
      </w:r>
      <w:r w:rsidR="00A23485" w:rsidRPr="00EA7E10">
        <w:rPr>
          <w:rFonts w:ascii="Times New Roman" w:eastAsia="Times New Roman" w:hAnsi="Times New Roman" w:cs="Times New Roman"/>
          <w:b/>
          <w:i/>
          <w:szCs w:val="20"/>
          <w:lang w:val="fr-BE" w:eastAsia="en-IE"/>
        </w:rPr>
        <w:t>EU:C:1997:173</w:t>
      </w:r>
      <w:r w:rsidR="00A23485">
        <w:rPr>
          <w:rFonts w:ascii="Times New Roman" w:eastAsia="Times New Roman" w:hAnsi="Times New Roman" w:cs="Times New Roman"/>
          <w:b/>
          <w:i/>
          <w:szCs w:val="20"/>
          <w:lang w:val="fr-BE" w:eastAsia="en-IE"/>
        </w:rPr>
        <w:t xml:space="preserve">, </w:t>
      </w:r>
      <w:r w:rsidR="00A23485" w:rsidRPr="00580DA5">
        <w:rPr>
          <w:rFonts w:ascii="Times New Roman" w:eastAsia="Times New Roman" w:hAnsi="Times New Roman" w:cs="Times New Roman"/>
          <w:b/>
          <w:i/>
          <w:szCs w:val="20"/>
          <w:lang w:val="fr" w:eastAsia="en-IE"/>
        </w:rPr>
        <w:t xml:space="preserve">points </w:t>
      </w:r>
      <w:r w:rsidR="00A23485">
        <w:rPr>
          <w:rFonts w:ascii="Times New Roman" w:eastAsia="Times New Roman" w:hAnsi="Times New Roman" w:cs="Times New Roman"/>
          <w:b/>
          <w:i/>
          <w:szCs w:val="20"/>
          <w:lang w:val="fr" w:eastAsia="en-IE"/>
        </w:rPr>
        <w:t>2</w:t>
      </w:r>
      <w:r w:rsidR="009F2CCE">
        <w:rPr>
          <w:rFonts w:ascii="Times New Roman" w:eastAsia="Times New Roman" w:hAnsi="Times New Roman" w:cs="Times New Roman"/>
          <w:b/>
          <w:i/>
          <w:szCs w:val="20"/>
          <w:lang w:val="fr" w:eastAsia="en-IE"/>
        </w:rPr>
        <w:t>3</w:t>
      </w:r>
      <w:r w:rsidR="00A23485">
        <w:rPr>
          <w:rFonts w:ascii="Times New Roman" w:eastAsia="Times New Roman" w:hAnsi="Times New Roman" w:cs="Times New Roman"/>
          <w:b/>
          <w:i/>
          <w:szCs w:val="20"/>
          <w:lang w:val="fr" w:eastAsia="en-IE"/>
        </w:rPr>
        <w:t xml:space="preserve"> à 25</w:t>
      </w:r>
    </w:p>
    <w:p w14:paraId="6D52B9D0" w14:textId="77777777" w:rsidR="00A23485" w:rsidRPr="00580DA5" w:rsidRDefault="00A23485" w:rsidP="00AA4F20">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lang w:val="fr" w:eastAsia="en-IE"/>
        </w:rPr>
      </w:pPr>
    </w:p>
    <w:p w14:paraId="19AF5B39" w14:textId="2DF04E45" w:rsidR="00A23485" w:rsidRPr="00580DA5" w:rsidRDefault="00A23485" w:rsidP="00AA4F20">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Une</w:t>
      </w:r>
      <w:r w:rsidRPr="00580DA5">
        <w:rPr>
          <w:rFonts w:ascii="Times New Roman" w:eastAsia="Times New Roman" w:hAnsi="Times New Roman" w:cs="Times New Roman"/>
          <w:szCs w:val="20"/>
          <w:lang w:val="fr" w:eastAsia="en-IE"/>
        </w:rPr>
        <w:t xml:space="preserve"> exigence de marquage </w:t>
      </w:r>
      <w:r>
        <w:rPr>
          <w:rFonts w:ascii="Times New Roman" w:eastAsia="Times New Roman" w:hAnsi="Times New Roman" w:cs="Times New Roman"/>
          <w:szCs w:val="20"/>
          <w:lang w:val="fr" w:eastAsia="en-IE"/>
        </w:rPr>
        <w:t>visant à informer le consommateur de l</w:t>
      </w:r>
      <w:r w:rsidR="002829DC">
        <w:rPr>
          <w:rFonts w:ascii="Times New Roman" w:eastAsia="Times New Roman" w:hAnsi="Times New Roman" w:cs="Times New Roman"/>
          <w:szCs w:val="20"/>
          <w:lang w:val="fr" w:eastAsia="en-IE"/>
        </w:rPr>
        <w:t xml:space="preserve">’empreinte environnementale </w:t>
      </w:r>
      <w:r>
        <w:rPr>
          <w:rFonts w:ascii="Times New Roman" w:eastAsia="Times New Roman" w:hAnsi="Times New Roman" w:cs="Times New Roman"/>
          <w:szCs w:val="20"/>
          <w:lang w:val="fr" w:eastAsia="en-IE"/>
        </w:rPr>
        <w:t>de certains produits</w:t>
      </w:r>
      <w:r w:rsidR="00F3747E">
        <w:rPr>
          <w:rFonts w:ascii="Times New Roman" w:eastAsia="Times New Roman" w:hAnsi="Times New Roman" w:cs="Times New Roman"/>
          <w:szCs w:val="20"/>
          <w:lang w:val="fr" w:eastAsia="en-IE"/>
        </w:rPr>
        <w:t xml:space="preserve"> et étant liée à une taxe constitue une spécification technique. Elle</w:t>
      </w:r>
      <w:r>
        <w:rPr>
          <w:rFonts w:ascii="Times New Roman" w:eastAsia="Times New Roman" w:hAnsi="Times New Roman" w:cs="Times New Roman"/>
          <w:szCs w:val="20"/>
          <w:lang w:val="fr" w:eastAsia="en-IE"/>
        </w:rPr>
        <w:t xml:space="preserve"> </w:t>
      </w:r>
      <w:r w:rsidRPr="00580DA5">
        <w:rPr>
          <w:rFonts w:ascii="Times New Roman" w:eastAsia="Times New Roman" w:hAnsi="Times New Roman" w:cs="Times New Roman"/>
          <w:szCs w:val="20"/>
          <w:lang w:val="fr" w:eastAsia="en-IE"/>
        </w:rPr>
        <w:t xml:space="preserve">ne peut </w:t>
      </w:r>
      <w:r w:rsidR="00F3747E">
        <w:rPr>
          <w:rFonts w:ascii="Times New Roman" w:eastAsia="Times New Roman" w:hAnsi="Times New Roman" w:cs="Times New Roman"/>
          <w:szCs w:val="20"/>
          <w:lang w:val="fr" w:eastAsia="en-IE"/>
        </w:rPr>
        <w:t xml:space="preserve">pas </w:t>
      </w:r>
      <w:r w:rsidRPr="00580DA5">
        <w:rPr>
          <w:rFonts w:ascii="Times New Roman" w:eastAsia="Times New Roman" w:hAnsi="Times New Roman" w:cs="Times New Roman"/>
          <w:szCs w:val="20"/>
          <w:lang w:val="fr" w:eastAsia="en-IE"/>
        </w:rPr>
        <w:t xml:space="preserve">être considérée comme </w:t>
      </w:r>
      <w:r w:rsidR="001A278B">
        <w:rPr>
          <w:rFonts w:ascii="Times New Roman" w:eastAsia="Times New Roman" w:hAnsi="Times New Roman" w:cs="Times New Roman"/>
          <w:szCs w:val="20"/>
          <w:lang w:val="fr" w:eastAsia="en-IE"/>
        </w:rPr>
        <w:t>« </w:t>
      </w:r>
      <w:r w:rsidR="001A278B" w:rsidRPr="001A278B">
        <w:rPr>
          <w:rFonts w:ascii="Times New Roman" w:eastAsia="Times New Roman" w:hAnsi="Times New Roman" w:cs="Times New Roman"/>
          <w:szCs w:val="20"/>
          <w:lang w:val="fr" w:eastAsia="en-IE"/>
        </w:rPr>
        <w:t>exclusivement une mesure d'accompagnement fiscal</w:t>
      </w:r>
      <w:r w:rsidR="001A278B">
        <w:rPr>
          <w:rFonts w:ascii="Times New Roman" w:eastAsia="Times New Roman" w:hAnsi="Times New Roman" w:cs="Times New Roman"/>
          <w:szCs w:val="20"/>
          <w:lang w:val="fr" w:eastAsia="en-IE"/>
        </w:rPr>
        <w:t> »</w:t>
      </w:r>
      <w:r w:rsidR="001A278B" w:rsidRPr="001A278B">
        <w:rPr>
          <w:rFonts w:ascii="Times New Roman" w:eastAsia="Times New Roman" w:hAnsi="Times New Roman" w:cs="Times New Roman"/>
          <w:szCs w:val="20"/>
          <w:lang w:val="fr" w:eastAsia="en-IE"/>
        </w:rPr>
        <w:t xml:space="preserve"> </w:t>
      </w:r>
      <w:r w:rsidRPr="00580DA5">
        <w:rPr>
          <w:rFonts w:ascii="Times New Roman" w:eastAsia="Times New Roman" w:hAnsi="Times New Roman" w:cs="Times New Roman"/>
          <w:szCs w:val="20"/>
          <w:lang w:val="fr" w:eastAsia="en-IE"/>
        </w:rPr>
        <w:t>et ne relève donc pas de</w:t>
      </w:r>
      <w:r w:rsidR="001A278B">
        <w:rPr>
          <w:rFonts w:ascii="Times New Roman" w:eastAsia="Times New Roman" w:hAnsi="Times New Roman" w:cs="Times New Roman"/>
          <w:szCs w:val="20"/>
          <w:lang w:val="fr" w:eastAsia="en-IE"/>
        </w:rPr>
        <w:t xml:space="preserve"> l’exception prévue pour les « </w:t>
      </w:r>
      <w:r w:rsidR="001A278B" w:rsidRPr="001A278B">
        <w:rPr>
          <w:rFonts w:ascii="Times New Roman" w:eastAsia="Times New Roman" w:hAnsi="Times New Roman" w:cs="Times New Roman"/>
          <w:szCs w:val="20"/>
          <w:lang w:val="fr" w:eastAsia="en-IE"/>
        </w:rPr>
        <w:t>exigence liée à une mesure fiscale</w:t>
      </w:r>
      <w:r w:rsidR="001A278B">
        <w:rPr>
          <w:rFonts w:ascii="Times New Roman" w:eastAsia="Times New Roman" w:hAnsi="Times New Roman" w:cs="Times New Roman"/>
          <w:szCs w:val="20"/>
          <w:lang w:val="fr" w:eastAsia="en-IE"/>
        </w:rPr>
        <w:t> ».</w:t>
      </w:r>
    </w:p>
    <w:p w14:paraId="45F67A50" w14:textId="77777777" w:rsidR="00A23485" w:rsidRDefault="00A23485"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BE" w:eastAsia="en-IE"/>
        </w:rPr>
      </w:pPr>
    </w:p>
    <w:p w14:paraId="1BBF399D" w14:textId="7F7114CA" w:rsidR="00A23485" w:rsidRDefault="009F2CCE"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w:t>
      </w:r>
      <w:r w:rsidR="00A23485" w:rsidRPr="00580DA5">
        <w:rPr>
          <w:rFonts w:ascii="Times New Roman" w:eastAsia="Times New Roman" w:hAnsi="Times New Roman" w:cs="Times New Roman"/>
          <w:i/>
          <w:iCs/>
          <w:sz w:val="20"/>
          <w:szCs w:val="16"/>
          <w:lang w:val="fr-BE" w:eastAsia="en-IE"/>
        </w:rPr>
        <w:t>23</w:t>
      </w:r>
      <w:r w:rsidR="005C053F">
        <w:rPr>
          <w:rFonts w:ascii="Times New Roman" w:eastAsia="Times New Roman" w:hAnsi="Times New Roman" w:cs="Times New Roman"/>
          <w:i/>
          <w:iCs/>
          <w:sz w:val="20"/>
          <w:szCs w:val="16"/>
          <w:lang w:val="fr-BE" w:eastAsia="en-IE"/>
        </w:rPr>
        <w:t>.</w:t>
      </w:r>
      <w:r w:rsidR="00A23485" w:rsidRPr="00580DA5">
        <w:rPr>
          <w:rFonts w:ascii="Times New Roman" w:eastAsia="Times New Roman" w:hAnsi="Times New Roman" w:cs="Times New Roman"/>
          <w:i/>
          <w:iCs/>
          <w:sz w:val="20"/>
          <w:szCs w:val="16"/>
          <w:lang w:val="fr-BE" w:eastAsia="en-IE"/>
        </w:rPr>
        <w:t xml:space="preserve"> </w:t>
      </w:r>
      <w:r>
        <w:rPr>
          <w:rFonts w:ascii="Times New Roman" w:eastAsia="Times New Roman" w:hAnsi="Times New Roman" w:cs="Times New Roman"/>
          <w:i/>
          <w:iCs/>
          <w:sz w:val="20"/>
          <w:szCs w:val="16"/>
          <w:lang w:val="fr-BE" w:eastAsia="en-IE"/>
        </w:rPr>
        <w:t>[…]</w:t>
      </w:r>
      <w:r w:rsidR="00A23485" w:rsidRPr="00580DA5">
        <w:rPr>
          <w:rFonts w:ascii="Times New Roman" w:eastAsia="Times New Roman" w:hAnsi="Times New Roman" w:cs="Times New Roman"/>
          <w:i/>
          <w:iCs/>
          <w:sz w:val="20"/>
          <w:szCs w:val="16"/>
          <w:lang w:val="fr-BE" w:eastAsia="en-IE"/>
        </w:rPr>
        <w:t xml:space="preserve"> il convient, en premier lieu, de souligner que l'obligation de marquage en cause dans l'affaire au principal constitue, selon la définition donnée à cette notion par l'article 1er , point 5, de la directive 83/189, une règle technique de jure étant donné que son « observation est obligatoire ... pour la commercialisation » du produit concerné et qu'il s'agit, selon la définition donnée à cette notion par le point 1 dudit article, d'une spécification technique étant donné que la règle définit « les caractéristiques requises d'un produit, telles que ... les prescriptions applicables au produit en ce qui concerne ... le marquage et l'étiquetage... ». </w:t>
      </w:r>
    </w:p>
    <w:p w14:paraId="1211FAC1" w14:textId="77777777" w:rsidR="00A23485" w:rsidRDefault="00A23485"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BE" w:eastAsia="en-IE"/>
        </w:rPr>
      </w:pPr>
    </w:p>
    <w:p w14:paraId="56CD72DD" w14:textId="77777777" w:rsidR="00A23485" w:rsidRDefault="00A23485"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xml:space="preserve">24. </w:t>
      </w:r>
      <w:r w:rsidRPr="00580DA5">
        <w:rPr>
          <w:rFonts w:ascii="Times New Roman" w:eastAsia="Times New Roman" w:hAnsi="Times New Roman" w:cs="Times New Roman"/>
          <w:i/>
          <w:iCs/>
          <w:sz w:val="20"/>
          <w:szCs w:val="16"/>
          <w:lang w:val="fr-BE" w:eastAsia="en-IE"/>
        </w:rPr>
        <w:t xml:space="preserve">II convient d'observer, en second lieu, que le marquage en cause a notamment pour objectif d'informer le public quant aux effets des produits sur l'environnement et que le gouvernement belge a confirmé l'importance qui devait être attachée à cet aspect des règles relatives au marquage. L'objectif de l'écotaxe, qui vise la protection de l'environnement, est donc renforcé par le marquage qui, à l'instar d'autres labels écologiques liés ou non à des écotaxes, rappellent aux consommateurs les effets nocifs des produits en cause sur l'environnement. </w:t>
      </w:r>
    </w:p>
    <w:p w14:paraId="22BC5D55" w14:textId="77777777" w:rsidR="00A23485" w:rsidRDefault="00A23485"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BE" w:eastAsia="en-IE"/>
        </w:rPr>
      </w:pPr>
    </w:p>
    <w:p w14:paraId="2F553F93" w14:textId="30378730" w:rsidR="00A23485" w:rsidRPr="00580DA5" w:rsidRDefault="00A23485" w:rsidP="00AA4F20">
      <w:pPr>
        <w:widowControl w:val="0"/>
        <w:autoSpaceDE w:val="0"/>
        <w:autoSpaceDN w:val="0"/>
        <w:spacing w:after="0" w:line="240" w:lineRule="auto"/>
        <w:ind w:left="510"/>
        <w:jc w:val="both"/>
        <w:rPr>
          <w:rFonts w:ascii="Times New Roman" w:eastAsia="Times New Roman" w:hAnsi="Times New Roman" w:cs="Times New Roman"/>
          <w:i/>
          <w:iCs/>
          <w:sz w:val="20"/>
          <w:szCs w:val="16"/>
          <w:lang w:val="fr" w:eastAsia="en-IE"/>
        </w:rPr>
      </w:pPr>
      <w:r w:rsidRPr="00580DA5">
        <w:rPr>
          <w:rFonts w:ascii="Times New Roman" w:eastAsia="Times New Roman" w:hAnsi="Times New Roman" w:cs="Times New Roman"/>
          <w:i/>
          <w:iCs/>
          <w:sz w:val="20"/>
          <w:szCs w:val="16"/>
          <w:lang w:val="fr-BE" w:eastAsia="en-IE"/>
        </w:rPr>
        <w:lastRenderedPageBreak/>
        <w:t>25</w:t>
      </w:r>
      <w:r w:rsidR="005C053F">
        <w:rPr>
          <w:rFonts w:ascii="Times New Roman" w:eastAsia="Times New Roman" w:hAnsi="Times New Roman" w:cs="Times New Roman"/>
          <w:i/>
          <w:iCs/>
          <w:sz w:val="20"/>
          <w:szCs w:val="16"/>
          <w:lang w:val="fr-BE" w:eastAsia="en-IE"/>
        </w:rPr>
        <w:t>.</w:t>
      </w:r>
      <w:r w:rsidRPr="00580DA5">
        <w:rPr>
          <w:rFonts w:ascii="Times New Roman" w:eastAsia="Times New Roman" w:hAnsi="Times New Roman" w:cs="Times New Roman"/>
          <w:i/>
          <w:iCs/>
          <w:sz w:val="20"/>
          <w:szCs w:val="16"/>
          <w:lang w:val="fr-BE" w:eastAsia="en-IE"/>
        </w:rPr>
        <w:t xml:space="preserve"> Dès lors, il y a lieu de constater que l'obligation de marquage en cause, ne pouvant en aucune manière être considérée comme étant exclusivement une mesure d'accompagnement fiscal, ne constitue pas une exigence liée à une mesure fiscale au sens de l'article 1er , point 9, deuxième alinéa, troisième tiret, de la directive 83/189, telle que modifiée par la directive 94/10.</w:t>
      </w:r>
      <w:r>
        <w:rPr>
          <w:rFonts w:ascii="Times New Roman" w:eastAsia="Times New Roman" w:hAnsi="Times New Roman" w:cs="Times New Roman"/>
          <w:i/>
          <w:iCs/>
          <w:sz w:val="20"/>
          <w:szCs w:val="16"/>
          <w:lang w:val="fr-BE" w:eastAsia="en-IE"/>
        </w:rPr>
        <w:t> »</w:t>
      </w:r>
    </w:p>
    <w:p w14:paraId="2A051963" w14:textId="77777777" w:rsidR="00A23485" w:rsidRDefault="00A23485" w:rsidP="00AA4F20">
      <w:pPr>
        <w:pStyle w:val="BodyText"/>
        <w:rPr>
          <w:i/>
          <w:iCs/>
          <w:sz w:val="20"/>
        </w:rPr>
      </w:pPr>
    </w:p>
    <w:p w14:paraId="0C96C56C" w14:textId="00811DB7" w:rsidR="00A23485" w:rsidRPr="00E60C4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7" w:history="1">
        <w:r w:rsidR="00A23485" w:rsidRPr="00E60C42">
          <w:rPr>
            <w:rFonts w:ascii="Times New Roman" w:eastAsia="Times New Roman" w:hAnsi="Times New Roman" w:cs="Times New Roman"/>
            <w:b/>
            <w:i/>
            <w:color w:val="0000FF"/>
            <w:szCs w:val="20"/>
            <w:u w:val="single"/>
            <w:lang w:val="fr" w:eastAsia="en-IE"/>
          </w:rPr>
          <w:t>Arrêt du 10 juillet 2014,</w:t>
        </w:r>
      </w:hyperlink>
      <w:r w:rsidR="00A23485"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Ivansson</w:t>
      </w:r>
      <w:proofErr w:type="spellEnd"/>
      <w:r w:rsidR="00437A3E" w:rsidRPr="00E60C42">
        <w:rPr>
          <w:rFonts w:ascii="Times New Roman" w:eastAsia="Times New Roman" w:hAnsi="Times New Roman" w:cs="Times New Roman"/>
          <w:b/>
          <w:i/>
          <w:szCs w:val="20"/>
          <w:lang w:val="fr" w:eastAsia="en-IE"/>
        </w:rPr>
        <w:t xml:space="preserve"> e.a</w:t>
      </w:r>
      <w:r w:rsidR="00437A3E">
        <w:rPr>
          <w:rFonts w:ascii="Times New Roman" w:eastAsia="Times New Roman" w:hAnsi="Times New Roman" w:cs="Times New Roman"/>
          <w:b/>
          <w:i/>
          <w:szCs w:val="20"/>
          <w:lang w:val="fr" w:eastAsia="en-IE"/>
        </w:rPr>
        <w:t>.</w:t>
      </w:r>
      <w:r w:rsidR="00437A3E" w:rsidRPr="00E60C42">
        <w:rPr>
          <w:rFonts w:ascii="Times New Roman" w:eastAsia="Times New Roman" w:hAnsi="Times New Roman" w:cs="Times New Roman"/>
          <w:sz w:val="25"/>
          <w:szCs w:val="20"/>
          <w:lang w:val="fr" w:eastAsia="en-IE"/>
        </w:rPr>
        <w:t>,</w:t>
      </w:r>
      <w:r w:rsidR="00437A3E" w:rsidRPr="00E60C42">
        <w:rPr>
          <w:rFonts w:ascii="Times New Roman" w:eastAsia="Times New Roman" w:hAnsi="Times New Roman" w:cs="Times New Roman"/>
          <w:b/>
          <w:i/>
          <w:szCs w:val="20"/>
          <w:lang w:val="fr" w:eastAsia="en-IE"/>
        </w:rPr>
        <w:t xml:space="preserve"> </w:t>
      </w:r>
      <w:r w:rsidR="00A23485" w:rsidRPr="00E60C42">
        <w:rPr>
          <w:rFonts w:ascii="Times New Roman" w:eastAsia="Times New Roman" w:hAnsi="Times New Roman" w:cs="Times New Roman"/>
          <w:b/>
          <w:i/>
          <w:szCs w:val="20"/>
          <w:lang w:val="fr" w:eastAsia="en-IE"/>
        </w:rPr>
        <w:t xml:space="preserve">C-307/13, EU:C:2014:2058, points 30 </w:t>
      </w:r>
      <w:r w:rsidR="00F3747E">
        <w:rPr>
          <w:rFonts w:ascii="Times New Roman" w:eastAsia="Times New Roman" w:hAnsi="Times New Roman" w:cs="Times New Roman"/>
          <w:b/>
          <w:i/>
          <w:szCs w:val="20"/>
          <w:lang w:val="fr" w:eastAsia="en-IE"/>
        </w:rPr>
        <w:t>et</w:t>
      </w:r>
      <w:r w:rsidR="00A23485" w:rsidRPr="00E60C42">
        <w:rPr>
          <w:rFonts w:ascii="Times New Roman" w:eastAsia="Times New Roman" w:hAnsi="Times New Roman" w:cs="Times New Roman"/>
          <w:b/>
          <w:i/>
          <w:szCs w:val="20"/>
          <w:lang w:val="fr" w:eastAsia="en-IE"/>
        </w:rPr>
        <w:t xml:space="preserve"> 31</w:t>
      </w:r>
    </w:p>
    <w:p w14:paraId="0F2071D7" w14:textId="77777777" w:rsidR="00A23485" w:rsidRPr="00E60C42"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ABC0205" w14:textId="77777777" w:rsidR="00A23485" w:rsidRPr="00E60C42" w:rsidRDefault="00A23485" w:rsidP="00AA4F20">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lang w:val="fr" w:eastAsia="en-IE"/>
        </w:rPr>
      </w:pPr>
      <w:r w:rsidRPr="00E60C42">
        <w:rPr>
          <w:rFonts w:ascii="Times New Roman" w:eastAsia="Times New Roman" w:hAnsi="Times New Roman" w:cs="Times New Roman"/>
          <w:szCs w:val="20"/>
          <w:lang w:val="fr" w:eastAsia="en-IE"/>
        </w:rPr>
        <w:t>Une référence à des règles administratives détaillées contenant des « spécifications techniques » ou d’« autres exigences » peut conférer à un projet de notification le statut de « règle technique de facto ».</w:t>
      </w:r>
    </w:p>
    <w:p w14:paraId="49A66D81" w14:textId="77777777" w:rsidR="00A23485" w:rsidRPr="00E60C42" w:rsidRDefault="00A23485" w:rsidP="00AA4F20">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lang w:val="fr" w:eastAsia="en-IE"/>
        </w:rPr>
      </w:pPr>
    </w:p>
    <w:p w14:paraId="10C3D917" w14:textId="1E1E7EEF" w:rsidR="00A23485" w:rsidRPr="00E60C42" w:rsidRDefault="00A23485"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60C42">
        <w:rPr>
          <w:rFonts w:ascii="Times New Roman" w:eastAsia="Times New Roman" w:hAnsi="Times New Roman" w:cs="Times New Roman"/>
          <w:i/>
          <w:iCs/>
          <w:sz w:val="20"/>
          <w:szCs w:val="16"/>
          <w:lang w:val="fr" w:eastAsia="en-IE"/>
        </w:rPr>
        <w:t>« </w:t>
      </w:r>
      <w:r w:rsidRPr="00E60C42">
        <w:rPr>
          <w:rFonts w:ascii="Times New Roman" w:eastAsia="Times New Roman" w:hAnsi="Times New Roman" w:cs="Times New Roman"/>
          <w:i/>
          <w:iCs/>
          <w:sz w:val="20"/>
          <w:szCs w:val="16"/>
          <w:lang w:val="fr-BE" w:eastAsia="en-IE"/>
        </w:rPr>
        <w:t>30</w:t>
      </w:r>
      <w:r w:rsidR="005C053F">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 xml:space="preserve">Force est, enfin, de constater que si cet article </w:t>
      </w:r>
      <w:r w:rsidR="002829DC" w:rsidRPr="002829DC">
        <w:rPr>
          <w:rFonts w:ascii="Times New Roman" w:eastAsia="Times New Roman" w:hAnsi="Times New Roman" w:cs="Times New Roman"/>
          <w:sz w:val="20"/>
          <w:szCs w:val="16"/>
          <w:lang w:val="fr-BE" w:eastAsia="en-IE"/>
        </w:rPr>
        <w:t xml:space="preserve">[de la loi nationale] </w:t>
      </w:r>
      <w:r w:rsidRPr="00E60C42">
        <w:rPr>
          <w:rFonts w:ascii="Times New Roman" w:eastAsia="Times New Roman" w:hAnsi="Times New Roman" w:cs="Times New Roman"/>
          <w:i/>
          <w:iCs/>
          <w:sz w:val="20"/>
          <w:szCs w:val="16"/>
          <w:lang w:val="fr-BE" w:eastAsia="en-IE"/>
        </w:rPr>
        <w:t>ne constitue pas en lui-même une règle technique, il fait référence, à son second alinéa, à des règles plus détaillées sur les modes d’élevage des poules qui seraient ultérieurement communiquées par l’entité responsable pour la protection des animaux.</w:t>
      </w:r>
    </w:p>
    <w:p w14:paraId="446BF80F" w14:textId="77777777" w:rsidR="00A23485" w:rsidRPr="00E60C42" w:rsidRDefault="00A23485"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D1833D5" w14:textId="580BFFBF" w:rsidR="00A23485" w:rsidRPr="00E60C42" w:rsidRDefault="00A23485"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60C42">
        <w:rPr>
          <w:rFonts w:ascii="Times New Roman" w:eastAsia="Times New Roman" w:hAnsi="Times New Roman" w:cs="Times New Roman"/>
          <w:i/>
          <w:iCs/>
          <w:sz w:val="20"/>
          <w:szCs w:val="16"/>
          <w:lang w:val="fr-BE" w:eastAsia="en-IE"/>
        </w:rPr>
        <w:t>31</w:t>
      </w:r>
      <w:r w:rsidR="005C053F">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Un tel renvoi à des règles administratives plus détaillées serait susceptible, sous réserve que lesdites règles puissent être considérées comme constituant en elles-mêmes des «spécifications techniques» ou d’«autres exigences», de conférer à l’article 9 du décret (1988:539) la qualité de «règle technique de facto» conformément au premier tiret de l’article 1</w:t>
      </w:r>
      <w:r w:rsidRPr="00E60C42">
        <w:rPr>
          <w:rFonts w:ascii="Times New Roman" w:eastAsia="Times New Roman" w:hAnsi="Times New Roman" w:cs="Times New Roman"/>
          <w:i/>
          <w:iCs/>
          <w:sz w:val="20"/>
          <w:szCs w:val="16"/>
          <w:vertAlign w:val="superscript"/>
          <w:lang w:val="fr-BE" w:eastAsia="en-IE"/>
        </w:rPr>
        <w:t>er</w:t>
      </w:r>
      <w:r w:rsidRPr="00E60C42">
        <w:rPr>
          <w:rFonts w:ascii="Times New Roman" w:eastAsia="Times New Roman" w:hAnsi="Times New Roman" w:cs="Times New Roman"/>
          <w:i/>
          <w:iCs/>
          <w:sz w:val="20"/>
          <w:szCs w:val="16"/>
          <w:lang w:val="fr-BE" w:eastAsia="en-IE"/>
        </w:rPr>
        <w:t>, point 11, de la directive 98/34.»</w:t>
      </w:r>
    </w:p>
    <w:p w14:paraId="770077A5" w14:textId="77777777" w:rsidR="00A23485" w:rsidRDefault="00A23485" w:rsidP="00AA4F20">
      <w:pPr>
        <w:pStyle w:val="BodyText"/>
        <w:rPr>
          <w:i/>
          <w:iCs/>
          <w:sz w:val="20"/>
          <w:lang w:val="fr-BE"/>
        </w:rPr>
      </w:pPr>
    </w:p>
    <w:p w14:paraId="0CF29864" w14:textId="3A44DDB6" w:rsidR="00A23485" w:rsidRPr="00E60C4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8" w:anchor="ctx1" w:history="1">
        <w:r w:rsidR="00A23485" w:rsidRPr="00E60C42">
          <w:rPr>
            <w:rFonts w:ascii="Times New Roman" w:eastAsia="Times New Roman" w:hAnsi="Times New Roman" w:cs="Times New Roman"/>
            <w:b/>
            <w:i/>
            <w:color w:val="0000FF"/>
            <w:szCs w:val="20"/>
            <w:u w:val="single"/>
            <w:lang w:val="fr" w:eastAsia="en-IE"/>
          </w:rPr>
          <w:t>Arrêt du 11 juin 2015</w:t>
        </w:r>
      </w:hyperlink>
      <w:r w:rsidR="00A23485"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Berlington</w:t>
      </w:r>
      <w:proofErr w:type="spellEnd"/>
      <w:r w:rsidR="00437A3E" w:rsidRPr="00E60C42">
        <w:rPr>
          <w:rFonts w:ascii="Times New Roman" w:eastAsia="Times New Roman" w:hAnsi="Times New Roman" w:cs="Times New Roman"/>
          <w:b/>
          <w:i/>
          <w:szCs w:val="20"/>
          <w:lang w:val="fr" w:eastAsia="en-IE"/>
        </w:rPr>
        <w:t xml:space="preserve"> </w:t>
      </w:r>
      <w:proofErr w:type="spellStart"/>
      <w:r w:rsidR="00437A3E" w:rsidRPr="00E60C42">
        <w:rPr>
          <w:rFonts w:ascii="Times New Roman" w:eastAsia="Times New Roman" w:hAnsi="Times New Roman" w:cs="Times New Roman"/>
          <w:b/>
          <w:i/>
          <w:szCs w:val="20"/>
          <w:lang w:val="fr" w:eastAsia="en-IE"/>
        </w:rPr>
        <w:t>Hungary</w:t>
      </w:r>
      <w:proofErr w:type="spellEnd"/>
      <w:r w:rsidR="00437A3E" w:rsidRPr="00E60C42">
        <w:rPr>
          <w:rFonts w:ascii="Times New Roman" w:eastAsia="Times New Roman" w:hAnsi="Times New Roman" w:cs="Times New Roman"/>
          <w:b/>
          <w:i/>
          <w:szCs w:val="20"/>
          <w:lang w:val="fr" w:eastAsia="en-IE"/>
        </w:rPr>
        <w:t xml:space="preserve"> e.a., </w:t>
      </w:r>
      <w:r w:rsidR="00A23485" w:rsidRPr="00E60C42">
        <w:rPr>
          <w:rFonts w:ascii="Times New Roman" w:eastAsia="Times New Roman" w:hAnsi="Times New Roman" w:cs="Times New Roman"/>
          <w:b/>
          <w:i/>
          <w:szCs w:val="20"/>
          <w:lang w:val="fr" w:eastAsia="en-IE"/>
        </w:rPr>
        <w:t xml:space="preserve">C-98/14, </w:t>
      </w:r>
      <w:r w:rsidR="0051744C" w:rsidRPr="00E60C42">
        <w:rPr>
          <w:rFonts w:ascii="Times New Roman" w:eastAsia="Times New Roman" w:hAnsi="Times New Roman" w:cs="Times New Roman"/>
          <w:b/>
          <w:i/>
          <w:szCs w:val="20"/>
          <w:lang w:val="fr" w:eastAsia="en-IE"/>
        </w:rPr>
        <w:t>EU:C:2015:386</w:t>
      </w:r>
      <w:r w:rsidR="0051744C">
        <w:rPr>
          <w:rFonts w:ascii="Times New Roman" w:eastAsia="Times New Roman" w:hAnsi="Times New Roman" w:cs="Times New Roman"/>
          <w:b/>
          <w:i/>
          <w:szCs w:val="20"/>
          <w:lang w:val="fr" w:eastAsia="en-IE"/>
        </w:rPr>
        <w:t xml:space="preserve">, </w:t>
      </w:r>
      <w:r w:rsidR="00A23485" w:rsidRPr="00E60C42">
        <w:rPr>
          <w:rFonts w:ascii="Times New Roman" w:eastAsia="Times New Roman" w:hAnsi="Times New Roman" w:cs="Times New Roman"/>
          <w:b/>
          <w:i/>
          <w:szCs w:val="20"/>
          <w:lang w:val="fr" w:eastAsia="en-IE"/>
        </w:rPr>
        <w:t>points 9</w:t>
      </w:r>
      <w:r w:rsidR="00A23485">
        <w:rPr>
          <w:rFonts w:ascii="Times New Roman" w:eastAsia="Times New Roman" w:hAnsi="Times New Roman" w:cs="Times New Roman"/>
          <w:b/>
          <w:i/>
          <w:szCs w:val="20"/>
          <w:lang w:val="fr" w:eastAsia="en-IE"/>
        </w:rPr>
        <w:t>5</w:t>
      </w:r>
      <w:r w:rsidR="00A23485" w:rsidRPr="00E60C42">
        <w:rPr>
          <w:rFonts w:ascii="Times New Roman" w:eastAsia="Times New Roman" w:hAnsi="Times New Roman" w:cs="Times New Roman"/>
          <w:b/>
          <w:i/>
          <w:szCs w:val="20"/>
          <w:lang w:val="fr" w:eastAsia="en-IE"/>
        </w:rPr>
        <w:t xml:space="preserve"> à 9</w:t>
      </w:r>
      <w:r w:rsidR="00A23485">
        <w:rPr>
          <w:rFonts w:ascii="Times New Roman" w:eastAsia="Times New Roman" w:hAnsi="Times New Roman" w:cs="Times New Roman"/>
          <w:b/>
          <w:i/>
          <w:szCs w:val="20"/>
          <w:lang w:val="fr" w:eastAsia="en-IE"/>
        </w:rPr>
        <w:t>7</w:t>
      </w:r>
    </w:p>
    <w:p w14:paraId="51CCE70E" w14:textId="77777777" w:rsidR="00A23485" w:rsidRPr="00E60C42"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3CC8DCCD" w14:textId="152D2442" w:rsidR="00A23485" w:rsidRPr="00E60C42" w:rsidRDefault="00A23485" w:rsidP="00AA4F20">
      <w:pPr>
        <w:widowControl w:val="0"/>
        <w:tabs>
          <w:tab w:val="left" w:pos="396"/>
          <w:tab w:val="left" w:pos="398"/>
        </w:tabs>
        <w:autoSpaceDE w:val="0"/>
        <w:autoSpaceDN w:val="0"/>
        <w:spacing w:after="0" w:line="240" w:lineRule="auto"/>
        <w:jc w:val="both"/>
        <w:rPr>
          <w:rFonts w:ascii="Times New Roman" w:eastAsia="Times New Roman" w:hAnsi="Times New Roman" w:cs="Times New Roman"/>
          <w:szCs w:val="20"/>
          <w:lang w:val="fr" w:eastAsia="en-IE"/>
        </w:rPr>
      </w:pPr>
      <w:r w:rsidRPr="00E60C42">
        <w:rPr>
          <w:rFonts w:ascii="Times New Roman" w:eastAsia="Times New Roman" w:hAnsi="Times New Roman" w:cs="Times New Roman"/>
          <w:szCs w:val="20"/>
          <w:lang w:val="fr" w:eastAsia="en-IE"/>
        </w:rPr>
        <w:t>Les dispositions nationales qui multiplient par cinq la taxe à payer sur les machines à sous exploitées dans les salles de jeux et introduisent, en outre, une taxe proportionnelle sur cette activité ne constituent pas des «</w:t>
      </w:r>
      <w:r w:rsidR="008224AE">
        <w:rPr>
          <w:rFonts w:ascii="Times New Roman" w:eastAsia="Times New Roman" w:hAnsi="Times New Roman" w:cs="Times New Roman"/>
          <w:szCs w:val="20"/>
          <w:lang w:val="fr" w:eastAsia="en-IE"/>
        </w:rPr>
        <w:t xml:space="preserve"> </w:t>
      </w:r>
      <w:r w:rsidRPr="00E60C42">
        <w:rPr>
          <w:rFonts w:ascii="Times New Roman" w:eastAsia="Times New Roman" w:hAnsi="Times New Roman" w:cs="Times New Roman"/>
          <w:szCs w:val="20"/>
          <w:lang w:val="fr" w:eastAsia="en-IE"/>
        </w:rPr>
        <w:t>règles techniques</w:t>
      </w:r>
      <w:r>
        <w:rPr>
          <w:rFonts w:ascii="Times New Roman" w:eastAsia="Times New Roman" w:hAnsi="Times New Roman" w:cs="Times New Roman"/>
          <w:szCs w:val="20"/>
          <w:lang w:val="fr" w:eastAsia="en-IE"/>
        </w:rPr>
        <w:t xml:space="preserve"> de facto</w:t>
      </w:r>
      <w:r w:rsidR="008224AE">
        <w:rPr>
          <w:rFonts w:ascii="Times New Roman" w:eastAsia="Times New Roman" w:hAnsi="Times New Roman" w:cs="Times New Roman"/>
          <w:szCs w:val="20"/>
          <w:lang w:val="fr" w:eastAsia="en-IE"/>
        </w:rPr>
        <w:t xml:space="preserve"> </w:t>
      </w:r>
      <w:r w:rsidRPr="00E60C42">
        <w:rPr>
          <w:rFonts w:ascii="Times New Roman" w:eastAsia="Times New Roman" w:hAnsi="Times New Roman" w:cs="Times New Roman"/>
          <w:szCs w:val="20"/>
          <w:lang w:val="fr" w:eastAsia="en-IE"/>
        </w:rPr>
        <w:t>»</w:t>
      </w:r>
      <w:r>
        <w:rPr>
          <w:rFonts w:ascii="Times New Roman" w:eastAsia="Times New Roman" w:hAnsi="Times New Roman" w:cs="Times New Roman"/>
          <w:szCs w:val="20"/>
          <w:lang w:val="fr" w:eastAsia="en-IE"/>
        </w:rPr>
        <w:t xml:space="preserve"> car il s’agit d</w:t>
      </w:r>
      <w:r w:rsidR="002829DC">
        <w:rPr>
          <w:rFonts w:ascii="Times New Roman" w:eastAsia="Times New Roman" w:hAnsi="Times New Roman" w:cs="Times New Roman"/>
          <w:szCs w:val="20"/>
          <w:lang w:val="fr" w:eastAsia="en-IE"/>
        </w:rPr>
        <w:t xml:space="preserve">e </w:t>
      </w:r>
      <w:r>
        <w:rPr>
          <w:rFonts w:ascii="Times New Roman" w:eastAsia="Times New Roman" w:hAnsi="Times New Roman" w:cs="Times New Roman"/>
          <w:szCs w:val="20"/>
          <w:lang w:val="fr" w:eastAsia="en-IE"/>
        </w:rPr>
        <w:t>disposition</w:t>
      </w:r>
      <w:r w:rsidR="002829DC">
        <w:rPr>
          <w:rFonts w:ascii="Times New Roman" w:eastAsia="Times New Roman" w:hAnsi="Times New Roman" w:cs="Times New Roman"/>
          <w:szCs w:val="20"/>
          <w:lang w:val="fr" w:eastAsia="en-IE"/>
        </w:rPr>
        <w:t>s</w:t>
      </w:r>
      <w:r>
        <w:rPr>
          <w:rFonts w:ascii="Times New Roman" w:eastAsia="Times New Roman" w:hAnsi="Times New Roman" w:cs="Times New Roman"/>
          <w:szCs w:val="20"/>
          <w:lang w:val="fr" w:eastAsia="en-IE"/>
        </w:rPr>
        <w:t xml:space="preserve"> fiscale</w:t>
      </w:r>
      <w:r w:rsidR="002829DC">
        <w:rPr>
          <w:rFonts w:ascii="Times New Roman" w:eastAsia="Times New Roman" w:hAnsi="Times New Roman" w:cs="Times New Roman"/>
          <w:szCs w:val="20"/>
          <w:lang w:val="fr" w:eastAsia="en-IE"/>
        </w:rPr>
        <w:t>s</w:t>
      </w:r>
      <w:r>
        <w:rPr>
          <w:rFonts w:ascii="Times New Roman" w:eastAsia="Times New Roman" w:hAnsi="Times New Roman" w:cs="Times New Roman"/>
          <w:szCs w:val="20"/>
          <w:lang w:val="fr" w:eastAsia="en-IE"/>
        </w:rPr>
        <w:t xml:space="preserve"> et non </w:t>
      </w:r>
      <w:r w:rsidR="002829DC">
        <w:rPr>
          <w:rFonts w:ascii="Times New Roman" w:eastAsia="Times New Roman" w:hAnsi="Times New Roman" w:cs="Times New Roman"/>
          <w:szCs w:val="20"/>
          <w:lang w:val="fr" w:eastAsia="en-IE"/>
        </w:rPr>
        <w:t>de</w:t>
      </w:r>
      <w:r>
        <w:rPr>
          <w:rFonts w:ascii="Times New Roman" w:eastAsia="Times New Roman" w:hAnsi="Times New Roman" w:cs="Times New Roman"/>
          <w:szCs w:val="20"/>
          <w:lang w:val="fr" w:eastAsia="en-IE"/>
        </w:rPr>
        <w:t xml:space="preserve"> </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spécification</w:t>
      </w:r>
      <w:r w:rsidR="002829DC">
        <w:rPr>
          <w:rFonts w:ascii="Times New Roman" w:eastAsia="Times New Roman" w:hAnsi="Times New Roman" w:cs="Times New Roman"/>
          <w:szCs w:val="20"/>
          <w:lang w:val="fr" w:eastAsia="en-IE"/>
        </w:rPr>
        <w:t>s</w:t>
      </w:r>
      <w:r>
        <w:rPr>
          <w:rFonts w:ascii="Times New Roman" w:eastAsia="Times New Roman" w:hAnsi="Times New Roman" w:cs="Times New Roman"/>
          <w:szCs w:val="20"/>
          <w:lang w:val="fr" w:eastAsia="en-IE"/>
        </w:rPr>
        <w:t xml:space="preserve"> technique</w:t>
      </w:r>
      <w:r w:rsidR="002829DC">
        <w:rPr>
          <w:rFonts w:ascii="Times New Roman" w:eastAsia="Times New Roman" w:hAnsi="Times New Roman" w:cs="Times New Roman"/>
          <w:szCs w:val="20"/>
          <w:lang w:val="fr" w:eastAsia="en-IE"/>
        </w:rPr>
        <w:t>s</w:t>
      </w:r>
      <w:r w:rsidR="008224AE">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liée</w:t>
      </w:r>
      <w:r w:rsidR="002829DC">
        <w:rPr>
          <w:rFonts w:ascii="Times New Roman" w:eastAsia="Times New Roman" w:hAnsi="Times New Roman" w:cs="Times New Roman"/>
          <w:szCs w:val="20"/>
          <w:lang w:val="fr" w:eastAsia="en-IE"/>
        </w:rPr>
        <w:t>s</w:t>
      </w:r>
      <w:r>
        <w:rPr>
          <w:rFonts w:ascii="Times New Roman" w:eastAsia="Times New Roman" w:hAnsi="Times New Roman" w:cs="Times New Roman"/>
          <w:szCs w:val="20"/>
          <w:lang w:val="fr" w:eastAsia="en-IE"/>
        </w:rPr>
        <w:t xml:space="preserve"> à une règle fiscale</w:t>
      </w:r>
      <w:r w:rsidR="00F35643">
        <w:rPr>
          <w:rFonts w:ascii="Times New Roman" w:eastAsia="Times New Roman" w:hAnsi="Times New Roman" w:cs="Times New Roman"/>
          <w:szCs w:val="20"/>
          <w:lang w:val="fr" w:eastAsia="en-IE"/>
        </w:rPr>
        <w:t> » au sens de la directive.</w:t>
      </w:r>
    </w:p>
    <w:p w14:paraId="00CB80B7" w14:textId="77777777" w:rsidR="00A23485" w:rsidRPr="00E60C42" w:rsidRDefault="00A23485" w:rsidP="00AA4F20">
      <w:pPr>
        <w:widowControl w:val="0"/>
        <w:tabs>
          <w:tab w:val="left" w:pos="396"/>
          <w:tab w:val="left" w:pos="449"/>
        </w:tabs>
        <w:autoSpaceDE w:val="0"/>
        <w:autoSpaceDN w:val="0"/>
        <w:spacing w:after="0" w:line="240" w:lineRule="auto"/>
        <w:jc w:val="both"/>
        <w:rPr>
          <w:rFonts w:ascii="Times New Roman" w:eastAsia="Times New Roman" w:hAnsi="Times New Roman" w:cs="Times New Roman"/>
          <w:i/>
          <w:iCs/>
          <w:sz w:val="20"/>
          <w:szCs w:val="16"/>
          <w:lang w:val="fr" w:eastAsia="en-IE"/>
        </w:rPr>
      </w:pPr>
    </w:p>
    <w:p w14:paraId="1A159099" w14:textId="18292C69" w:rsidR="00A23485" w:rsidRPr="00E60C42" w:rsidRDefault="00A23485"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60C42">
        <w:rPr>
          <w:rFonts w:ascii="Times New Roman" w:eastAsia="Times New Roman" w:hAnsi="Times New Roman" w:cs="Times New Roman"/>
          <w:i/>
          <w:iCs/>
          <w:sz w:val="20"/>
          <w:szCs w:val="16"/>
          <w:lang w:val="fr" w:eastAsia="en-IE"/>
        </w:rPr>
        <w:t>« </w:t>
      </w:r>
      <w:bookmarkStart w:id="65" w:name="point95"/>
      <w:r w:rsidRPr="00E60C42">
        <w:rPr>
          <w:rFonts w:ascii="Times New Roman" w:eastAsia="Times New Roman" w:hAnsi="Times New Roman" w:cs="Times New Roman"/>
          <w:i/>
          <w:iCs/>
          <w:sz w:val="20"/>
          <w:szCs w:val="16"/>
          <w:lang w:val="fr-BE" w:eastAsia="en-IE"/>
        </w:rPr>
        <w:t>95</w:t>
      </w:r>
      <w:bookmarkEnd w:id="65"/>
      <w:r w:rsidR="005C053F">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Aux termes dudit article 1</w:t>
      </w:r>
      <w:r w:rsidRPr="00E60C42">
        <w:rPr>
          <w:rFonts w:ascii="Times New Roman" w:eastAsia="Times New Roman" w:hAnsi="Times New Roman" w:cs="Times New Roman"/>
          <w:i/>
          <w:iCs/>
          <w:sz w:val="20"/>
          <w:szCs w:val="16"/>
          <w:vertAlign w:val="superscript"/>
          <w:lang w:val="fr-BE" w:eastAsia="en-IE"/>
        </w:rPr>
        <w:t>er</w:t>
      </w:r>
      <w:r w:rsidRPr="00E60C42">
        <w:rPr>
          <w:rFonts w:ascii="Times New Roman" w:eastAsia="Times New Roman" w:hAnsi="Times New Roman" w:cs="Times New Roman"/>
          <w:i/>
          <w:iCs/>
          <w:sz w:val="20"/>
          <w:szCs w:val="16"/>
          <w:lang w:val="fr-BE" w:eastAsia="en-IE"/>
        </w:rPr>
        <w:t>, point 11, troisième tiret, les «règles techniques de facto» au sens de cette disposition consistent en des «spécifications techniques ou [...] autres exigences ou [...] règles relatives aux services liées à des mesures fiscales ou financières qui affectent la consommation de produits ou de services en encourageant le respect de ces spécifications techniques ou autres exigences ou règles relatives aux services».</w:t>
      </w:r>
    </w:p>
    <w:p w14:paraId="48590630" w14:textId="77777777" w:rsidR="00A23485" w:rsidRPr="00E60C42" w:rsidRDefault="00A23485"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66" w:name="point96"/>
    </w:p>
    <w:p w14:paraId="1A4F4528" w14:textId="5ECAF6C0" w:rsidR="00A23485" w:rsidRPr="00E60C42" w:rsidRDefault="00A23485"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60C42">
        <w:rPr>
          <w:rFonts w:ascii="Times New Roman" w:eastAsia="Times New Roman" w:hAnsi="Times New Roman" w:cs="Times New Roman"/>
          <w:i/>
          <w:iCs/>
          <w:sz w:val="20"/>
          <w:szCs w:val="16"/>
          <w:lang w:val="fr-BE" w:eastAsia="en-IE"/>
        </w:rPr>
        <w:t>96</w:t>
      </w:r>
      <w:bookmarkEnd w:id="66"/>
      <w:r w:rsidR="005C053F">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Il ressort de ce libellé que la notion de «règles techniques de facto» désigne non pas les mesures fiscales elles</w:t>
      </w:r>
      <w:r w:rsidRPr="00E60C42">
        <w:rPr>
          <w:rFonts w:ascii="Times New Roman" w:eastAsia="Times New Roman" w:hAnsi="Times New Roman" w:cs="Times New Roman"/>
          <w:i/>
          <w:iCs/>
          <w:sz w:val="20"/>
          <w:szCs w:val="16"/>
          <w:lang w:val="fr-BE" w:eastAsia="en-IE"/>
        </w:rPr>
        <w:noBreakHyphen/>
        <w:t>mêmes, mais les spécifications techniques ou les autres exigences qui y sont liées.</w:t>
      </w:r>
    </w:p>
    <w:p w14:paraId="6E1CC5ED" w14:textId="77777777" w:rsidR="00A23485" w:rsidRPr="00E60C42" w:rsidRDefault="00A23485"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0E2105A" w14:textId="1E4A406F" w:rsidR="00A23485" w:rsidRDefault="00A23485" w:rsidP="00AA4F20">
      <w:pPr>
        <w:widowControl w:val="0"/>
        <w:tabs>
          <w:tab w:val="left" w:pos="396"/>
          <w:tab w:val="left" w:pos="44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67" w:name="point97"/>
      <w:r w:rsidRPr="00E60C42">
        <w:rPr>
          <w:rFonts w:ascii="Times New Roman" w:eastAsia="Times New Roman" w:hAnsi="Times New Roman" w:cs="Times New Roman"/>
          <w:i/>
          <w:iCs/>
          <w:sz w:val="20"/>
          <w:szCs w:val="16"/>
          <w:lang w:val="fr-BE" w:eastAsia="en-IE"/>
        </w:rPr>
        <w:t>97</w:t>
      </w:r>
      <w:bookmarkEnd w:id="67"/>
      <w:r w:rsidR="005C053F">
        <w:rPr>
          <w:rFonts w:ascii="Times New Roman" w:eastAsia="Times New Roman" w:hAnsi="Times New Roman" w:cs="Times New Roman"/>
          <w:i/>
          <w:iCs/>
          <w:sz w:val="20"/>
          <w:szCs w:val="16"/>
          <w:lang w:val="fr-BE" w:eastAsia="en-IE"/>
        </w:rPr>
        <w:t xml:space="preserve">. </w:t>
      </w:r>
      <w:r w:rsidRPr="00E60C42">
        <w:rPr>
          <w:rFonts w:ascii="Times New Roman" w:eastAsia="Times New Roman" w:hAnsi="Times New Roman" w:cs="Times New Roman"/>
          <w:i/>
          <w:iCs/>
          <w:sz w:val="20"/>
          <w:szCs w:val="16"/>
          <w:lang w:val="fr-BE" w:eastAsia="en-IE"/>
        </w:rPr>
        <w:t>Partant, une législation fiscale telle que celle en cause au principal, qui ne s’accompagne d’aucune spécification technique ni d’aucune autre exigence dont elle viserait à assurer le respect, ne saurait être qualifiée de «règle technique de facto».</w:t>
      </w:r>
      <w:r>
        <w:rPr>
          <w:rFonts w:ascii="Times New Roman" w:eastAsia="Times New Roman" w:hAnsi="Times New Roman" w:cs="Times New Roman"/>
          <w:i/>
          <w:iCs/>
          <w:sz w:val="20"/>
          <w:szCs w:val="16"/>
          <w:lang w:val="fr-BE" w:eastAsia="en-IE"/>
        </w:rPr>
        <w:t> »</w:t>
      </w:r>
    </w:p>
    <w:p w14:paraId="37BAFBC9" w14:textId="77777777" w:rsidR="00A23485" w:rsidRDefault="00A23485" w:rsidP="00AA4F20">
      <w:pPr>
        <w:pStyle w:val="BodyText"/>
        <w:rPr>
          <w:i/>
          <w:iCs/>
          <w:sz w:val="20"/>
          <w:lang w:val="fr-BE"/>
        </w:rPr>
      </w:pPr>
    </w:p>
    <w:p w14:paraId="7274149C" w14:textId="5FC019B2" w:rsidR="00A23485" w:rsidRPr="00B16110"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69" w:history="1">
        <w:r w:rsidR="00A23485" w:rsidRPr="00B16110">
          <w:rPr>
            <w:rFonts w:ascii="Times New Roman" w:eastAsia="Times New Roman" w:hAnsi="Times New Roman" w:cs="Times New Roman"/>
            <w:b/>
            <w:i/>
            <w:color w:val="0000FF"/>
            <w:szCs w:val="20"/>
            <w:u w:val="single"/>
            <w:lang w:val="fr" w:eastAsia="en-IE"/>
          </w:rPr>
          <w:t>Arrêt du 8 octobre 2020</w:t>
        </w:r>
      </w:hyperlink>
      <w:r w:rsidR="00A23485" w:rsidRPr="00B16110">
        <w:rPr>
          <w:rFonts w:ascii="Times New Roman" w:eastAsia="Times New Roman" w:hAnsi="Times New Roman" w:cs="Times New Roman"/>
          <w:b/>
          <w:i/>
          <w:szCs w:val="20"/>
          <w:lang w:val="fr" w:eastAsia="en-IE"/>
        </w:rPr>
        <w:t xml:space="preserve">, </w:t>
      </w:r>
      <w:proofErr w:type="spellStart"/>
      <w:r w:rsidR="00745699" w:rsidRPr="00B16110">
        <w:rPr>
          <w:rFonts w:ascii="Times New Roman" w:eastAsia="Times New Roman" w:hAnsi="Times New Roman" w:cs="Times New Roman"/>
          <w:b/>
          <w:i/>
          <w:szCs w:val="20"/>
          <w:lang w:val="fr" w:eastAsia="en-IE"/>
        </w:rPr>
        <w:t>Admiral</w:t>
      </w:r>
      <w:proofErr w:type="spellEnd"/>
      <w:r w:rsidR="00745699" w:rsidRPr="00B16110">
        <w:rPr>
          <w:rFonts w:ascii="Times New Roman" w:eastAsia="Times New Roman" w:hAnsi="Times New Roman" w:cs="Times New Roman"/>
          <w:b/>
          <w:i/>
          <w:szCs w:val="20"/>
          <w:lang w:val="fr" w:eastAsia="en-IE"/>
        </w:rPr>
        <w:t xml:space="preserve"> </w:t>
      </w:r>
      <w:proofErr w:type="spellStart"/>
      <w:r w:rsidR="00745699" w:rsidRPr="00B16110">
        <w:rPr>
          <w:rFonts w:ascii="Times New Roman" w:eastAsia="Times New Roman" w:hAnsi="Times New Roman" w:cs="Times New Roman"/>
          <w:b/>
          <w:i/>
          <w:szCs w:val="20"/>
          <w:lang w:val="fr" w:eastAsia="en-IE"/>
        </w:rPr>
        <w:t>Sportwetten</w:t>
      </w:r>
      <w:proofErr w:type="spellEnd"/>
      <w:r w:rsidR="00745699" w:rsidRPr="00B16110">
        <w:rPr>
          <w:rFonts w:ascii="Times New Roman" w:eastAsia="Times New Roman" w:hAnsi="Times New Roman" w:cs="Times New Roman"/>
          <w:b/>
          <w:i/>
          <w:szCs w:val="20"/>
          <w:lang w:val="fr" w:eastAsia="en-IE"/>
        </w:rPr>
        <w:t xml:space="preserve"> e.a., </w:t>
      </w:r>
      <w:r w:rsidR="00A23485" w:rsidRPr="00B16110">
        <w:rPr>
          <w:rFonts w:ascii="Times New Roman" w:eastAsia="Times New Roman" w:hAnsi="Times New Roman" w:cs="Times New Roman"/>
          <w:b/>
          <w:i/>
          <w:szCs w:val="20"/>
          <w:lang w:val="fr" w:eastAsia="en-IE"/>
        </w:rPr>
        <w:t xml:space="preserve">C-711/19, EU:C:2020:812, points </w:t>
      </w:r>
      <w:r w:rsidR="00A23485">
        <w:rPr>
          <w:rFonts w:ascii="Times New Roman" w:eastAsia="Times New Roman" w:hAnsi="Times New Roman" w:cs="Times New Roman"/>
          <w:b/>
          <w:i/>
          <w:szCs w:val="20"/>
          <w:lang w:val="fr" w:eastAsia="en-IE"/>
        </w:rPr>
        <w:t>38 et 41</w:t>
      </w:r>
    </w:p>
    <w:p w14:paraId="6A479E47" w14:textId="77777777"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lang w:val="fr" w:eastAsia="en-IE"/>
        </w:rPr>
      </w:pPr>
    </w:p>
    <w:p w14:paraId="58900280" w14:textId="0B22C700"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lang w:val="fr" w:eastAsia="en-IE"/>
        </w:rPr>
      </w:pPr>
      <w:r w:rsidRPr="00B16110">
        <w:rPr>
          <w:rFonts w:ascii="Times New Roman" w:eastAsia="Times New Roman" w:hAnsi="Times New Roman" w:cs="Times New Roman"/>
          <w:szCs w:val="20"/>
          <w:lang w:val="fr" w:eastAsia="en-IE"/>
        </w:rPr>
        <w:t xml:space="preserve">Une législation fiscale, qui n’est accompagnée d’aucune </w:t>
      </w:r>
      <w:r w:rsidR="008224AE">
        <w:rPr>
          <w:rFonts w:ascii="Times New Roman" w:eastAsia="Times New Roman" w:hAnsi="Times New Roman" w:cs="Times New Roman"/>
          <w:szCs w:val="20"/>
          <w:lang w:val="fr" w:eastAsia="en-IE"/>
        </w:rPr>
        <w:t>« </w:t>
      </w:r>
      <w:r w:rsidRPr="00B16110">
        <w:rPr>
          <w:rFonts w:ascii="Times New Roman" w:eastAsia="Times New Roman" w:hAnsi="Times New Roman" w:cs="Times New Roman"/>
          <w:szCs w:val="20"/>
          <w:lang w:val="fr" w:eastAsia="en-IE"/>
        </w:rPr>
        <w:t>spécification technique</w:t>
      </w:r>
      <w:r w:rsidR="008224AE">
        <w:rPr>
          <w:rFonts w:ascii="Times New Roman" w:eastAsia="Times New Roman" w:hAnsi="Times New Roman" w:cs="Times New Roman"/>
          <w:szCs w:val="20"/>
          <w:lang w:val="fr" w:eastAsia="en-IE"/>
        </w:rPr>
        <w:t> »</w:t>
      </w:r>
      <w:r w:rsidRPr="00B16110">
        <w:rPr>
          <w:rFonts w:ascii="Times New Roman" w:eastAsia="Times New Roman" w:hAnsi="Times New Roman" w:cs="Times New Roman"/>
          <w:szCs w:val="20"/>
          <w:lang w:val="fr" w:eastAsia="en-IE"/>
        </w:rPr>
        <w:t xml:space="preserve"> ni d’aucune autre exigence dont elle serait censée assurer la conformité, ne saurait être qualifiée de «</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règle technique de facto</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 xml:space="preserve">». Une réglementation fiscale nationale qui prévoit l’imposition de l’exploitation </w:t>
      </w:r>
      <w:r w:rsidR="002829DC">
        <w:rPr>
          <w:rFonts w:ascii="Times New Roman" w:eastAsia="Times New Roman" w:hAnsi="Times New Roman" w:cs="Times New Roman"/>
          <w:szCs w:val="20"/>
          <w:lang w:val="fr" w:eastAsia="en-IE"/>
        </w:rPr>
        <w:t>de machines de paris sportifs</w:t>
      </w:r>
      <w:r w:rsidRPr="00B16110">
        <w:rPr>
          <w:rFonts w:ascii="Times New Roman" w:eastAsia="Times New Roman" w:hAnsi="Times New Roman" w:cs="Times New Roman"/>
          <w:szCs w:val="20"/>
          <w:lang w:val="fr" w:eastAsia="en-IE"/>
        </w:rPr>
        <w:t xml:space="preserve"> ne constitue </w:t>
      </w:r>
      <w:r>
        <w:rPr>
          <w:rFonts w:ascii="Times New Roman" w:eastAsia="Times New Roman" w:hAnsi="Times New Roman" w:cs="Times New Roman"/>
          <w:szCs w:val="20"/>
          <w:lang w:val="fr" w:eastAsia="en-IE"/>
        </w:rPr>
        <w:t xml:space="preserve">donc </w:t>
      </w:r>
      <w:r w:rsidRPr="00B16110">
        <w:rPr>
          <w:rFonts w:ascii="Times New Roman" w:eastAsia="Times New Roman" w:hAnsi="Times New Roman" w:cs="Times New Roman"/>
          <w:szCs w:val="20"/>
          <w:lang w:val="fr" w:eastAsia="en-IE"/>
        </w:rPr>
        <w:t>pas une «</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règle technique</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w:t>
      </w:r>
      <w:r>
        <w:rPr>
          <w:rFonts w:ascii="Times New Roman" w:eastAsia="Times New Roman" w:hAnsi="Times New Roman" w:cs="Times New Roman"/>
          <w:szCs w:val="20"/>
          <w:lang w:val="fr" w:eastAsia="en-IE"/>
        </w:rPr>
        <w:t>.</w:t>
      </w:r>
    </w:p>
    <w:p w14:paraId="27BCDA3E" w14:textId="77777777"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130D4C07" w14:textId="69379FB6" w:rsidR="00A23485" w:rsidRPr="00B16110" w:rsidRDefault="00A23485" w:rsidP="00AA4F20">
      <w:pPr>
        <w:widowControl w:val="0"/>
        <w:tabs>
          <w:tab w:val="left" w:pos="537"/>
          <w:tab w:val="left" w:pos="53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B16110">
        <w:rPr>
          <w:rFonts w:ascii="Times New Roman" w:eastAsia="Times New Roman" w:hAnsi="Times New Roman" w:cs="Times New Roman"/>
          <w:i/>
          <w:iCs/>
          <w:sz w:val="20"/>
          <w:szCs w:val="16"/>
          <w:lang w:val="fr-BE" w:eastAsia="en-IE"/>
        </w:rPr>
        <w:t>« 38</w:t>
      </w:r>
      <w:r w:rsidR="005C053F">
        <w:rPr>
          <w:rFonts w:ascii="Times New Roman" w:eastAsia="Times New Roman" w:hAnsi="Times New Roman" w:cs="Times New Roman"/>
          <w:i/>
          <w:iCs/>
          <w:sz w:val="20"/>
          <w:szCs w:val="16"/>
          <w:lang w:val="fr-BE" w:eastAsia="en-IE"/>
        </w:rPr>
        <w:t xml:space="preserve">. </w:t>
      </w:r>
      <w:r w:rsidR="002829DC">
        <w:rPr>
          <w:rFonts w:ascii="Times New Roman" w:eastAsia="Times New Roman" w:hAnsi="Times New Roman" w:cs="Times New Roman"/>
          <w:i/>
          <w:iCs/>
          <w:sz w:val="20"/>
          <w:szCs w:val="16"/>
          <w:lang w:val="fr-BE" w:eastAsia="en-IE"/>
        </w:rPr>
        <w:t>[…]</w:t>
      </w:r>
      <w:r w:rsidRPr="00B16110">
        <w:rPr>
          <w:rFonts w:ascii="Times New Roman" w:eastAsia="Times New Roman" w:hAnsi="Times New Roman" w:cs="Times New Roman"/>
          <w:i/>
          <w:iCs/>
          <w:sz w:val="20"/>
          <w:szCs w:val="16"/>
          <w:lang w:val="fr-BE" w:eastAsia="en-IE"/>
        </w:rPr>
        <w:t xml:space="preserve"> s’agissant des règles techniques de facto, au sens de l’article 1</w:t>
      </w:r>
      <w:r w:rsidRPr="00B16110">
        <w:rPr>
          <w:rFonts w:ascii="Times New Roman" w:eastAsia="Times New Roman" w:hAnsi="Times New Roman" w:cs="Times New Roman"/>
          <w:i/>
          <w:iCs/>
          <w:sz w:val="20"/>
          <w:szCs w:val="16"/>
          <w:vertAlign w:val="superscript"/>
          <w:lang w:val="fr-BE" w:eastAsia="en-IE"/>
        </w:rPr>
        <w:t>er</w:t>
      </w:r>
      <w:r w:rsidRPr="00B16110">
        <w:rPr>
          <w:rFonts w:ascii="Times New Roman" w:eastAsia="Times New Roman" w:hAnsi="Times New Roman" w:cs="Times New Roman"/>
          <w:i/>
          <w:iCs/>
          <w:sz w:val="20"/>
          <w:szCs w:val="16"/>
          <w:lang w:val="fr-BE" w:eastAsia="en-IE"/>
        </w:rPr>
        <w:t xml:space="preserve">, paragraphe 1, sous f), iii), de la directive 2015/1535, la Cour a déjà jugé qu’une législation fiscale qui ne s’accompagne d’aucune spécification technique ni d’aucune autre exigence dont elle viserait à assurer le respect ne saurait être qualifiée de « règle technique de facto » (voir, en ce sens, arrêt du 11 juin 2015, </w:t>
      </w:r>
      <w:proofErr w:type="spellStart"/>
      <w:r w:rsidRPr="00B16110">
        <w:rPr>
          <w:rFonts w:ascii="Times New Roman" w:eastAsia="Times New Roman" w:hAnsi="Times New Roman" w:cs="Times New Roman"/>
          <w:i/>
          <w:iCs/>
          <w:sz w:val="20"/>
          <w:szCs w:val="16"/>
          <w:lang w:val="fr-BE" w:eastAsia="en-IE"/>
        </w:rPr>
        <w:t>Berlington</w:t>
      </w:r>
      <w:proofErr w:type="spellEnd"/>
      <w:r w:rsidRPr="00B16110">
        <w:rPr>
          <w:rFonts w:ascii="Times New Roman" w:eastAsia="Times New Roman" w:hAnsi="Times New Roman" w:cs="Times New Roman"/>
          <w:i/>
          <w:iCs/>
          <w:sz w:val="20"/>
          <w:szCs w:val="16"/>
          <w:lang w:val="fr-BE" w:eastAsia="en-IE"/>
        </w:rPr>
        <w:t xml:space="preserve"> </w:t>
      </w:r>
      <w:proofErr w:type="spellStart"/>
      <w:r w:rsidRPr="00B16110">
        <w:rPr>
          <w:rFonts w:ascii="Times New Roman" w:eastAsia="Times New Roman" w:hAnsi="Times New Roman" w:cs="Times New Roman"/>
          <w:i/>
          <w:iCs/>
          <w:sz w:val="20"/>
          <w:szCs w:val="16"/>
          <w:lang w:val="fr-BE" w:eastAsia="en-IE"/>
        </w:rPr>
        <w:t>Hungary</w:t>
      </w:r>
      <w:proofErr w:type="spellEnd"/>
      <w:r w:rsidRPr="00B16110">
        <w:rPr>
          <w:rFonts w:ascii="Times New Roman" w:eastAsia="Times New Roman" w:hAnsi="Times New Roman" w:cs="Times New Roman"/>
          <w:i/>
          <w:iCs/>
          <w:sz w:val="20"/>
          <w:szCs w:val="16"/>
          <w:lang w:val="fr-BE" w:eastAsia="en-IE"/>
        </w:rPr>
        <w:t xml:space="preserve"> e.a., C</w:t>
      </w:r>
      <w:r w:rsidRPr="00B16110">
        <w:rPr>
          <w:rFonts w:ascii="Times New Roman" w:eastAsia="Times New Roman" w:hAnsi="Times New Roman" w:cs="Times New Roman"/>
          <w:i/>
          <w:iCs/>
          <w:sz w:val="20"/>
          <w:szCs w:val="16"/>
          <w:lang w:val="fr-BE" w:eastAsia="en-IE"/>
        </w:rPr>
        <w:noBreakHyphen/>
        <w:t>98/14, EU:C:2015:386, point 97). »</w:t>
      </w:r>
    </w:p>
    <w:p w14:paraId="002A514F" w14:textId="77777777" w:rsidR="00A23485" w:rsidRPr="00B16110" w:rsidRDefault="00A23485" w:rsidP="00AA4F20">
      <w:pPr>
        <w:widowControl w:val="0"/>
        <w:tabs>
          <w:tab w:val="left" w:pos="537"/>
          <w:tab w:val="left" w:pos="53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27DEFFB" w14:textId="739D4692" w:rsidR="00A23485" w:rsidRPr="00B16110" w:rsidRDefault="00A23485" w:rsidP="00AA4F20">
      <w:pPr>
        <w:widowControl w:val="0"/>
        <w:tabs>
          <w:tab w:val="left" w:pos="537"/>
          <w:tab w:val="left" w:pos="53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B16110">
        <w:rPr>
          <w:rFonts w:ascii="Times New Roman" w:eastAsia="Times New Roman" w:hAnsi="Times New Roman" w:cs="Times New Roman"/>
          <w:i/>
          <w:iCs/>
          <w:sz w:val="20"/>
          <w:szCs w:val="16"/>
          <w:lang w:val="fr-BE" w:eastAsia="en-IE"/>
        </w:rPr>
        <w:t>« 41</w:t>
      </w:r>
      <w:r w:rsidR="005C053F">
        <w:rPr>
          <w:rFonts w:ascii="Times New Roman" w:eastAsia="Times New Roman" w:hAnsi="Times New Roman" w:cs="Times New Roman"/>
          <w:i/>
          <w:iCs/>
          <w:sz w:val="20"/>
          <w:szCs w:val="16"/>
          <w:lang w:val="fr-BE" w:eastAsia="en-IE"/>
        </w:rPr>
        <w:t xml:space="preserve">. </w:t>
      </w:r>
      <w:r w:rsidRPr="00B16110">
        <w:rPr>
          <w:rFonts w:ascii="Times New Roman" w:eastAsia="Times New Roman" w:hAnsi="Times New Roman" w:cs="Times New Roman"/>
          <w:i/>
          <w:iCs/>
          <w:sz w:val="20"/>
          <w:szCs w:val="16"/>
          <w:lang w:val="fr-BE" w:eastAsia="en-IE"/>
        </w:rPr>
        <w:t>Par conséquent, eu égard à l’ensemble des considérations qui précèdent, il convient de répondre à la première question que l’article 1</w:t>
      </w:r>
      <w:r w:rsidRPr="00B16110">
        <w:rPr>
          <w:rFonts w:ascii="Times New Roman" w:eastAsia="Times New Roman" w:hAnsi="Times New Roman" w:cs="Times New Roman"/>
          <w:i/>
          <w:iCs/>
          <w:sz w:val="20"/>
          <w:szCs w:val="16"/>
          <w:vertAlign w:val="superscript"/>
          <w:lang w:val="fr-BE" w:eastAsia="en-IE"/>
        </w:rPr>
        <w:t>er</w:t>
      </w:r>
      <w:r w:rsidRPr="00B16110">
        <w:rPr>
          <w:rFonts w:ascii="Times New Roman" w:eastAsia="Times New Roman" w:hAnsi="Times New Roman" w:cs="Times New Roman"/>
          <w:i/>
          <w:iCs/>
          <w:sz w:val="20"/>
          <w:szCs w:val="16"/>
          <w:lang w:val="fr-BE" w:eastAsia="en-IE"/>
        </w:rPr>
        <w:t> de la directive 2015/1535 doit être interprété en ce sens qu’une disposition nationale fiscale qui instaure une taxe sur l’exploitation de terminaux de prise de paris ne constitue pas une « règle technique », au sens de cet article. »</w:t>
      </w:r>
    </w:p>
    <w:p w14:paraId="5C076B9C" w14:textId="77777777" w:rsidR="00A23485" w:rsidRDefault="00A23485" w:rsidP="00AA4F20">
      <w:pPr>
        <w:pStyle w:val="BodyText"/>
        <w:rPr>
          <w:i/>
          <w:iCs/>
          <w:sz w:val="20"/>
          <w:lang w:val="fr-BE"/>
        </w:rPr>
      </w:pPr>
    </w:p>
    <w:p w14:paraId="5F483606" w14:textId="27FC6A37" w:rsidR="00A23485" w:rsidRPr="00B16110"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70" w:history="1">
        <w:r w:rsidR="00A23485" w:rsidRPr="0051744C">
          <w:rPr>
            <w:rStyle w:val="Hyperlink"/>
            <w:rFonts w:ascii="Times New Roman" w:eastAsia="Times New Roman" w:hAnsi="Times New Roman" w:cs="Times New Roman"/>
            <w:b/>
            <w:i/>
            <w:color w:val="0000FF"/>
            <w:szCs w:val="20"/>
            <w:lang w:val="fr" w:eastAsia="en-IE"/>
          </w:rPr>
          <w:t>Arrêt du 22 décembre 2022</w:t>
        </w:r>
      </w:hyperlink>
      <w:r w:rsidR="00A23485" w:rsidRPr="00B16110">
        <w:rPr>
          <w:rFonts w:ascii="Times New Roman" w:eastAsia="Times New Roman" w:hAnsi="Times New Roman" w:cs="Times New Roman"/>
          <w:b/>
          <w:i/>
          <w:szCs w:val="20"/>
          <w:lang w:val="fr" w:eastAsia="en-IE"/>
        </w:rPr>
        <w:t xml:space="preserve">, </w:t>
      </w:r>
      <w:r w:rsidR="00745699" w:rsidRPr="00796B02">
        <w:rPr>
          <w:rFonts w:ascii="Times New Roman" w:eastAsia="Times New Roman" w:hAnsi="Times New Roman" w:cs="Times New Roman"/>
          <w:b/>
          <w:i/>
          <w:szCs w:val="20"/>
          <w:lang w:val="fr" w:eastAsia="en-IE"/>
        </w:rPr>
        <w:t xml:space="preserve">Airbnb Ireland </w:t>
      </w:r>
      <w:r w:rsidR="00745699">
        <w:rPr>
          <w:rFonts w:ascii="Times New Roman" w:eastAsia="Times New Roman" w:hAnsi="Times New Roman" w:cs="Times New Roman"/>
          <w:b/>
          <w:i/>
          <w:szCs w:val="20"/>
          <w:lang w:val="fr" w:eastAsia="en-IE"/>
        </w:rPr>
        <w:t>et</w:t>
      </w:r>
      <w:r w:rsidR="00745699" w:rsidRPr="00796B02">
        <w:rPr>
          <w:rFonts w:ascii="Times New Roman" w:eastAsia="Times New Roman" w:hAnsi="Times New Roman" w:cs="Times New Roman"/>
          <w:b/>
          <w:i/>
          <w:szCs w:val="20"/>
          <w:lang w:val="fr" w:eastAsia="en-IE"/>
        </w:rPr>
        <w:t xml:space="preserve"> Airbnb Payments UK</w:t>
      </w:r>
      <w:r w:rsidR="00745699">
        <w:rPr>
          <w:rFonts w:ascii="Times New Roman" w:eastAsia="Times New Roman" w:hAnsi="Times New Roman" w:cs="Times New Roman"/>
          <w:b/>
          <w:i/>
          <w:szCs w:val="20"/>
          <w:lang w:val="fr" w:eastAsia="en-IE"/>
        </w:rPr>
        <w:t xml:space="preserve">, </w:t>
      </w:r>
      <w:r w:rsidR="00A23485" w:rsidRPr="00B16110">
        <w:rPr>
          <w:rFonts w:ascii="Times New Roman" w:eastAsia="Times New Roman" w:hAnsi="Times New Roman" w:cs="Times New Roman"/>
          <w:b/>
          <w:i/>
          <w:szCs w:val="20"/>
          <w:lang w:val="fr" w:eastAsia="en-IE"/>
        </w:rPr>
        <w:t>C-</w:t>
      </w:r>
      <w:r w:rsidR="00A23485">
        <w:rPr>
          <w:rFonts w:ascii="Times New Roman" w:eastAsia="Times New Roman" w:hAnsi="Times New Roman" w:cs="Times New Roman"/>
          <w:b/>
          <w:i/>
          <w:szCs w:val="20"/>
          <w:lang w:val="fr" w:eastAsia="en-IE"/>
        </w:rPr>
        <w:t>83/21</w:t>
      </w:r>
      <w:r w:rsidR="00A23485" w:rsidRPr="00B16110">
        <w:rPr>
          <w:rFonts w:ascii="Times New Roman" w:eastAsia="Times New Roman" w:hAnsi="Times New Roman" w:cs="Times New Roman"/>
          <w:b/>
          <w:i/>
          <w:szCs w:val="20"/>
          <w:lang w:val="fr" w:eastAsia="en-IE"/>
        </w:rPr>
        <w:t xml:space="preserve">, </w:t>
      </w:r>
      <w:r w:rsidR="00A23485" w:rsidRPr="00796B02">
        <w:rPr>
          <w:rFonts w:ascii="Times New Roman" w:eastAsia="Times New Roman" w:hAnsi="Times New Roman" w:cs="Times New Roman"/>
          <w:b/>
          <w:i/>
          <w:szCs w:val="20"/>
          <w:lang w:val="fr" w:eastAsia="en-IE"/>
        </w:rPr>
        <w:t>EU:C:2022:1018</w:t>
      </w:r>
      <w:r w:rsidR="00A23485" w:rsidRPr="00B16110">
        <w:rPr>
          <w:rFonts w:ascii="Times New Roman" w:eastAsia="Times New Roman" w:hAnsi="Times New Roman" w:cs="Times New Roman"/>
          <w:b/>
          <w:i/>
          <w:szCs w:val="20"/>
          <w:lang w:val="fr" w:eastAsia="en-IE"/>
        </w:rPr>
        <w:t xml:space="preserve">, points </w:t>
      </w:r>
      <w:r w:rsidR="00A23485">
        <w:rPr>
          <w:rFonts w:ascii="Times New Roman" w:eastAsia="Times New Roman" w:hAnsi="Times New Roman" w:cs="Times New Roman"/>
          <w:b/>
          <w:i/>
          <w:szCs w:val="20"/>
          <w:lang w:val="fr" w:eastAsia="en-IE"/>
        </w:rPr>
        <w:t>29 et 30</w:t>
      </w:r>
    </w:p>
    <w:p w14:paraId="704D5C25" w14:textId="77777777"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lang w:val="fr" w:eastAsia="en-IE"/>
        </w:rPr>
      </w:pPr>
    </w:p>
    <w:p w14:paraId="62D4DAB8" w14:textId="361FB924"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lang w:val="fr" w:eastAsia="en-IE"/>
        </w:rPr>
      </w:pPr>
      <w:r w:rsidRPr="00B16110">
        <w:rPr>
          <w:rFonts w:ascii="Times New Roman" w:eastAsia="Times New Roman" w:hAnsi="Times New Roman" w:cs="Times New Roman"/>
          <w:szCs w:val="20"/>
          <w:lang w:val="fr" w:eastAsia="en-IE"/>
        </w:rPr>
        <w:t>Une législation</w:t>
      </w:r>
      <w:r>
        <w:rPr>
          <w:rFonts w:ascii="Times New Roman" w:eastAsia="Times New Roman" w:hAnsi="Times New Roman" w:cs="Times New Roman"/>
          <w:szCs w:val="20"/>
          <w:lang w:val="fr" w:eastAsia="en-IE"/>
        </w:rPr>
        <w:t xml:space="preserve"> de nature</w:t>
      </w:r>
      <w:r w:rsidRPr="00B16110">
        <w:rPr>
          <w:rFonts w:ascii="Times New Roman" w:eastAsia="Times New Roman" w:hAnsi="Times New Roman" w:cs="Times New Roman"/>
          <w:szCs w:val="20"/>
          <w:lang w:val="fr" w:eastAsia="en-IE"/>
        </w:rPr>
        <w:t xml:space="preserve"> fiscale</w:t>
      </w:r>
      <w:r>
        <w:rPr>
          <w:rFonts w:ascii="Times New Roman" w:eastAsia="Times New Roman" w:hAnsi="Times New Roman" w:cs="Times New Roman"/>
          <w:szCs w:val="20"/>
          <w:lang w:val="fr" w:eastAsia="en-IE"/>
        </w:rPr>
        <w:t xml:space="preserve"> en tant que telle</w:t>
      </w:r>
      <w:r w:rsidRPr="00B16110">
        <w:rPr>
          <w:rFonts w:ascii="Times New Roman" w:eastAsia="Times New Roman" w:hAnsi="Times New Roman" w:cs="Times New Roman"/>
          <w:szCs w:val="20"/>
          <w:lang w:val="fr" w:eastAsia="en-IE"/>
        </w:rPr>
        <w:t xml:space="preserve"> ne saurait être qualifiée de «</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règle technique de facto</w:t>
      </w:r>
      <w:r w:rsidR="008224AE">
        <w:rPr>
          <w:rFonts w:ascii="Times New Roman" w:eastAsia="Times New Roman" w:hAnsi="Times New Roman" w:cs="Times New Roman"/>
          <w:szCs w:val="20"/>
          <w:lang w:val="fr" w:eastAsia="en-IE"/>
        </w:rPr>
        <w:t xml:space="preserve"> </w:t>
      </w:r>
      <w:r w:rsidRPr="00B16110">
        <w:rPr>
          <w:rFonts w:ascii="Times New Roman" w:eastAsia="Times New Roman" w:hAnsi="Times New Roman" w:cs="Times New Roman"/>
          <w:szCs w:val="20"/>
          <w:lang w:val="fr" w:eastAsia="en-IE"/>
        </w:rPr>
        <w:t xml:space="preserve">». </w:t>
      </w:r>
    </w:p>
    <w:p w14:paraId="1AD7B89C" w14:textId="77777777" w:rsidR="00A23485" w:rsidRPr="00B16110" w:rsidRDefault="00A23485" w:rsidP="00AA4F20">
      <w:pPr>
        <w:widowControl w:val="0"/>
        <w:tabs>
          <w:tab w:val="left" w:pos="537"/>
          <w:tab w:val="left" w:pos="539"/>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60D2047F" w14:textId="0630FD1A" w:rsidR="00A23485" w:rsidRPr="00481468" w:rsidRDefault="00A23485" w:rsidP="00AA4F20">
      <w:pPr>
        <w:pStyle w:val="BodyText"/>
        <w:ind w:left="567"/>
        <w:rPr>
          <w:i/>
          <w:iCs/>
          <w:sz w:val="20"/>
          <w:lang w:val="fr-BE"/>
        </w:rPr>
      </w:pPr>
      <w:r w:rsidRPr="00481468">
        <w:rPr>
          <w:i/>
          <w:iCs/>
          <w:sz w:val="20"/>
          <w:lang w:val="fr-BE"/>
        </w:rPr>
        <w:t>« 29</w:t>
      </w:r>
      <w:r w:rsidR="005C053F">
        <w:rPr>
          <w:i/>
          <w:iCs/>
          <w:sz w:val="20"/>
          <w:lang w:val="fr-BE"/>
        </w:rPr>
        <w:t xml:space="preserve">. </w:t>
      </w:r>
      <w:r w:rsidRPr="00481468">
        <w:rPr>
          <w:i/>
          <w:iCs/>
          <w:sz w:val="20"/>
          <w:lang w:val="fr-BE"/>
        </w:rPr>
        <w:t>S’agissant, en troisième lieu, de la directive 2015/1535, il importe de relever que celle-ci vise « le traité [FUE], et notamment ses articles 114, 337 et 43 ». Ainsi, il convient d’emblée de relever que l’exclusion prévue à l’article 114, paragraphe 2, TFUE concernant les « dispositions fiscales » s’applique également à propos de cette directive, pour les motifs exposés au point 25 du présent arrêt.</w:t>
      </w:r>
    </w:p>
    <w:p w14:paraId="74037571" w14:textId="77777777" w:rsidR="00A23485" w:rsidRPr="00481468" w:rsidRDefault="00A23485" w:rsidP="00AA4F20">
      <w:pPr>
        <w:pStyle w:val="BodyText"/>
        <w:ind w:left="567"/>
        <w:rPr>
          <w:i/>
          <w:iCs/>
          <w:sz w:val="20"/>
          <w:lang w:val="fr-BE"/>
        </w:rPr>
      </w:pPr>
    </w:p>
    <w:p w14:paraId="43BD732D" w14:textId="3DB77AEE" w:rsidR="00A23485" w:rsidRPr="00481468" w:rsidRDefault="00A23485" w:rsidP="00AA4F20">
      <w:pPr>
        <w:pStyle w:val="BodyText"/>
        <w:ind w:left="567"/>
        <w:rPr>
          <w:i/>
          <w:iCs/>
          <w:sz w:val="20"/>
          <w:lang w:val="fr-BE"/>
        </w:rPr>
      </w:pPr>
      <w:r w:rsidRPr="00481468">
        <w:rPr>
          <w:i/>
          <w:iCs/>
          <w:sz w:val="20"/>
          <w:lang w:val="fr-BE"/>
        </w:rPr>
        <w:t>30</w:t>
      </w:r>
      <w:r w:rsidR="005C053F">
        <w:rPr>
          <w:i/>
          <w:iCs/>
          <w:sz w:val="20"/>
          <w:lang w:val="fr-BE"/>
        </w:rPr>
        <w:t xml:space="preserve">. </w:t>
      </w:r>
      <w:r w:rsidRPr="00481468">
        <w:rPr>
          <w:i/>
          <w:iCs/>
          <w:sz w:val="20"/>
          <w:lang w:val="fr-BE"/>
        </w:rPr>
        <w:t xml:space="preserve">En outre, la teneur de la directive 2015/1535 confirme indirectement l’exclusion des « dispositions fiscales » de son champ d’application, puisque le libellé de l’article 1er, paragraphe 1, sous f), iii), de cette directive mentionne, au nombre des règles techniques de facto, les spécifications techniques ou d’autres exigences ou les règles relatives aux services « liées à des mesures fiscales ou financières ». Il ne s’agit donc pas de mesures de nature fiscale en tant que telles, mais uniquement de mesures liées à des mesures fiscales (voir, en ce sens, arrêt du 8 octobre 2020, </w:t>
      </w:r>
      <w:proofErr w:type="spellStart"/>
      <w:r w:rsidRPr="00481468">
        <w:rPr>
          <w:i/>
          <w:iCs/>
          <w:sz w:val="20"/>
          <w:lang w:val="fr-BE"/>
        </w:rPr>
        <w:t>Admiral</w:t>
      </w:r>
      <w:proofErr w:type="spellEnd"/>
      <w:r w:rsidRPr="00481468">
        <w:rPr>
          <w:i/>
          <w:iCs/>
          <w:sz w:val="20"/>
          <w:lang w:val="fr-BE"/>
        </w:rPr>
        <w:t xml:space="preserve"> </w:t>
      </w:r>
      <w:proofErr w:type="spellStart"/>
      <w:r w:rsidRPr="00481468">
        <w:rPr>
          <w:i/>
          <w:iCs/>
          <w:sz w:val="20"/>
          <w:lang w:val="fr-BE"/>
        </w:rPr>
        <w:t>Sportwetten</w:t>
      </w:r>
      <w:proofErr w:type="spellEnd"/>
      <w:r w:rsidRPr="00481468">
        <w:rPr>
          <w:i/>
          <w:iCs/>
          <w:sz w:val="20"/>
          <w:lang w:val="fr-BE"/>
        </w:rPr>
        <w:t xml:space="preserve"> e.a., C‑711/19, EU:C:2020:812, point 38), ces dernières demeurant, par conséquent, en tant que telles, hors du champ d’application de ladite directive. »</w:t>
      </w:r>
    </w:p>
    <w:p w14:paraId="5775DA65" w14:textId="01ED6DBB" w:rsidR="00A23485" w:rsidRDefault="00A23485" w:rsidP="00AA4F20">
      <w:pPr>
        <w:spacing w:after="0" w:line="240" w:lineRule="auto"/>
        <w:rPr>
          <w:rFonts w:ascii="Times New Roman" w:eastAsia="Times New Roman" w:hAnsi="Times New Roman" w:cs="Times New Roman"/>
          <w:i/>
          <w:iCs/>
          <w:sz w:val="20"/>
          <w:szCs w:val="20"/>
          <w:lang w:val="fr-BE" w:eastAsia="en-IE"/>
        </w:rPr>
      </w:pPr>
      <w:r>
        <w:rPr>
          <w:i/>
          <w:iCs/>
          <w:sz w:val="20"/>
          <w:lang w:val="fr-BE"/>
        </w:rPr>
        <w:br w:type="page"/>
      </w:r>
    </w:p>
    <w:p w14:paraId="5F7E7C6E" w14:textId="29D65DE7" w:rsidR="00A23485" w:rsidRPr="00DC2D31" w:rsidRDefault="00745699" w:rsidP="002C17AE">
      <w:pPr>
        <w:pStyle w:val="Heading2"/>
        <w:spacing w:after="0"/>
        <w:jc w:val="center"/>
        <w:rPr>
          <w:color w:val="auto"/>
          <w:lang w:val="fr-BE"/>
        </w:rPr>
      </w:pPr>
      <w:bookmarkStart w:id="68" w:name="_Toc203035384"/>
      <w:r w:rsidRPr="00DC2D31">
        <w:rPr>
          <w:color w:val="auto"/>
          <w:lang w:val="fr-BE"/>
        </w:rPr>
        <w:lastRenderedPageBreak/>
        <w:t xml:space="preserve">g. </w:t>
      </w:r>
      <w:bookmarkStart w:id="69" w:name="_Ref194484613"/>
      <w:r w:rsidR="00A23485" w:rsidRPr="00DC2D31">
        <w:rPr>
          <w:color w:val="auto"/>
          <w:lang w:val="fr-BE"/>
        </w:rPr>
        <w:t>Matières exclues</w:t>
      </w:r>
      <w:bookmarkEnd w:id="69"/>
      <w:bookmarkEnd w:id="68"/>
    </w:p>
    <w:p w14:paraId="1278603B" w14:textId="77777777" w:rsidR="00A23485" w:rsidRDefault="00A23485" w:rsidP="002C17AE">
      <w:pPr>
        <w:pStyle w:val="BodyText"/>
        <w:rPr>
          <w:b/>
          <w:bCs/>
        </w:rPr>
      </w:pPr>
    </w:p>
    <w:p w14:paraId="2F1069DD" w14:textId="5C3BDC35" w:rsidR="00A23485" w:rsidRPr="007C75A4" w:rsidRDefault="00A23485" w:rsidP="00274ED4">
      <w:pPr>
        <w:pStyle w:val="BodyText"/>
        <w:ind w:left="567"/>
        <w:rPr>
          <w:i/>
          <w:iCs/>
          <w:lang w:val="fr-BE"/>
        </w:rPr>
      </w:pPr>
      <w:r w:rsidRPr="007C75A4">
        <w:rPr>
          <w:i/>
          <w:iCs/>
          <w:lang w:val="fr-BE"/>
        </w:rPr>
        <w:t>« </w:t>
      </w:r>
      <w:r w:rsidR="00274ED4">
        <w:rPr>
          <w:i/>
          <w:iCs/>
          <w:lang w:val="fr-BE"/>
        </w:rPr>
        <w:t xml:space="preserve">2. </w:t>
      </w:r>
      <w:r w:rsidRPr="007C75A4">
        <w:rPr>
          <w:i/>
          <w:iCs/>
          <w:lang w:val="fr-BE"/>
        </w:rPr>
        <w:t xml:space="preserve">La présente directive ne s'applique pas: </w:t>
      </w:r>
    </w:p>
    <w:p w14:paraId="23BA0021" w14:textId="77777777" w:rsidR="00A23485" w:rsidRPr="007C75A4" w:rsidRDefault="00A23485" w:rsidP="00274ED4">
      <w:pPr>
        <w:pStyle w:val="BodyText"/>
        <w:ind w:left="567" w:firstLine="720"/>
        <w:rPr>
          <w:i/>
          <w:iCs/>
          <w:lang w:val="fr-BE"/>
        </w:rPr>
      </w:pPr>
      <w:r w:rsidRPr="007C75A4">
        <w:rPr>
          <w:i/>
          <w:iCs/>
          <w:lang w:val="fr-BE"/>
        </w:rPr>
        <w:t xml:space="preserve">a) aux services de radiodiffusion sonore; </w:t>
      </w:r>
    </w:p>
    <w:p w14:paraId="25ABE0A8" w14:textId="77777777" w:rsidR="00274ED4" w:rsidRDefault="00A23485" w:rsidP="00274ED4">
      <w:pPr>
        <w:pStyle w:val="BodyText"/>
        <w:ind w:left="1287"/>
        <w:rPr>
          <w:i/>
          <w:iCs/>
          <w:lang w:val="fr-BE"/>
        </w:rPr>
      </w:pPr>
      <w:r w:rsidRPr="007C75A4">
        <w:rPr>
          <w:i/>
          <w:iCs/>
          <w:lang w:val="fr-BE"/>
        </w:rPr>
        <w:t>b) aux services de radiodiffusion télévisuelle visés à l'article 1er, paragraphe 1, point e), de la directive 2010/13/UE du Parlement européen et du Conseil</w:t>
      </w:r>
      <w:r w:rsidR="00274ED4">
        <w:rPr>
          <w:i/>
          <w:iCs/>
          <w:lang w:val="fr-BE"/>
        </w:rPr>
        <w:t>.</w:t>
      </w:r>
    </w:p>
    <w:p w14:paraId="53F29F13" w14:textId="77777777" w:rsidR="00274ED4" w:rsidRDefault="00274ED4" w:rsidP="00274ED4">
      <w:pPr>
        <w:pStyle w:val="BodyText"/>
        <w:ind w:left="567"/>
        <w:rPr>
          <w:i/>
          <w:iCs/>
          <w:lang w:val="fr-BE"/>
        </w:rPr>
      </w:pPr>
    </w:p>
    <w:p w14:paraId="01C21684" w14:textId="02C88962" w:rsidR="00274ED4" w:rsidRDefault="00274ED4" w:rsidP="00274ED4">
      <w:pPr>
        <w:pStyle w:val="BodyText"/>
        <w:ind w:left="567"/>
        <w:rPr>
          <w:i/>
          <w:iCs/>
          <w:lang w:val="fr-BE"/>
        </w:rPr>
      </w:pPr>
      <w:r w:rsidRPr="00274ED4">
        <w:rPr>
          <w:i/>
          <w:iCs/>
          <w:lang w:val="fr-BE"/>
        </w:rPr>
        <w:t>3. La présente directive ne s'applique pas à des règles concernant des questions qui font l'objet d'une réglementation de l'Union en matière de services de télécommunication, tels que visés par la directive 2002/21/CE du Parlement européen et du Conseil</w:t>
      </w:r>
      <w:r>
        <w:rPr>
          <w:i/>
          <w:iCs/>
          <w:lang w:val="fr-BE"/>
        </w:rPr>
        <w:t>.</w:t>
      </w:r>
    </w:p>
    <w:p w14:paraId="79DCE6F6" w14:textId="77777777" w:rsidR="00274ED4" w:rsidRPr="00274ED4" w:rsidRDefault="00274ED4" w:rsidP="00274ED4">
      <w:pPr>
        <w:pStyle w:val="BodyText"/>
        <w:ind w:left="567"/>
        <w:rPr>
          <w:i/>
          <w:iCs/>
          <w:lang w:val="fr-BE"/>
        </w:rPr>
      </w:pPr>
    </w:p>
    <w:p w14:paraId="6388BE0A" w14:textId="3F52A88C" w:rsidR="00274ED4" w:rsidRDefault="00274ED4" w:rsidP="00274ED4">
      <w:pPr>
        <w:pStyle w:val="BodyText"/>
        <w:ind w:left="567"/>
        <w:rPr>
          <w:i/>
          <w:iCs/>
          <w:lang w:val="fr-BE"/>
        </w:rPr>
      </w:pPr>
      <w:r w:rsidRPr="00274ED4">
        <w:rPr>
          <w:i/>
          <w:iCs/>
          <w:lang w:val="fr-BE"/>
        </w:rPr>
        <w:t xml:space="preserve">4. La présente directive ne s'applique pas à des règles concernant des questions qui font l'objet d'une réglementation de l'Union en matière de services financiers, tels qu'énumérés de manière non exhaustive à l'annexe II de la présente directive. </w:t>
      </w:r>
    </w:p>
    <w:p w14:paraId="1247ABA9" w14:textId="77777777" w:rsidR="00274ED4" w:rsidRPr="00274ED4" w:rsidRDefault="00274ED4" w:rsidP="00274ED4">
      <w:pPr>
        <w:pStyle w:val="BodyText"/>
        <w:ind w:left="567"/>
        <w:rPr>
          <w:i/>
          <w:iCs/>
          <w:lang w:val="fr-BE"/>
        </w:rPr>
      </w:pPr>
    </w:p>
    <w:p w14:paraId="30996ADA" w14:textId="77777777" w:rsidR="00632AD7" w:rsidRDefault="00274ED4" w:rsidP="00274ED4">
      <w:pPr>
        <w:pStyle w:val="BodyText"/>
        <w:ind w:left="567"/>
        <w:rPr>
          <w:i/>
          <w:iCs/>
          <w:lang w:val="fr-BE"/>
        </w:rPr>
      </w:pPr>
      <w:r w:rsidRPr="00274ED4">
        <w:rPr>
          <w:i/>
          <w:iCs/>
          <w:lang w:val="fr-BE"/>
        </w:rPr>
        <w:t>5. À l'exception de l'article 5, paragraphe 3, la présente directive ne s'applique pas aux règles édictées par ou pour les marchés réglementés au sens de la directive 2004/39/CE du Parlement européen et du Conseil ou par ou pour d'autres marchés ou organes effectuant des opérations de compensation ou de règlement pour ces marchés.</w:t>
      </w:r>
    </w:p>
    <w:p w14:paraId="6BD2DB23" w14:textId="77777777" w:rsidR="00632AD7" w:rsidRDefault="00632AD7" w:rsidP="00274ED4">
      <w:pPr>
        <w:pStyle w:val="BodyText"/>
        <w:ind w:left="567"/>
        <w:rPr>
          <w:i/>
          <w:iCs/>
          <w:lang w:val="fr-BE"/>
        </w:rPr>
      </w:pPr>
    </w:p>
    <w:p w14:paraId="31A3B859" w14:textId="37E1E182" w:rsidR="00A23485" w:rsidRPr="007C75A4" w:rsidRDefault="00632AD7" w:rsidP="00274ED4">
      <w:pPr>
        <w:pStyle w:val="BodyText"/>
        <w:ind w:left="567"/>
        <w:rPr>
          <w:i/>
          <w:iCs/>
          <w:lang w:val="fr-BE"/>
        </w:rPr>
      </w:pPr>
      <w:r w:rsidRPr="00632AD7">
        <w:rPr>
          <w:i/>
          <w:iCs/>
          <w:lang w:val="fr-BE"/>
        </w:rPr>
        <w:t>6. La présente directive ne s'applique pas aux mesures que les États membres estiment nécessaires dans le cadre des traités pour assurer la protection des personnes, et en particulier des travailleurs, lors de l'utilisation de produits, pour autant que ces mesures n'affectent pas les produits.</w:t>
      </w:r>
      <w:r w:rsidR="00A23485" w:rsidRPr="007C75A4">
        <w:rPr>
          <w:i/>
          <w:iCs/>
          <w:lang w:val="fr-BE"/>
        </w:rPr>
        <w:t>»</w:t>
      </w:r>
    </w:p>
    <w:p w14:paraId="70E3F74F" w14:textId="77777777" w:rsidR="00A23485" w:rsidRPr="007C75A4" w:rsidRDefault="00A23485" w:rsidP="00AA4F20">
      <w:pPr>
        <w:pStyle w:val="BodyText"/>
        <w:rPr>
          <w:b/>
          <w:bCs/>
          <w:lang w:val="fr-BE"/>
        </w:rPr>
      </w:pPr>
    </w:p>
    <w:p w14:paraId="74938EC0" w14:textId="533BFE14" w:rsidR="00A23485" w:rsidRDefault="00A23485" w:rsidP="00AA4F20">
      <w:pPr>
        <w:pStyle w:val="BodyText"/>
        <w:ind w:left="1080"/>
        <w:jc w:val="right"/>
      </w:pPr>
      <w:r w:rsidRPr="007C75A4">
        <w:t xml:space="preserve">(article </w:t>
      </w:r>
      <w:r w:rsidR="000A18C4">
        <w:t>1</w:t>
      </w:r>
      <w:r w:rsidR="000A18C4" w:rsidRPr="000A18C4">
        <w:rPr>
          <w:vertAlign w:val="superscript"/>
        </w:rPr>
        <w:t>er</w:t>
      </w:r>
      <w:r w:rsidRPr="007C75A4">
        <w:t>, paragraphe</w:t>
      </w:r>
      <w:r w:rsidR="00274ED4">
        <w:t>s</w:t>
      </w:r>
      <w:r w:rsidRPr="007C75A4">
        <w:t xml:space="preserve"> 2</w:t>
      </w:r>
      <w:r w:rsidR="00274ED4">
        <w:t xml:space="preserve"> à </w:t>
      </w:r>
      <w:r w:rsidR="00632AD7">
        <w:t>6</w:t>
      </w:r>
      <w:r w:rsidRPr="007C75A4">
        <w:t xml:space="preserve">, de la directive </w:t>
      </w:r>
      <w:r w:rsidR="006C60E5">
        <w:t xml:space="preserve">(UE) </w:t>
      </w:r>
      <w:r w:rsidRPr="007C75A4">
        <w:t>2015/1535)</w:t>
      </w:r>
    </w:p>
    <w:p w14:paraId="2BAD670C" w14:textId="77777777" w:rsidR="007E3AA5" w:rsidRDefault="007E3AA5" w:rsidP="00AA4F20">
      <w:pPr>
        <w:pStyle w:val="BodyText"/>
        <w:rPr>
          <w:i/>
          <w:iCs/>
          <w:sz w:val="20"/>
          <w:lang w:val="fr-BE"/>
        </w:rPr>
      </w:pPr>
    </w:p>
    <w:p w14:paraId="0C974BBF" w14:textId="223E03F3" w:rsidR="00A23485" w:rsidRDefault="005F1C4E" w:rsidP="007E3AA5">
      <w:pPr>
        <w:pStyle w:val="BodyText"/>
        <w:ind w:left="567"/>
        <w:rPr>
          <w:i/>
          <w:iCs/>
          <w:szCs w:val="24"/>
          <w:lang w:val="fr-BE"/>
        </w:rPr>
      </w:pPr>
      <w:r w:rsidRPr="007E3AA5">
        <w:rPr>
          <w:i/>
          <w:iCs/>
          <w:szCs w:val="24"/>
          <w:lang w:val="fr-BE"/>
        </w:rPr>
        <w:t>« «radiodiffusion télévisuelle»: ou «émission télévisée» (c’est-à-dire un service de médias audiovisuels linéaire): un service de médias audiovisuels fourni par un fournisseur de services de médias pour le visionnage simultané de programmes sur la base d’une grille de programmes; »</w:t>
      </w:r>
    </w:p>
    <w:p w14:paraId="68D48BC5" w14:textId="77777777" w:rsidR="004A1BC1" w:rsidRDefault="004A1BC1" w:rsidP="007E3AA5">
      <w:pPr>
        <w:pStyle w:val="BodyText"/>
        <w:ind w:left="567"/>
        <w:rPr>
          <w:i/>
          <w:iCs/>
          <w:szCs w:val="24"/>
          <w:lang w:val="fr-BE"/>
        </w:rPr>
      </w:pPr>
    </w:p>
    <w:p w14:paraId="1E9F9AD6" w14:textId="6D2FDC78" w:rsidR="004A1BC1" w:rsidRPr="007C75A4" w:rsidRDefault="004A1BC1" w:rsidP="004A1BC1">
      <w:pPr>
        <w:pStyle w:val="BodyText"/>
        <w:ind w:left="1080"/>
        <w:jc w:val="right"/>
      </w:pPr>
      <w:r w:rsidRPr="007C75A4">
        <w:t xml:space="preserve">(article </w:t>
      </w:r>
      <w:r>
        <w:t>1</w:t>
      </w:r>
      <w:r w:rsidRPr="000A18C4">
        <w:rPr>
          <w:vertAlign w:val="superscript"/>
        </w:rPr>
        <w:t>er</w:t>
      </w:r>
      <w:r w:rsidRPr="007C75A4">
        <w:t xml:space="preserve">, </w:t>
      </w:r>
      <w:r w:rsidR="002D4B5F">
        <w:t xml:space="preserve">paragraphe 1, </w:t>
      </w:r>
      <w:r w:rsidR="001305B4">
        <w:t>point</w:t>
      </w:r>
      <w:r>
        <w:t xml:space="preserve"> e)</w:t>
      </w:r>
      <w:r w:rsidRPr="007C75A4">
        <w:t xml:space="preserve">, de la directive </w:t>
      </w:r>
      <w:r>
        <w:t>2010/13</w:t>
      </w:r>
      <w:r w:rsidR="006C60E5">
        <w:t>/UE</w:t>
      </w:r>
      <w:r w:rsidRPr="007C75A4">
        <w:t>)</w:t>
      </w:r>
    </w:p>
    <w:p w14:paraId="13E3D11F" w14:textId="77777777" w:rsidR="0051744C" w:rsidRDefault="0051744C" w:rsidP="0051744C">
      <w:pPr>
        <w:pStyle w:val="BodyText"/>
        <w:ind w:left="1080"/>
        <w:jc w:val="right"/>
      </w:pPr>
    </w:p>
    <w:p w14:paraId="25DA5480" w14:textId="77777777" w:rsidR="0051744C" w:rsidRPr="007E3AA5" w:rsidRDefault="0051744C" w:rsidP="0051744C">
      <w:pPr>
        <w:pStyle w:val="BodyText"/>
        <w:ind w:left="567"/>
        <w:jc w:val="left"/>
        <w:rPr>
          <w:i/>
          <w:iCs/>
          <w:lang w:val="fr-BE"/>
        </w:rPr>
      </w:pPr>
      <w:r w:rsidRPr="007E3AA5">
        <w:rPr>
          <w:i/>
          <w:iCs/>
          <w:lang w:val="fr-BE"/>
        </w:rPr>
        <w:t xml:space="preserve">Liste indicative des services financiers visés à l'article 1er, paragraphe 4 </w:t>
      </w:r>
    </w:p>
    <w:p w14:paraId="43E87BDB" w14:textId="77777777" w:rsidR="0051744C" w:rsidRPr="007E3AA5" w:rsidRDefault="0051744C" w:rsidP="0051744C">
      <w:pPr>
        <w:pStyle w:val="BodyText"/>
        <w:numPr>
          <w:ilvl w:val="0"/>
          <w:numId w:val="19"/>
        </w:numPr>
        <w:jc w:val="left"/>
        <w:rPr>
          <w:i/>
          <w:iCs/>
          <w:lang w:val="fr-BE"/>
        </w:rPr>
      </w:pPr>
      <w:r w:rsidRPr="007E3AA5">
        <w:rPr>
          <w:i/>
          <w:iCs/>
          <w:lang w:val="fr-BE"/>
        </w:rPr>
        <w:t xml:space="preserve"> Services d'investissement, </w:t>
      </w:r>
    </w:p>
    <w:p w14:paraId="48E453BB" w14:textId="77777777" w:rsidR="0051744C" w:rsidRPr="007E3AA5" w:rsidRDefault="0051744C" w:rsidP="0051744C">
      <w:pPr>
        <w:pStyle w:val="BodyText"/>
        <w:numPr>
          <w:ilvl w:val="0"/>
          <w:numId w:val="19"/>
        </w:numPr>
        <w:jc w:val="left"/>
        <w:rPr>
          <w:i/>
          <w:iCs/>
          <w:lang w:val="fr-BE"/>
        </w:rPr>
      </w:pPr>
      <w:r w:rsidRPr="007E3AA5">
        <w:rPr>
          <w:i/>
          <w:iCs/>
          <w:lang w:val="fr-BE"/>
        </w:rPr>
        <w:t xml:space="preserve"> Opérations d'assurance et de réassurance, </w:t>
      </w:r>
    </w:p>
    <w:p w14:paraId="7A6CF83C" w14:textId="77777777" w:rsidR="0051744C" w:rsidRPr="007E3AA5" w:rsidRDefault="0051744C" w:rsidP="0051744C">
      <w:pPr>
        <w:pStyle w:val="BodyText"/>
        <w:numPr>
          <w:ilvl w:val="0"/>
          <w:numId w:val="19"/>
        </w:numPr>
        <w:jc w:val="left"/>
        <w:rPr>
          <w:i/>
          <w:iCs/>
          <w:lang w:val="fr-BE"/>
        </w:rPr>
      </w:pPr>
      <w:r w:rsidRPr="007E3AA5">
        <w:rPr>
          <w:i/>
          <w:iCs/>
          <w:lang w:val="fr-BE"/>
        </w:rPr>
        <w:t xml:space="preserve">Services bancaires, </w:t>
      </w:r>
    </w:p>
    <w:p w14:paraId="417C04B1" w14:textId="77777777" w:rsidR="0051744C" w:rsidRPr="007E3AA5" w:rsidRDefault="0051744C" w:rsidP="0051744C">
      <w:pPr>
        <w:pStyle w:val="BodyText"/>
        <w:numPr>
          <w:ilvl w:val="0"/>
          <w:numId w:val="19"/>
        </w:numPr>
        <w:jc w:val="left"/>
        <w:rPr>
          <w:i/>
          <w:iCs/>
          <w:lang w:val="fr-BE"/>
        </w:rPr>
      </w:pPr>
      <w:r w:rsidRPr="007E3AA5">
        <w:rPr>
          <w:i/>
          <w:iCs/>
          <w:lang w:val="fr-BE"/>
        </w:rPr>
        <w:t xml:space="preserve"> Opérations ayant trait aux fonds de pensions, </w:t>
      </w:r>
    </w:p>
    <w:p w14:paraId="4DCCCD8C" w14:textId="77777777" w:rsidR="0051744C" w:rsidRDefault="0051744C" w:rsidP="0051744C">
      <w:pPr>
        <w:pStyle w:val="BodyText"/>
        <w:numPr>
          <w:ilvl w:val="0"/>
          <w:numId w:val="19"/>
        </w:numPr>
        <w:jc w:val="left"/>
        <w:rPr>
          <w:i/>
          <w:iCs/>
          <w:lang w:val="fr-BE"/>
        </w:rPr>
      </w:pPr>
      <w:r w:rsidRPr="007E3AA5">
        <w:rPr>
          <w:i/>
          <w:iCs/>
          <w:lang w:val="fr-BE"/>
        </w:rPr>
        <w:t xml:space="preserve"> Services visant des opérations à terme ou en option. </w:t>
      </w:r>
    </w:p>
    <w:p w14:paraId="44F64621" w14:textId="77777777" w:rsidR="0051744C" w:rsidRPr="007E3AA5" w:rsidRDefault="0051744C" w:rsidP="0051744C">
      <w:pPr>
        <w:pStyle w:val="BodyText"/>
        <w:ind w:left="927"/>
        <w:jc w:val="left"/>
        <w:rPr>
          <w:i/>
          <w:iCs/>
          <w:lang w:val="fr-BE"/>
        </w:rPr>
      </w:pPr>
    </w:p>
    <w:p w14:paraId="36ED4AC3" w14:textId="77777777" w:rsidR="0051744C" w:rsidRDefault="0051744C" w:rsidP="0051744C">
      <w:pPr>
        <w:pStyle w:val="BodyText"/>
        <w:ind w:left="567"/>
        <w:jc w:val="left"/>
        <w:rPr>
          <w:i/>
          <w:iCs/>
          <w:lang w:val="fr-BE"/>
        </w:rPr>
      </w:pPr>
      <w:r w:rsidRPr="007E3AA5">
        <w:rPr>
          <w:i/>
          <w:iCs/>
          <w:lang w:val="fr-BE"/>
        </w:rPr>
        <w:t xml:space="preserve">Ces services comprennent en particulier: </w:t>
      </w:r>
    </w:p>
    <w:p w14:paraId="4859EE76" w14:textId="77777777" w:rsidR="0051744C" w:rsidRPr="007E3AA5" w:rsidRDefault="0051744C" w:rsidP="0051744C">
      <w:pPr>
        <w:pStyle w:val="BodyText"/>
        <w:numPr>
          <w:ilvl w:val="0"/>
          <w:numId w:val="20"/>
        </w:numPr>
        <w:jc w:val="left"/>
        <w:rPr>
          <w:i/>
          <w:iCs/>
          <w:lang w:val="fr-BE"/>
        </w:rPr>
      </w:pPr>
      <w:r w:rsidRPr="007E3AA5">
        <w:rPr>
          <w:i/>
          <w:iCs/>
          <w:lang w:val="fr-BE"/>
        </w:rPr>
        <w:t>les services d'investissement visés à l'annexe de la directive 2004/39/CE; les services d'entreprises d'investissements</w:t>
      </w:r>
      <w:r>
        <w:rPr>
          <w:i/>
          <w:iCs/>
          <w:lang w:val="fr-BE"/>
        </w:rPr>
        <w:t xml:space="preserve"> </w:t>
      </w:r>
      <w:r w:rsidRPr="007E3AA5">
        <w:rPr>
          <w:i/>
          <w:iCs/>
          <w:lang w:val="fr-BE"/>
        </w:rPr>
        <w:t xml:space="preserve">collectifs; </w:t>
      </w:r>
    </w:p>
    <w:p w14:paraId="3D1DF39E" w14:textId="77777777" w:rsidR="0051744C" w:rsidRPr="007E3AA5" w:rsidRDefault="0051744C" w:rsidP="0051744C">
      <w:pPr>
        <w:pStyle w:val="BodyText"/>
        <w:numPr>
          <w:ilvl w:val="0"/>
          <w:numId w:val="20"/>
        </w:numPr>
        <w:jc w:val="left"/>
        <w:rPr>
          <w:i/>
          <w:iCs/>
          <w:lang w:val="fr-BE"/>
        </w:rPr>
      </w:pPr>
      <w:r w:rsidRPr="007E3AA5">
        <w:rPr>
          <w:i/>
          <w:iCs/>
          <w:lang w:val="fr-BE"/>
        </w:rPr>
        <w:t>les services relevant des activités bénéficiant de la reconnaissance mutuelle et visés à l'annexe I de la directive 2013/36/UE du Parlement européen et du Conseil</w:t>
      </w:r>
      <w:r>
        <w:rPr>
          <w:i/>
          <w:iCs/>
          <w:lang w:val="fr-BE"/>
        </w:rPr>
        <w:t xml:space="preserve"> </w:t>
      </w:r>
      <w:r w:rsidRPr="007E3AA5">
        <w:rPr>
          <w:i/>
          <w:iCs/>
          <w:lang w:val="fr-BE"/>
        </w:rPr>
        <w:t xml:space="preserve">; </w:t>
      </w:r>
    </w:p>
    <w:p w14:paraId="4117CA91" w14:textId="77777777" w:rsidR="0051744C" w:rsidRPr="007E3AA5" w:rsidRDefault="0051744C" w:rsidP="0051744C">
      <w:pPr>
        <w:pStyle w:val="BodyText"/>
        <w:numPr>
          <w:ilvl w:val="0"/>
          <w:numId w:val="20"/>
        </w:numPr>
        <w:jc w:val="left"/>
        <w:rPr>
          <w:i/>
          <w:iCs/>
          <w:lang w:val="fr-BE"/>
        </w:rPr>
      </w:pPr>
      <w:r w:rsidRPr="007E3AA5">
        <w:rPr>
          <w:i/>
          <w:iCs/>
          <w:lang w:val="fr-BE"/>
        </w:rPr>
        <w:t xml:space="preserve"> les opérations relevant des activités d'assurance et de réassurance visées par l</w:t>
      </w:r>
      <w:r>
        <w:rPr>
          <w:i/>
          <w:iCs/>
          <w:lang w:val="fr-BE"/>
        </w:rPr>
        <w:t xml:space="preserve">a </w:t>
      </w:r>
      <w:r w:rsidRPr="007E3AA5">
        <w:rPr>
          <w:i/>
          <w:iCs/>
          <w:lang w:val="fr-BE"/>
        </w:rPr>
        <w:t>directive 2009/138/CE du Parlement</w:t>
      </w:r>
      <w:r>
        <w:rPr>
          <w:i/>
          <w:iCs/>
          <w:lang w:val="fr-BE"/>
        </w:rPr>
        <w:t xml:space="preserve"> </w:t>
      </w:r>
      <w:r w:rsidRPr="007E3AA5">
        <w:rPr>
          <w:i/>
          <w:iCs/>
          <w:lang w:val="fr-BE"/>
        </w:rPr>
        <w:t>européen et du Conseil</w:t>
      </w:r>
      <w:r>
        <w:rPr>
          <w:i/>
          <w:iCs/>
          <w:lang w:val="fr-BE"/>
        </w:rPr>
        <w:t>.</w:t>
      </w:r>
    </w:p>
    <w:p w14:paraId="48C2F22B" w14:textId="77777777" w:rsidR="0051744C" w:rsidRDefault="0051744C" w:rsidP="0051744C">
      <w:pPr>
        <w:pStyle w:val="BodyText"/>
        <w:rPr>
          <w:i/>
          <w:iCs/>
          <w:sz w:val="20"/>
          <w:lang w:val="fr-BE"/>
        </w:rPr>
      </w:pPr>
    </w:p>
    <w:p w14:paraId="79D13F1F" w14:textId="27248B35" w:rsidR="0051744C" w:rsidRPr="007E3AA5" w:rsidRDefault="0051744C" w:rsidP="0051744C">
      <w:pPr>
        <w:pStyle w:val="BodyText"/>
        <w:ind w:left="1080"/>
        <w:jc w:val="right"/>
      </w:pPr>
      <w:r w:rsidRPr="007C75A4">
        <w:t>(</w:t>
      </w:r>
      <w:r>
        <w:t>annexe II</w:t>
      </w:r>
      <w:r w:rsidRPr="007C75A4">
        <w:t xml:space="preserve"> de la directive </w:t>
      </w:r>
      <w:r w:rsidR="006C60E5">
        <w:t xml:space="preserve">(UE) </w:t>
      </w:r>
      <w:r w:rsidRPr="007C75A4">
        <w:t>2015/1535)</w:t>
      </w:r>
    </w:p>
    <w:p w14:paraId="0C95D790" w14:textId="77777777" w:rsidR="004A1BC1" w:rsidRPr="0051744C" w:rsidRDefault="004A1BC1" w:rsidP="007E3AA5">
      <w:pPr>
        <w:pStyle w:val="BodyText"/>
        <w:ind w:left="567"/>
        <w:rPr>
          <w:i/>
          <w:iCs/>
          <w:szCs w:val="24"/>
        </w:rPr>
      </w:pPr>
    </w:p>
    <w:p w14:paraId="7A47117F" w14:textId="421C1F46" w:rsidR="004A1BC1" w:rsidRDefault="004A1BC1" w:rsidP="007E3AA5">
      <w:pPr>
        <w:pStyle w:val="BodyText"/>
        <w:ind w:left="567"/>
        <w:rPr>
          <w:i/>
          <w:iCs/>
          <w:szCs w:val="24"/>
          <w:lang w:val="fr-BE"/>
        </w:rPr>
      </w:pPr>
      <w:r w:rsidRPr="004A1BC1">
        <w:rPr>
          <w:i/>
          <w:iCs/>
          <w:szCs w:val="24"/>
          <w:lang w:val="fr-BE"/>
        </w:rPr>
        <w:t>«marché réglementé», un système multilatéral, exploité et/ou géré par un opérateur de marché, qui assure ou facilite la rencontre – en son sein même et selon ses règles non discrétionnaires – de multiples intérêts acheteurs et vendeurs exprimés par des tiers pour des instruments financiers, d’une manière qui aboutisse à la conclusion de contrats portant sur des instruments financiers admis à la négociation dans le cadre de ses règles et/ou de ses systèmes, et qui est agréé et fonctionne régulièrement conformément au titre III de la présente directive;</w:t>
      </w:r>
    </w:p>
    <w:p w14:paraId="326B89D5" w14:textId="77777777" w:rsidR="004A1BC1" w:rsidRDefault="004A1BC1" w:rsidP="007E3AA5">
      <w:pPr>
        <w:pStyle w:val="BodyText"/>
        <w:ind w:left="567"/>
        <w:rPr>
          <w:i/>
          <w:iCs/>
          <w:szCs w:val="24"/>
          <w:lang w:val="fr-BE"/>
        </w:rPr>
      </w:pPr>
    </w:p>
    <w:p w14:paraId="2EE59DAD" w14:textId="722F5418" w:rsidR="00B679CF" w:rsidRDefault="004A1BC1" w:rsidP="004A1BC1">
      <w:pPr>
        <w:pStyle w:val="BodyText"/>
        <w:ind w:left="567"/>
        <w:jc w:val="right"/>
        <w:rPr>
          <w:szCs w:val="24"/>
          <w:lang w:val="fr-BE"/>
        </w:rPr>
      </w:pPr>
      <w:r>
        <w:rPr>
          <w:szCs w:val="24"/>
          <w:lang w:val="fr-BE"/>
        </w:rPr>
        <w:t xml:space="preserve">(Article 4, </w:t>
      </w:r>
      <w:r w:rsidR="001305B4">
        <w:rPr>
          <w:szCs w:val="24"/>
          <w:lang w:val="fr-BE"/>
        </w:rPr>
        <w:t>point</w:t>
      </w:r>
      <w:r>
        <w:rPr>
          <w:szCs w:val="24"/>
          <w:lang w:val="fr-BE"/>
        </w:rPr>
        <w:t xml:space="preserve"> 21</w:t>
      </w:r>
      <w:r w:rsidR="00632AD7">
        <w:rPr>
          <w:szCs w:val="24"/>
          <w:lang w:val="fr-BE"/>
        </w:rPr>
        <w:t>,</w:t>
      </w:r>
      <w:r>
        <w:rPr>
          <w:szCs w:val="24"/>
          <w:lang w:val="fr-BE"/>
        </w:rPr>
        <w:t xml:space="preserve"> de la directive </w:t>
      </w:r>
      <w:r w:rsidR="00F3747E">
        <w:rPr>
          <w:szCs w:val="24"/>
          <w:lang w:val="fr-BE"/>
        </w:rPr>
        <w:t xml:space="preserve">(UE) </w:t>
      </w:r>
      <w:r>
        <w:rPr>
          <w:szCs w:val="24"/>
          <w:lang w:val="fr-BE"/>
        </w:rPr>
        <w:t>2014/65</w:t>
      </w:r>
      <w:r w:rsidR="00B679CF">
        <w:rPr>
          <w:szCs w:val="24"/>
          <w:lang w:val="fr-BE"/>
        </w:rPr>
        <w:t>,</w:t>
      </w:r>
      <w:r w:rsidR="00632AD7">
        <w:rPr>
          <w:szCs w:val="24"/>
          <w:lang w:val="fr-BE"/>
        </w:rPr>
        <w:t xml:space="preserve"> </w:t>
      </w:r>
    </w:p>
    <w:p w14:paraId="510D994F" w14:textId="6EE676DC" w:rsidR="004A1BC1" w:rsidRPr="004A1BC1" w:rsidRDefault="00B679CF" w:rsidP="004A1BC1">
      <w:pPr>
        <w:pStyle w:val="BodyText"/>
        <w:ind w:left="567"/>
        <w:jc w:val="right"/>
        <w:rPr>
          <w:szCs w:val="24"/>
          <w:lang w:val="fr-BE"/>
        </w:rPr>
      </w:pPr>
      <w:r>
        <w:rPr>
          <w:szCs w:val="24"/>
          <w:lang w:val="fr-BE"/>
        </w:rPr>
        <w:t xml:space="preserve">procédant à la refonte de la directive </w:t>
      </w:r>
      <w:r w:rsidR="00632AD7" w:rsidRPr="00632AD7">
        <w:rPr>
          <w:szCs w:val="24"/>
          <w:lang w:val="fr-BE"/>
        </w:rPr>
        <w:t>2004/39/CE</w:t>
      </w:r>
      <w:r w:rsidR="004A1BC1">
        <w:rPr>
          <w:szCs w:val="24"/>
          <w:lang w:val="fr-BE"/>
        </w:rPr>
        <w:t xml:space="preserve">) </w:t>
      </w:r>
    </w:p>
    <w:p w14:paraId="4A6FAABA" w14:textId="77777777" w:rsidR="005F1C4E" w:rsidRDefault="005F1C4E" w:rsidP="00AA4F20">
      <w:pPr>
        <w:pStyle w:val="BodyText"/>
        <w:rPr>
          <w:i/>
          <w:iCs/>
          <w:sz w:val="20"/>
        </w:rPr>
      </w:pPr>
    </w:p>
    <w:p w14:paraId="0469372E" w14:textId="1606BFD1" w:rsidR="007E3AA5" w:rsidRPr="00411B0D" w:rsidRDefault="00B3389F" w:rsidP="007E3AA5">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hyperlink r:id="rId71" w:history="1">
        <w:r w:rsidR="007E3AA5" w:rsidRPr="0053273A">
          <w:rPr>
            <w:rStyle w:val="Hyperlink"/>
            <w:rFonts w:ascii="Times New Roman" w:eastAsia="Times New Roman" w:hAnsi="Times New Roman" w:cs="Times New Roman"/>
            <w:b/>
            <w:i/>
            <w:color w:val="0000FF"/>
            <w:szCs w:val="20"/>
            <w:lang w:val="fr" w:eastAsia="en-IE"/>
          </w:rPr>
          <w:t>Arrêt du 2 juin 2005</w:t>
        </w:r>
      </w:hyperlink>
      <w:r w:rsidR="007E3AA5" w:rsidRPr="005F1D97">
        <w:rPr>
          <w:rFonts w:ascii="Times New Roman" w:eastAsia="Times New Roman" w:hAnsi="Times New Roman" w:cs="Times New Roman"/>
          <w:b/>
          <w:i/>
          <w:szCs w:val="20"/>
          <w:lang w:val="fr" w:eastAsia="en-IE"/>
        </w:rPr>
        <w:t xml:space="preserve">, </w:t>
      </w:r>
      <w:proofErr w:type="spellStart"/>
      <w:r w:rsidR="00745699">
        <w:rPr>
          <w:rFonts w:ascii="Times New Roman" w:eastAsia="Times New Roman" w:hAnsi="Times New Roman" w:cs="Times New Roman"/>
          <w:b/>
          <w:i/>
          <w:szCs w:val="20"/>
          <w:lang w:val="fr" w:eastAsia="en-IE"/>
        </w:rPr>
        <w:t>Mediakabel</w:t>
      </w:r>
      <w:proofErr w:type="spellEnd"/>
      <w:r w:rsidR="00745699">
        <w:rPr>
          <w:rFonts w:ascii="Times New Roman" w:eastAsia="Times New Roman" w:hAnsi="Times New Roman" w:cs="Times New Roman"/>
          <w:b/>
          <w:i/>
          <w:szCs w:val="20"/>
          <w:lang w:val="fr" w:eastAsia="en-IE"/>
        </w:rPr>
        <w:t xml:space="preserve"> BV</w:t>
      </w:r>
      <w:r w:rsidR="00745699" w:rsidRPr="005F1D97">
        <w:rPr>
          <w:rFonts w:ascii="Times New Roman" w:eastAsia="Times New Roman" w:hAnsi="Times New Roman" w:cs="Times New Roman"/>
          <w:b/>
          <w:i/>
          <w:szCs w:val="20"/>
          <w:lang w:val="fr" w:eastAsia="en-IE"/>
        </w:rPr>
        <w:t xml:space="preserve">, </w:t>
      </w:r>
      <w:r w:rsidR="007E3AA5" w:rsidRPr="005F1D97">
        <w:rPr>
          <w:rFonts w:ascii="Times New Roman" w:eastAsia="Times New Roman" w:hAnsi="Times New Roman" w:cs="Times New Roman"/>
          <w:b/>
          <w:i/>
          <w:szCs w:val="20"/>
          <w:lang w:val="fr" w:eastAsia="en-IE"/>
        </w:rPr>
        <w:t>C-</w:t>
      </w:r>
      <w:r w:rsidR="007E3AA5">
        <w:rPr>
          <w:rFonts w:ascii="Times New Roman" w:eastAsia="Times New Roman" w:hAnsi="Times New Roman" w:cs="Times New Roman"/>
          <w:b/>
          <w:i/>
          <w:szCs w:val="20"/>
          <w:lang w:val="fr" w:eastAsia="en-IE"/>
        </w:rPr>
        <w:t>89/04</w:t>
      </w:r>
      <w:r w:rsidR="007E3AA5" w:rsidRPr="005F1D97">
        <w:rPr>
          <w:rFonts w:ascii="Times New Roman" w:eastAsia="Times New Roman" w:hAnsi="Times New Roman" w:cs="Times New Roman"/>
          <w:b/>
          <w:i/>
          <w:szCs w:val="20"/>
          <w:lang w:val="fr" w:eastAsia="en-IE"/>
        </w:rPr>
        <w:t>,</w:t>
      </w:r>
      <w:r w:rsidR="007E3AA5">
        <w:rPr>
          <w:rFonts w:ascii="Times New Roman" w:eastAsia="Times New Roman" w:hAnsi="Times New Roman" w:cs="Times New Roman"/>
          <w:b/>
          <w:i/>
          <w:szCs w:val="20"/>
          <w:lang w:val="fr" w:eastAsia="en-IE"/>
        </w:rPr>
        <w:t xml:space="preserve"> </w:t>
      </w:r>
      <w:r w:rsidR="007E3AA5" w:rsidRPr="007E3AA5">
        <w:rPr>
          <w:rFonts w:ascii="Times New Roman" w:eastAsia="Times New Roman" w:hAnsi="Times New Roman" w:cs="Times New Roman"/>
          <w:b/>
          <w:i/>
          <w:szCs w:val="20"/>
          <w:lang w:val="fr-BE" w:eastAsia="en-IE"/>
        </w:rPr>
        <w:t>EU:C:2005:348</w:t>
      </w:r>
      <w:r w:rsidR="007E3AA5" w:rsidRPr="005F1D97">
        <w:rPr>
          <w:rFonts w:ascii="Times New Roman" w:eastAsia="Times New Roman" w:hAnsi="Times New Roman" w:cs="Times New Roman"/>
          <w:b/>
          <w:i/>
          <w:szCs w:val="20"/>
          <w:lang w:val="fr" w:eastAsia="en-IE"/>
        </w:rPr>
        <w:t>, point</w:t>
      </w:r>
      <w:r w:rsidR="007E3AA5">
        <w:rPr>
          <w:rFonts w:ascii="Times New Roman" w:eastAsia="Times New Roman" w:hAnsi="Times New Roman" w:cs="Times New Roman"/>
          <w:b/>
          <w:i/>
          <w:szCs w:val="20"/>
          <w:lang w:val="fr" w:eastAsia="en-IE"/>
        </w:rPr>
        <w:t xml:space="preserve"> 22 et 23</w:t>
      </w:r>
    </w:p>
    <w:p w14:paraId="53769356" w14:textId="77777777" w:rsidR="007E3AA5" w:rsidRPr="005F1D97" w:rsidRDefault="007E3AA5" w:rsidP="007E3A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6FF29DB" w14:textId="1A8A6E1B" w:rsidR="007E3AA5" w:rsidRDefault="007E3AA5" w:rsidP="007E3AA5">
      <w:pPr>
        <w:widowControl w:val="0"/>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 service de diffusion télévisuelle disponible sur appel de l’abonné et consistant en des films dont la fréquence et l’horaire de diffusion sont déterminés par le prestataire est un service de « quasi vidéo à la demande » qui relève de la notion de « radiotélévision visuelle ». Cette notion est définie de manière autonome par la directive 2010/13/UE (anciennement directive </w:t>
      </w:r>
      <w:r w:rsidRPr="007E3AA5">
        <w:rPr>
          <w:rFonts w:ascii="Times New Roman" w:eastAsia="Times New Roman" w:hAnsi="Times New Roman" w:cs="Times New Roman"/>
          <w:szCs w:val="20"/>
          <w:lang w:val="fr-BE" w:eastAsia="en-IE"/>
        </w:rPr>
        <w:t>89/552/CEE</w:t>
      </w:r>
      <w:r>
        <w:rPr>
          <w:rFonts w:ascii="Times New Roman" w:eastAsia="Times New Roman" w:hAnsi="Times New Roman" w:cs="Times New Roman"/>
          <w:szCs w:val="20"/>
          <w:lang w:val="fr" w:eastAsia="en-IE"/>
        </w:rPr>
        <w:t>), indifféremment de la notion de « service de la société de l’information ».</w:t>
      </w:r>
    </w:p>
    <w:p w14:paraId="05F56159" w14:textId="77777777" w:rsidR="007E3AA5" w:rsidRPr="005F1D97" w:rsidRDefault="007E3AA5" w:rsidP="007E3AA5">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31A43BF2" w14:textId="49953E11" w:rsidR="007E3AA5" w:rsidRPr="002F562D" w:rsidRDefault="007E3AA5" w:rsidP="007E3AA5">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w:t>
      </w:r>
      <w:r w:rsidRPr="002F562D">
        <w:rPr>
          <w:rFonts w:ascii="Times New Roman" w:eastAsia="Times New Roman" w:hAnsi="Times New Roman" w:cs="Times New Roman"/>
          <w:i/>
          <w:iCs/>
          <w:sz w:val="20"/>
          <w:szCs w:val="16"/>
          <w:lang w:val="fr" w:eastAsia="en-IE"/>
        </w:rPr>
        <w:t>22</w:t>
      </w:r>
      <w:r w:rsidR="005C053F">
        <w:rPr>
          <w:rFonts w:ascii="Times New Roman" w:eastAsia="Times New Roman" w:hAnsi="Times New Roman" w:cs="Times New Roman"/>
          <w:i/>
          <w:iCs/>
          <w:sz w:val="20"/>
          <w:szCs w:val="16"/>
          <w:lang w:val="fr" w:eastAsia="en-IE"/>
        </w:rPr>
        <w:t>.</w:t>
      </w:r>
      <w:r w:rsidRPr="002F562D">
        <w:rPr>
          <w:rFonts w:ascii="Times New Roman" w:eastAsia="Times New Roman" w:hAnsi="Times New Roman" w:cs="Times New Roman"/>
          <w:i/>
          <w:iCs/>
          <w:sz w:val="20"/>
          <w:szCs w:val="16"/>
          <w:lang w:val="fr" w:eastAsia="en-IE"/>
        </w:rPr>
        <w:t xml:space="preserve"> </w:t>
      </w:r>
      <w:r>
        <w:rPr>
          <w:rFonts w:ascii="Times New Roman" w:eastAsia="Times New Roman" w:hAnsi="Times New Roman" w:cs="Times New Roman"/>
          <w:i/>
          <w:iCs/>
          <w:sz w:val="20"/>
          <w:szCs w:val="16"/>
          <w:lang w:val="fr" w:eastAsia="en-IE"/>
        </w:rPr>
        <w:t>[…]</w:t>
      </w:r>
      <w:r w:rsidRPr="002F562D">
        <w:rPr>
          <w:rFonts w:ascii="Times New Roman" w:eastAsia="Times New Roman" w:hAnsi="Times New Roman" w:cs="Times New Roman"/>
          <w:i/>
          <w:iCs/>
          <w:sz w:val="20"/>
          <w:szCs w:val="16"/>
          <w:lang w:val="fr" w:eastAsia="en-IE"/>
        </w:rPr>
        <w:t xml:space="preserve"> le champ d’application de la notion de «radiodiffusion télévisuelle» ne peut en aucune manière se déduire par exclusion de celui de la notion de «service de la société de l’information». En effet, la directive 98/34 mentionne, à son article 1er, point 2, comme à son annexe V, des services qui ne sont pas couverts par la notion de «service de la société de l’information» et qui, pour autant, ne constituent pas des services de radiodiffusion télévisuelle. Il en va ainsi, notamment, des services de radiodiffusion sonore. De même, les services de radiodiffusion télévisuelle ne peuvent être limités aux services «fournis par l’envoi de données sans appel individuel et destinés à la réception simultanée d’un nombre illimité de destinataires», visés à l’annexe V, point 3, de la directive 98/34. Si cette interprétation était retenue, des services tels que ceux de télévision sur abonnement, diffusés auprès d’un nombre limité de destinataires, seraient soustraits à la notion de «service de radiodiffusion télévisuelle», alors qu’ils relèvent de cette notion, en vertu des critères fixés à l’article 1er, sous a), de la directive 89/552.</w:t>
      </w:r>
    </w:p>
    <w:p w14:paraId="049C77A1" w14:textId="77777777" w:rsidR="007E3AA5" w:rsidRPr="002F562D" w:rsidRDefault="007E3AA5" w:rsidP="007E3AA5">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1DB468BF" w14:textId="4244198E" w:rsidR="007E3AA5" w:rsidRPr="007E3AA5" w:rsidRDefault="007E3AA5" w:rsidP="007E3AA5">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F562D">
        <w:rPr>
          <w:rFonts w:ascii="Times New Roman" w:eastAsia="Times New Roman" w:hAnsi="Times New Roman" w:cs="Times New Roman"/>
          <w:i/>
          <w:iCs/>
          <w:sz w:val="20"/>
          <w:szCs w:val="16"/>
          <w:lang w:val="fr" w:eastAsia="en-IE"/>
        </w:rPr>
        <w:t>23</w:t>
      </w:r>
      <w:r w:rsidR="005C053F">
        <w:rPr>
          <w:rFonts w:ascii="Times New Roman" w:eastAsia="Times New Roman" w:hAnsi="Times New Roman" w:cs="Times New Roman"/>
          <w:i/>
          <w:iCs/>
          <w:sz w:val="20"/>
          <w:szCs w:val="16"/>
          <w:lang w:val="fr" w:eastAsia="en-IE"/>
        </w:rPr>
        <w:t xml:space="preserve">. </w:t>
      </w:r>
      <w:r w:rsidRPr="002F562D">
        <w:rPr>
          <w:rFonts w:ascii="Times New Roman" w:eastAsia="Times New Roman" w:hAnsi="Times New Roman" w:cs="Times New Roman"/>
          <w:i/>
          <w:iCs/>
          <w:sz w:val="20"/>
          <w:szCs w:val="16"/>
          <w:lang w:val="fr" w:eastAsia="en-IE"/>
        </w:rPr>
        <w:t>Enfin, il n’entrait pas dans les intentions du législateur communautaire, lorsque les directives 98/34 et 98/48 ont été adoptées, de modifier la directive 89/552, qui avait été elle-même modifiée moins d’un an auparavant par la directive 97/36. C’est dans cet esprit que le vingtième considérant de la directive 98/48, qui a modifié la directive 98/34, énonce que la directive 98/48 «est sans préjudice du champ d’application de la directive 89/552».</w:t>
      </w:r>
      <w:r>
        <w:rPr>
          <w:rFonts w:ascii="Times New Roman" w:eastAsia="Times New Roman" w:hAnsi="Times New Roman" w:cs="Times New Roman"/>
          <w:i/>
          <w:iCs/>
          <w:sz w:val="20"/>
          <w:szCs w:val="16"/>
          <w:lang w:val="fr" w:eastAsia="en-IE"/>
        </w:rPr>
        <w:t> »</w:t>
      </w:r>
    </w:p>
    <w:p w14:paraId="044761EE" w14:textId="77777777" w:rsidR="0023316E" w:rsidRPr="007E3AA5" w:rsidRDefault="0023316E" w:rsidP="00AA4F20">
      <w:pPr>
        <w:widowControl w:val="0"/>
        <w:autoSpaceDE w:val="0"/>
        <w:autoSpaceDN w:val="0"/>
        <w:spacing w:after="0" w:line="240" w:lineRule="auto"/>
        <w:jc w:val="both"/>
        <w:outlineLvl w:val="1"/>
        <w:rPr>
          <w:lang w:val="fr-BE"/>
        </w:rPr>
      </w:pPr>
    </w:p>
    <w:p w14:paraId="52CB59CA" w14:textId="5D4C3F80" w:rsidR="00A23485" w:rsidRPr="005F1D97"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72" w:history="1">
        <w:r w:rsidR="00A23485" w:rsidRPr="005F1D97">
          <w:rPr>
            <w:rFonts w:ascii="Times New Roman" w:eastAsia="Times New Roman" w:hAnsi="Times New Roman" w:cs="Times New Roman"/>
            <w:b/>
            <w:i/>
            <w:color w:val="0000FF"/>
            <w:szCs w:val="20"/>
            <w:u w:val="single"/>
            <w:lang w:val="fr" w:eastAsia="en-IE"/>
          </w:rPr>
          <w:t>Arrêt du 12 septembre 2019</w:t>
        </w:r>
      </w:hyperlink>
      <w:r w:rsidR="00A23485" w:rsidRPr="005F1D97">
        <w:rPr>
          <w:rFonts w:ascii="Times New Roman" w:eastAsia="Times New Roman" w:hAnsi="Times New Roman" w:cs="Times New Roman"/>
          <w:b/>
          <w:i/>
          <w:szCs w:val="20"/>
          <w:lang w:val="fr" w:eastAsia="en-IE"/>
        </w:rPr>
        <w:t xml:space="preserve">, </w:t>
      </w:r>
      <w:r w:rsidR="00745699" w:rsidRPr="005F1D97">
        <w:rPr>
          <w:rFonts w:ascii="Times New Roman" w:eastAsia="Times New Roman" w:hAnsi="Times New Roman" w:cs="Times New Roman"/>
          <w:b/>
          <w:i/>
          <w:szCs w:val="20"/>
          <w:lang w:val="fr" w:eastAsia="en-IE"/>
        </w:rPr>
        <w:t xml:space="preserve">VG Media, </w:t>
      </w:r>
      <w:r w:rsidR="00A23485" w:rsidRPr="005F1D97">
        <w:rPr>
          <w:rFonts w:ascii="Times New Roman" w:eastAsia="Times New Roman" w:hAnsi="Times New Roman" w:cs="Times New Roman"/>
          <w:b/>
          <w:i/>
          <w:szCs w:val="20"/>
          <w:lang w:val="fr" w:eastAsia="en-IE"/>
        </w:rPr>
        <w:t>C-299/17, EU:C:2019:716, point</w:t>
      </w:r>
      <w:r w:rsidR="00A23485">
        <w:rPr>
          <w:rFonts w:ascii="Times New Roman" w:eastAsia="Times New Roman" w:hAnsi="Times New Roman" w:cs="Times New Roman"/>
          <w:b/>
          <w:i/>
          <w:szCs w:val="20"/>
          <w:lang w:val="fr" w:eastAsia="en-IE"/>
        </w:rPr>
        <w:t xml:space="preserve"> 38</w:t>
      </w:r>
    </w:p>
    <w:p w14:paraId="5E406CBA" w14:textId="77777777" w:rsidR="00A23485" w:rsidRPr="005F1D97" w:rsidRDefault="00A23485"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68980D4F" w14:textId="59AFD09D"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w:t>
      </w:r>
      <w:r w:rsidRPr="005F1D97">
        <w:rPr>
          <w:rFonts w:ascii="Times New Roman" w:eastAsia="Times New Roman" w:hAnsi="Times New Roman" w:cs="Times New Roman"/>
          <w:szCs w:val="20"/>
          <w:lang w:val="fr" w:eastAsia="en-IE"/>
        </w:rPr>
        <w:t xml:space="preserve">es </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règles techniques</w:t>
      </w:r>
      <w:r w:rsidR="008224AE">
        <w:rPr>
          <w:rFonts w:ascii="Times New Roman" w:eastAsia="Times New Roman" w:hAnsi="Times New Roman" w:cs="Times New Roman"/>
          <w:szCs w:val="20"/>
          <w:lang w:val="fr" w:eastAsia="en-IE"/>
        </w:rPr>
        <w:t> »</w:t>
      </w:r>
      <w:r w:rsidRPr="005F1D97">
        <w:rPr>
          <w:rFonts w:ascii="Times New Roman" w:eastAsia="Times New Roman" w:hAnsi="Times New Roman" w:cs="Times New Roman"/>
          <w:szCs w:val="20"/>
          <w:lang w:val="fr" w:eastAsia="en-IE"/>
        </w:rPr>
        <w:t xml:space="preserve"> en matière de propriété intellectuelle ne sont pas exclues du champ d’application de la directive, contrairement à celles relatives aux télécommunications ou aux services financiers.</w:t>
      </w:r>
    </w:p>
    <w:p w14:paraId="2C438590" w14:textId="77777777" w:rsidR="00A23485" w:rsidRPr="005F1D97" w:rsidRDefault="00A23485" w:rsidP="00AA4F20">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5A61B68C" w14:textId="20DB687D" w:rsidR="002F562D" w:rsidRDefault="00A23485" w:rsidP="007E3AA5">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5F1D97">
        <w:rPr>
          <w:rFonts w:ascii="Times New Roman" w:eastAsia="Times New Roman" w:hAnsi="Times New Roman" w:cs="Times New Roman"/>
          <w:i/>
          <w:iCs/>
          <w:sz w:val="20"/>
          <w:szCs w:val="16"/>
          <w:lang w:val="fr" w:eastAsia="en-IE"/>
        </w:rPr>
        <w:t>« 38</w:t>
      </w:r>
      <w:r w:rsidR="005C053F">
        <w:rPr>
          <w:rFonts w:ascii="Times New Roman" w:eastAsia="Times New Roman" w:hAnsi="Times New Roman" w:cs="Times New Roman"/>
          <w:i/>
          <w:iCs/>
          <w:sz w:val="20"/>
          <w:szCs w:val="16"/>
          <w:lang w:val="fr" w:eastAsia="en-IE"/>
        </w:rPr>
        <w:t xml:space="preserve">. </w:t>
      </w:r>
      <w:r w:rsidR="002F562D">
        <w:rPr>
          <w:rFonts w:ascii="Times New Roman" w:eastAsia="Times New Roman" w:hAnsi="Times New Roman" w:cs="Times New Roman"/>
          <w:i/>
          <w:iCs/>
          <w:sz w:val="20"/>
          <w:szCs w:val="16"/>
          <w:lang w:val="fr" w:eastAsia="en-IE"/>
        </w:rPr>
        <w:t xml:space="preserve">[…] </w:t>
      </w:r>
      <w:r w:rsidRPr="005F1D97">
        <w:rPr>
          <w:rFonts w:ascii="Times New Roman" w:eastAsia="Times New Roman" w:hAnsi="Times New Roman" w:cs="Times New Roman"/>
          <w:i/>
          <w:iCs/>
          <w:sz w:val="20"/>
          <w:szCs w:val="16"/>
          <w:lang w:val="fr" w:eastAsia="en-IE"/>
        </w:rPr>
        <w:t>la circonstance que l’article 87g, paragraphe 4, de l’</w:t>
      </w:r>
      <w:proofErr w:type="spellStart"/>
      <w:r w:rsidRPr="005F1D97">
        <w:rPr>
          <w:rFonts w:ascii="Times New Roman" w:eastAsia="Times New Roman" w:hAnsi="Times New Roman" w:cs="Times New Roman"/>
          <w:i/>
          <w:iCs/>
          <w:sz w:val="20"/>
          <w:szCs w:val="16"/>
          <w:lang w:val="fr" w:eastAsia="en-IE"/>
        </w:rPr>
        <w:t>UrhG</w:t>
      </w:r>
      <w:proofErr w:type="spellEnd"/>
      <w:r w:rsidRPr="005F1D97">
        <w:rPr>
          <w:rFonts w:ascii="Times New Roman" w:eastAsia="Times New Roman" w:hAnsi="Times New Roman" w:cs="Times New Roman"/>
          <w:i/>
          <w:iCs/>
          <w:sz w:val="20"/>
          <w:szCs w:val="16"/>
          <w:lang w:val="fr" w:eastAsia="en-IE"/>
        </w:rPr>
        <w:t xml:space="preserve"> s’inscrit dans le cadre d’une réglementation nationale relative au droit d’auteur ou aux droits voisins n’est pas de nature à remettre en cause cette appréciation. En effet, les règles techniques en matière de propriété intellectuelle ne sont pas expressément exclues du champ d’application de l’article 1</w:t>
      </w:r>
      <w:r w:rsidRPr="005F1D97">
        <w:rPr>
          <w:rFonts w:ascii="Times New Roman" w:eastAsia="Times New Roman" w:hAnsi="Times New Roman" w:cs="Times New Roman"/>
          <w:i/>
          <w:iCs/>
          <w:sz w:val="20"/>
          <w:szCs w:val="16"/>
          <w:vertAlign w:val="superscript"/>
          <w:lang w:val="fr" w:eastAsia="en-IE"/>
        </w:rPr>
        <w:t>er</w:t>
      </w:r>
      <w:r w:rsidRPr="005F1D97">
        <w:rPr>
          <w:rFonts w:ascii="Times New Roman" w:eastAsia="Times New Roman" w:hAnsi="Times New Roman" w:cs="Times New Roman"/>
          <w:i/>
          <w:iCs/>
          <w:sz w:val="20"/>
          <w:szCs w:val="16"/>
          <w:lang w:val="fr" w:eastAsia="en-IE"/>
        </w:rPr>
        <w:t xml:space="preserve">, point 5, de la directive 98/34, contrairement à celles faisant l’objet d’une réglementation européenne en matière de services de télécommunications ou de services financiers. En outre, il ressort de l’arrêt du 8 novembre 2007, </w:t>
      </w:r>
      <w:proofErr w:type="spellStart"/>
      <w:r w:rsidRPr="005F1D97">
        <w:rPr>
          <w:rFonts w:ascii="Times New Roman" w:eastAsia="Times New Roman" w:hAnsi="Times New Roman" w:cs="Times New Roman"/>
          <w:i/>
          <w:iCs/>
          <w:sz w:val="20"/>
          <w:szCs w:val="16"/>
          <w:lang w:val="fr" w:eastAsia="en-IE"/>
        </w:rPr>
        <w:t>Schwibbert</w:t>
      </w:r>
      <w:proofErr w:type="spellEnd"/>
      <w:r w:rsidRPr="005F1D97">
        <w:rPr>
          <w:rFonts w:ascii="Times New Roman" w:eastAsia="Times New Roman" w:hAnsi="Times New Roman" w:cs="Times New Roman"/>
          <w:i/>
          <w:iCs/>
          <w:sz w:val="20"/>
          <w:szCs w:val="16"/>
          <w:lang w:val="fr" w:eastAsia="en-IE"/>
        </w:rPr>
        <w:t xml:space="preserve"> (C</w:t>
      </w:r>
      <w:r w:rsidRPr="005F1D97">
        <w:rPr>
          <w:rFonts w:ascii="Times New Roman" w:eastAsia="Times New Roman" w:hAnsi="Times New Roman" w:cs="Times New Roman"/>
          <w:i/>
          <w:iCs/>
          <w:sz w:val="20"/>
          <w:szCs w:val="16"/>
          <w:lang w:val="fr" w:eastAsia="en-IE"/>
        </w:rPr>
        <w:noBreakHyphen/>
        <w:t>20/05, EU:C:2007:652), que des dispositions d’une loi nationale en matière de propriété intellectuelle sont susceptibles de constituer une « règle technique » soumise à notification en vertu de l’article 8, paragraphe 1, de ladite directive. »</w:t>
      </w:r>
    </w:p>
    <w:p w14:paraId="0BCBB4FB" w14:textId="0520F280" w:rsidR="004E15FB" w:rsidRPr="00F56389" w:rsidRDefault="00A23485" w:rsidP="00F56389">
      <w:pPr>
        <w:spacing w:after="0" w:line="240" w:lineRule="auto"/>
        <w:rPr>
          <w:rFonts w:ascii="Times New Roman" w:eastAsia="Times New Roman" w:hAnsi="Times New Roman" w:cs="Times New Roman"/>
          <w:i/>
          <w:iCs/>
          <w:sz w:val="20"/>
          <w:szCs w:val="16"/>
          <w:lang w:val="fr" w:eastAsia="en-IE"/>
        </w:rPr>
      </w:pPr>
      <w:r>
        <w:rPr>
          <w:rFonts w:ascii="Times New Roman" w:eastAsia="Times New Roman" w:hAnsi="Times New Roman" w:cs="Times New Roman"/>
          <w:i/>
          <w:iCs/>
          <w:sz w:val="20"/>
          <w:szCs w:val="16"/>
          <w:lang w:val="fr" w:eastAsia="en-IE"/>
        </w:rPr>
        <w:br w:type="page"/>
      </w:r>
    </w:p>
    <w:p w14:paraId="2B0FDBC5" w14:textId="4ED859A9" w:rsidR="00F56389" w:rsidRPr="00DC2D31" w:rsidRDefault="00745699" w:rsidP="00D90559">
      <w:pPr>
        <w:pStyle w:val="Heading1"/>
        <w:spacing w:before="0" w:after="0"/>
        <w:jc w:val="center"/>
        <w:rPr>
          <w:color w:val="auto"/>
          <w:lang w:val="fr-BE"/>
        </w:rPr>
      </w:pPr>
      <w:bookmarkStart w:id="70" w:name="_Toc203035385"/>
      <w:r w:rsidRPr="00DC2D31">
        <w:rPr>
          <w:color w:val="auto"/>
          <w:lang w:val="fr-BE"/>
        </w:rPr>
        <w:lastRenderedPageBreak/>
        <w:t xml:space="preserve">II. </w:t>
      </w:r>
      <w:bookmarkStart w:id="71" w:name="_Ref194485776"/>
      <w:r w:rsidR="00F56389" w:rsidRPr="00DC2D31">
        <w:rPr>
          <w:color w:val="auto"/>
          <w:lang w:val="fr-BE"/>
        </w:rPr>
        <w:t>Obligation de notification</w:t>
      </w:r>
      <w:bookmarkEnd w:id="71"/>
      <w:bookmarkEnd w:id="70"/>
    </w:p>
    <w:p w14:paraId="29E2BE4E" w14:textId="77777777" w:rsidR="00F56389" w:rsidRDefault="00F56389" w:rsidP="00D90559">
      <w:pPr>
        <w:pStyle w:val="BodyText"/>
      </w:pPr>
    </w:p>
    <w:p w14:paraId="480A7F64" w14:textId="24F5E727" w:rsidR="00655279" w:rsidRPr="00745699" w:rsidRDefault="00745699" w:rsidP="00D90559">
      <w:pPr>
        <w:pStyle w:val="Heading2"/>
        <w:spacing w:before="0" w:after="0"/>
        <w:jc w:val="center"/>
        <w:rPr>
          <w:color w:val="auto"/>
          <w:lang w:val="fr-BE"/>
        </w:rPr>
      </w:pPr>
      <w:bookmarkStart w:id="72" w:name="_Ref194942628"/>
      <w:bookmarkStart w:id="73" w:name="_Toc203035386"/>
      <w:bookmarkStart w:id="74" w:name="_Ref194484702"/>
      <w:r w:rsidRPr="00745699">
        <w:rPr>
          <w:color w:val="auto"/>
          <w:lang w:val="fr-BE"/>
        </w:rPr>
        <w:t xml:space="preserve">a. </w:t>
      </w:r>
      <w:r w:rsidR="0051744C" w:rsidRPr="00745699">
        <w:rPr>
          <w:color w:val="auto"/>
          <w:lang w:val="fr-BE"/>
        </w:rPr>
        <w:t>Notification</w:t>
      </w:r>
      <w:r w:rsidR="00655279" w:rsidRPr="00745699">
        <w:rPr>
          <w:color w:val="auto"/>
          <w:lang w:val="fr-BE"/>
        </w:rPr>
        <w:t xml:space="preserve"> à l’état de projet</w:t>
      </w:r>
      <w:bookmarkEnd w:id="72"/>
      <w:bookmarkEnd w:id="73"/>
    </w:p>
    <w:p w14:paraId="27EBED2C" w14:textId="3CCBF668" w:rsidR="00655279" w:rsidRDefault="00655279" w:rsidP="00655279">
      <w:pPr>
        <w:pStyle w:val="BodyText"/>
        <w:rPr>
          <w:b/>
          <w:bCs/>
        </w:rPr>
      </w:pPr>
    </w:p>
    <w:p w14:paraId="58135D0C" w14:textId="77777777" w:rsidR="002B0265" w:rsidRDefault="002B0265" w:rsidP="002B0265">
      <w:pPr>
        <w:pStyle w:val="BodyText"/>
        <w:ind w:left="567"/>
        <w:rPr>
          <w:i/>
          <w:iCs/>
        </w:rPr>
      </w:pPr>
      <w:r w:rsidRPr="007C75A4">
        <w:rPr>
          <w:i/>
          <w:iCs/>
        </w:rPr>
        <w:t>« Sous réserve de l'article 7, les États membres communiquent immédiatement à la Commission tout projet de règle technique, sauf s'il s'agit d'une simple transposition intégrale d'une norme internationale ou européenne, auquel cas une simple information quant à la norme concernée suffit; ils adressent également à la Commission une notification concernant les raisons pour lesquelles l'établissement d'une telle règle technique est nécessaire, à moins que ces raisons ne ressortent déjà du projet. »</w:t>
      </w:r>
    </w:p>
    <w:p w14:paraId="79E57C28" w14:textId="77777777" w:rsidR="002B0265" w:rsidRPr="007C75A4" w:rsidRDefault="002B0265" w:rsidP="002B0265">
      <w:pPr>
        <w:pStyle w:val="BodyText"/>
        <w:ind w:left="567"/>
        <w:rPr>
          <w:i/>
          <w:iCs/>
        </w:rPr>
      </w:pPr>
    </w:p>
    <w:p w14:paraId="4348B9F9" w14:textId="4B174C13" w:rsidR="002B0265" w:rsidRPr="002B0265" w:rsidRDefault="002B0265" w:rsidP="002B0265">
      <w:pPr>
        <w:pStyle w:val="BodyText"/>
        <w:jc w:val="right"/>
      </w:pPr>
      <w:r w:rsidRPr="007C75A4">
        <w:t>(article 5, paragraphe 1, première phrase</w:t>
      </w:r>
      <w:r>
        <w:t xml:space="preserve">, </w:t>
      </w:r>
      <w:r w:rsidRPr="007C75A4">
        <w:t xml:space="preserve">de la directive </w:t>
      </w:r>
      <w:r w:rsidR="006C60E5">
        <w:t xml:space="preserve">(UE) </w:t>
      </w:r>
      <w:r w:rsidRPr="007C75A4">
        <w:t>2015/1535)</w:t>
      </w:r>
    </w:p>
    <w:p w14:paraId="41A26F8C" w14:textId="77777777" w:rsidR="002B0265" w:rsidRDefault="002B0265" w:rsidP="00655279">
      <w:pPr>
        <w:pStyle w:val="BodyText"/>
        <w:rPr>
          <w:b/>
          <w:bCs/>
        </w:rPr>
      </w:pPr>
    </w:p>
    <w:p w14:paraId="39D0E534" w14:textId="3AEB6736" w:rsidR="00655279" w:rsidRPr="00EE5EBC" w:rsidRDefault="00B3389F"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73" w:history="1">
        <w:r w:rsidR="00655279" w:rsidRPr="00EE5EBC">
          <w:rPr>
            <w:rFonts w:ascii="Times New Roman" w:eastAsia="Times New Roman" w:hAnsi="Times New Roman" w:cs="Times New Roman"/>
            <w:b/>
            <w:i/>
            <w:color w:val="0000FF"/>
            <w:szCs w:val="20"/>
            <w:u w:val="single"/>
            <w:lang w:val="fr-FR" w:eastAsia="en-IE"/>
          </w:rPr>
          <w:t>Arrêt du 2 août 1993</w:t>
        </w:r>
      </w:hyperlink>
      <w:r w:rsidR="00655279"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 xml:space="preserve">Commission/Italie, </w:t>
      </w:r>
      <w:r w:rsidR="00655279" w:rsidRPr="00EE5EBC">
        <w:rPr>
          <w:rFonts w:ascii="Times New Roman" w:eastAsia="Times New Roman" w:hAnsi="Times New Roman" w:cs="Times New Roman"/>
          <w:b/>
          <w:i/>
          <w:szCs w:val="20"/>
          <w:lang w:val="fr-FR" w:eastAsia="en-IE"/>
        </w:rPr>
        <w:t xml:space="preserve">C-139/92, </w:t>
      </w:r>
      <w:r w:rsidR="00655279" w:rsidRPr="007925D9">
        <w:rPr>
          <w:rFonts w:ascii="Times New Roman" w:eastAsia="Times New Roman" w:hAnsi="Times New Roman" w:cs="Times New Roman"/>
          <w:b/>
          <w:i/>
          <w:szCs w:val="20"/>
          <w:lang w:val="fr-BE" w:eastAsia="en-IE"/>
        </w:rPr>
        <w:t>EU:C:1993:346,</w:t>
      </w:r>
      <w:r w:rsidR="00655279">
        <w:rPr>
          <w:rFonts w:ascii="Times New Roman" w:eastAsia="Times New Roman" w:hAnsi="Times New Roman" w:cs="Times New Roman"/>
          <w:b/>
          <w:i/>
          <w:szCs w:val="20"/>
          <w:lang w:val="fr-BE" w:eastAsia="en-IE"/>
        </w:rPr>
        <w:t xml:space="preserve"> </w:t>
      </w:r>
      <w:r w:rsidR="00655279" w:rsidRPr="00EE5EBC">
        <w:rPr>
          <w:rFonts w:ascii="Times New Roman" w:eastAsia="Times New Roman" w:hAnsi="Times New Roman" w:cs="Times New Roman"/>
          <w:b/>
          <w:i/>
          <w:szCs w:val="20"/>
          <w:lang w:val="fr-FR" w:eastAsia="en-IE"/>
        </w:rPr>
        <w:t xml:space="preserve">points </w:t>
      </w:r>
      <w:r w:rsidR="00274ED4">
        <w:rPr>
          <w:rFonts w:ascii="Times New Roman" w:eastAsia="Times New Roman" w:hAnsi="Times New Roman" w:cs="Times New Roman"/>
          <w:b/>
          <w:i/>
          <w:szCs w:val="20"/>
          <w:lang w:val="fr-FR" w:eastAsia="en-IE"/>
        </w:rPr>
        <w:t>8 et 9</w:t>
      </w:r>
    </w:p>
    <w:p w14:paraId="1DF5BE21" w14:textId="77777777" w:rsidR="00655279" w:rsidRPr="00EE5EBC" w:rsidRDefault="00655279"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778BC157" w14:textId="3F455E61" w:rsidR="00655279" w:rsidRPr="00EE5EBC" w:rsidRDefault="00655279" w:rsidP="00655279">
      <w:pPr>
        <w:widowControl w:val="0"/>
        <w:tabs>
          <w:tab w:val="left" w:pos="413"/>
        </w:tabs>
        <w:autoSpaceDE w:val="0"/>
        <w:autoSpaceDN w:val="0"/>
        <w:spacing w:after="0" w:line="240" w:lineRule="auto"/>
        <w:jc w:val="both"/>
        <w:rPr>
          <w:rFonts w:ascii="Times New Roman" w:eastAsia="Times New Roman" w:hAnsi="Times New Roman" w:cs="Times New Roman"/>
          <w:szCs w:val="20"/>
          <w:lang w:val="fr-FR" w:eastAsia="en-IE"/>
        </w:rPr>
      </w:pPr>
      <w:r w:rsidRPr="00EE5EBC">
        <w:rPr>
          <w:rFonts w:ascii="Times New Roman" w:eastAsia="Times New Roman" w:hAnsi="Times New Roman" w:cs="Times New Roman"/>
          <w:szCs w:val="20"/>
          <w:lang w:val="fr-FR" w:eastAsia="en-IE"/>
        </w:rPr>
        <w:t xml:space="preserve">En ne communiquant pas, au stade du projet, </w:t>
      </w:r>
      <w:r>
        <w:rPr>
          <w:rFonts w:ascii="Times New Roman" w:eastAsia="Times New Roman" w:hAnsi="Times New Roman" w:cs="Times New Roman"/>
          <w:szCs w:val="20"/>
          <w:lang w:val="fr-FR" w:eastAsia="en-IE"/>
        </w:rPr>
        <w:t>un</w:t>
      </w:r>
      <w:r w:rsidRPr="00EE5EBC">
        <w:rPr>
          <w:rFonts w:ascii="Times New Roman" w:eastAsia="Times New Roman" w:hAnsi="Times New Roman" w:cs="Times New Roman"/>
          <w:szCs w:val="20"/>
          <w:lang w:val="fr-FR" w:eastAsia="en-IE"/>
        </w:rPr>
        <w:t xml:space="preserve"> décret ministériel relatif à la définition et à la vérification de la puissance maximale, la construction et l’installation de moteurs pour bateaux de plaisance</w:t>
      </w:r>
      <w:r>
        <w:rPr>
          <w:rFonts w:ascii="Times New Roman" w:eastAsia="Times New Roman" w:hAnsi="Times New Roman" w:cs="Times New Roman"/>
          <w:szCs w:val="20"/>
          <w:lang w:val="fr-FR" w:eastAsia="en-IE"/>
        </w:rPr>
        <w:t xml:space="preserve">, l’Italie a </w:t>
      </w:r>
      <w:r w:rsidRPr="00EE5EBC">
        <w:rPr>
          <w:rFonts w:ascii="Times New Roman" w:eastAsia="Times New Roman" w:hAnsi="Times New Roman" w:cs="Times New Roman"/>
          <w:szCs w:val="20"/>
          <w:lang w:val="fr-FR" w:eastAsia="en-IE"/>
        </w:rPr>
        <w:t xml:space="preserve">manqué </w:t>
      </w:r>
      <w:r w:rsidR="00D175E6">
        <w:rPr>
          <w:rFonts w:ascii="Times New Roman" w:eastAsia="Times New Roman" w:hAnsi="Times New Roman" w:cs="Times New Roman"/>
          <w:szCs w:val="20"/>
          <w:lang w:val="fr-FR" w:eastAsia="en-IE"/>
        </w:rPr>
        <w:t>à ses</w:t>
      </w:r>
      <w:r w:rsidR="00D175E6" w:rsidRPr="00EE5EBC">
        <w:rPr>
          <w:rFonts w:ascii="Times New Roman" w:eastAsia="Times New Roman" w:hAnsi="Times New Roman" w:cs="Times New Roman"/>
          <w:szCs w:val="20"/>
          <w:lang w:val="fr-FR" w:eastAsia="en-IE"/>
        </w:rPr>
        <w:t xml:space="preserve"> obligations </w:t>
      </w:r>
      <w:r w:rsidR="00D175E6">
        <w:rPr>
          <w:rFonts w:ascii="Times New Roman" w:eastAsia="Times New Roman" w:hAnsi="Times New Roman" w:cs="Times New Roman"/>
          <w:szCs w:val="20"/>
          <w:lang w:val="fr-FR" w:eastAsia="en-IE"/>
        </w:rPr>
        <w:t>de communication des projets de règles techniques.</w:t>
      </w:r>
    </w:p>
    <w:p w14:paraId="47852024" w14:textId="77777777" w:rsidR="00655279" w:rsidRPr="00EE5EBC" w:rsidRDefault="00655279" w:rsidP="00655279">
      <w:pPr>
        <w:widowControl w:val="0"/>
        <w:tabs>
          <w:tab w:val="left" w:pos="413"/>
        </w:tabs>
        <w:autoSpaceDE w:val="0"/>
        <w:autoSpaceDN w:val="0"/>
        <w:spacing w:after="0" w:line="240" w:lineRule="auto"/>
        <w:jc w:val="both"/>
        <w:rPr>
          <w:rFonts w:ascii="Times New Roman" w:eastAsia="Times New Roman" w:hAnsi="Times New Roman" w:cs="Times New Roman"/>
          <w:szCs w:val="20"/>
          <w:lang w:val="fr-FR" w:eastAsia="en-IE"/>
        </w:rPr>
      </w:pPr>
    </w:p>
    <w:p w14:paraId="592ED088" w14:textId="1C444846" w:rsidR="00655279" w:rsidRPr="00EE5EBC" w:rsidRDefault="00655279" w:rsidP="00655279">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 8</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Le gouvernement italien ne conteste pas qu'il n'a pas communiqué à la Commission le décret ministériel en cause, à l'état de projet. </w:t>
      </w:r>
    </w:p>
    <w:p w14:paraId="7402C7DF" w14:textId="77777777" w:rsidR="00655279" w:rsidRPr="00EE5EBC" w:rsidRDefault="00655279" w:rsidP="00655279">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p>
    <w:p w14:paraId="29BAA761" w14:textId="02955623" w:rsidR="00655279" w:rsidRDefault="00655279" w:rsidP="00655279">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9</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L'infraction aux articles 8 et 9 de la directive étant établie, il y a lieu de constater le manquement dans les termes qui résultent des conclusions de la Commission. »</w:t>
      </w:r>
    </w:p>
    <w:p w14:paraId="78B40755" w14:textId="77777777" w:rsidR="00655279" w:rsidRPr="00EE5EBC" w:rsidRDefault="00655279" w:rsidP="00655279">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p>
    <w:p w14:paraId="2D8A3294" w14:textId="3595688B" w:rsidR="00655279" w:rsidRPr="00EE5EBC" w:rsidRDefault="00B3389F"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74" w:history="1">
        <w:r w:rsidR="00655279" w:rsidRPr="00EE5EBC">
          <w:rPr>
            <w:rFonts w:ascii="Times New Roman" w:eastAsia="Times New Roman" w:hAnsi="Times New Roman" w:cs="Times New Roman"/>
            <w:b/>
            <w:i/>
            <w:color w:val="0000FF"/>
            <w:szCs w:val="20"/>
            <w:u w:val="single"/>
            <w:lang w:val="fr-FR" w:eastAsia="en-IE"/>
          </w:rPr>
          <w:t>Arrêt du 14 juillet 1994</w:t>
        </w:r>
      </w:hyperlink>
      <w:r w:rsidR="00655279"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Commission/Pays-Bas,</w:t>
      </w:r>
      <w:r w:rsidR="00745699">
        <w:rPr>
          <w:rFonts w:ascii="Times New Roman" w:eastAsia="Times New Roman" w:hAnsi="Times New Roman" w:cs="Times New Roman"/>
          <w:b/>
          <w:i/>
          <w:szCs w:val="20"/>
          <w:lang w:val="fr-FR" w:eastAsia="en-IE"/>
        </w:rPr>
        <w:t xml:space="preserve"> </w:t>
      </w:r>
      <w:r w:rsidR="00655279" w:rsidRPr="00EE5EBC">
        <w:rPr>
          <w:rFonts w:ascii="Times New Roman" w:eastAsia="Times New Roman" w:hAnsi="Times New Roman" w:cs="Times New Roman"/>
          <w:b/>
          <w:i/>
          <w:szCs w:val="20"/>
          <w:lang w:val="fr-FR" w:eastAsia="en-IE"/>
        </w:rPr>
        <w:t xml:space="preserve">C-61/93, </w:t>
      </w:r>
      <w:r w:rsidR="00655279" w:rsidRPr="007925D9">
        <w:rPr>
          <w:rFonts w:ascii="Times New Roman" w:eastAsia="Times New Roman" w:hAnsi="Times New Roman" w:cs="Times New Roman"/>
          <w:b/>
          <w:i/>
          <w:szCs w:val="20"/>
          <w:lang w:val="fr-BE" w:eastAsia="en-IE"/>
        </w:rPr>
        <w:t>EU:C:1994:302,</w:t>
      </w:r>
      <w:r w:rsidR="00655279" w:rsidRPr="00EE5EBC">
        <w:rPr>
          <w:rFonts w:ascii="Times New Roman" w:eastAsia="Times New Roman" w:hAnsi="Times New Roman" w:cs="Times New Roman"/>
          <w:b/>
          <w:i/>
          <w:szCs w:val="20"/>
          <w:lang w:val="fr-FR" w:eastAsia="en-IE"/>
        </w:rPr>
        <w:t xml:space="preserve"> points 6 </w:t>
      </w:r>
      <w:r w:rsidR="00274ED4">
        <w:rPr>
          <w:rFonts w:ascii="Times New Roman" w:eastAsia="Times New Roman" w:hAnsi="Times New Roman" w:cs="Times New Roman"/>
          <w:b/>
          <w:i/>
          <w:szCs w:val="20"/>
          <w:lang w:val="fr-FR" w:eastAsia="en-IE"/>
        </w:rPr>
        <w:t>et</w:t>
      </w:r>
      <w:r w:rsidR="00655279" w:rsidRPr="00EE5EBC">
        <w:rPr>
          <w:rFonts w:ascii="Times New Roman" w:eastAsia="Times New Roman" w:hAnsi="Times New Roman" w:cs="Times New Roman"/>
          <w:b/>
          <w:i/>
          <w:szCs w:val="20"/>
          <w:lang w:val="fr-FR" w:eastAsia="en-IE"/>
        </w:rPr>
        <w:t xml:space="preserve"> 10</w:t>
      </w:r>
    </w:p>
    <w:p w14:paraId="29C3246B" w14:textId="77777777" w:rsidR="00655279" w:rsidRPr="00EE5EBC" w:rsidRDefault="00655279"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3E58EFBE" w14:textId="2F4CB831" w:rsidR="00655279" w:rsidRPr="00EE5EBC" w:rsidRDefault="00655279" w:rsidP="00655279">
      <w:pPr>
        <w:widowControl w:val="0"/>
        <w:tabs>
          <w:tab w:val="left" w:pos="405"/>
        </w:tabs>
        <w:autoSpaceDE w:val="0"/>
        <w:autoSpaceDN w:val="0"/>
        <w:spacing w:after="0" w:line="240" w:lineRule="auto"/>
        <w:jc w:val="both"/>
        <w:rPr>
          <w:rFonts w:ascii="Times New Roman" w:eastAsia="Times New Roman" w:hAnsi="Times New Roman" w:cs="Times New Roman"/>
          <w:szCs w:val="20"/>
          <w:lang w:val="fr-FR" w:eastAsia="en-IE"/>
        </w:rPr>
      </w:pPr>
      <w:r w:rsidRPr="00EE5EBC">
        <w:rPr>
          <w:rFonts w:ascii="Times New Roman" w:eastAsia="Times New Roman" w:hAnsi="Times New Roman" w:cs="Times New Roman"/>
          <w:szCs w:val="20"/>
          <w:lang w:val="fr-FR" w:eastAsia="en-IE"/>
        </w:rPr>
        <w:t xml:space="preserve">En adoptant des décrets concernant les exigences de résistance des bouteilles de boissons rafraîchissantes ainsi que la composition, la classification, l’emballage et l’étiquetage des pesticides, sans les notifier à la Commission au stade de l’élaboration, les Pays-Bas ont manqué </w:t>
      </w:r>
      <w:r w:rsidR="00D175E6">
        <w:rPr>
          <w:rFonts w:ascii="Times New Roman" w:eastAsia="Times New Roman" w:hAnsi="Times New Roman" w:cs="Times New Roman"/>
          <w:szCs w:val="20"/>
          <w:lang w:val="fr-FR" w:eastAsia="en-IE"/>
        </w:rPr>
        <w:t xml:space="preserve">à </w:t>
      </w:r>
      <w:r w:rsidR="00C14379">
        <w:rPr>
          <w:rFonts w:ascii="Times New Roman" w:eastAsia="Times New Roman" w:hAnsi="Times New Roman" w:cs="Times New Roman"/>
          <w:szCs w:val="20"/>
          <w:lang w:val="fr-FR" w:eastAsia="en-IE"/>
        </w:rPr>
        <w:t>leurs</w:t>
      </w:r>
      <w:r w:rsidR="00D175E6" w:rsidRPr="00EE5EBC">
        <w:rPr>
          <w:rFonts w:ascii="Times New Roman" w:eastAsia="Times New Roman" w:hAnsi="Times New Roman" w:cs="Times New Roman"/>
          <w:szCs w:val="20"/>
          <w:lang w:val="fr-FR" w:eastAsia="en-IE"/>
        </w:rPr>
        <w:t xml:space="preserve"> obligations </w:t>
      </w:r>
      <w:r w:rsidR="00D175E6">
        <w:rPr>
          <w:rFonts w:ascii="Times New Roman" w:eastAsia="Times New Roman" w:hAnsi="Times New Roman" w:cs="Times New Roman"/>
          <w:szCs w:val="20"/>
          <w:lang w:val="fr-FR" w:eastAsia="en-IE"/>
        </w:rPr>
        <w:t>de communication des projets de règles techniques.</w:t>
      </w:r>
    </w:p>
    <w:p w14:paraId="74F221D0" w14:textId="77777777" w:rsidR="00655279" w:rsidRPr="00EE5EBC" w:rsidRDefault="00655279" w:rsidP="00655279">
      <w:pPr>
        <w:widowControl w:val="0"/>
        <w:tabs>
          <w:tab w:val="left" w:pos="405"/>
        </w:tabs>
        <w:autoSpaceDE w:val="0"/>
        <w:autoSpaceDN w:val="0"/>
        <w:spacing w:after="0" w:line="240" w:lineRule="auto"/>
        <w:jc w:val="both"/>
        <w:rPr>
          <w:rFonts w:ascii="Times New Roman" w:eastAsia="Times New Roman" w:hAnsi="Times New Roman" w:cs="Times New Roman"/>
          <w:szCs w:val="20"/>
          <w:lang w:val="fr-FR" w:eastAsia="en-IE"/>
        </w:rPr>
      </w:pPr>
    </w:p>
    <w:p w14:paraId="080827F2" w14:textId="361632BD" w:rsidR="00655279" w:rsidRPr="00EE5EBC" w:rsidRDefault="00655279" w:rsidP="00655279">
      <w:pPr>
        <w:widowControl w:val="0"/>
        <w:tabs>
          <w:tab w:val="left" w:pos="405"/>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 6</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Par lettre du 17 novembre 1989, les autorités néerlandaises ont reconnu que l'arrêté du 16 janvier 1989 contenait des normes techniques entrant dans le champ d'application de la directive 83/189 et qu'elles avaient omis de le communiquer à la Commission à l'état de projet. Elles ont toutefois signalé que ledit arrêté avait été transmis à la Commission en annexe à une lettre du 22 mai 1989 informant cette institution de la privatisation de l'administration des poids et mesures. »</w:t>
      </w:r>
    </w:p>
    <w:p w14:paraId="3BF11A4C" w14:textId="77777777" w:rsidR="00655279" w:rsidRPr="00EE5EBC" w:rsidRDefault="00655279" w:rsidP="00655279">
      <w:pPr>
        <w:widowControl w:val="0"/>
        <w:tabs>
          <w:tab w:val="left" w:pos="405"/>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p>
    <w:p w14:paraId="2B8AB5F8" w14:textId="0CA55515" w:rsidR="00655279" w:rsidRPr="00EE5EBC" w:rsidRDefault="00655279" w:rsidP="00655279">
      <w:pPr>
        <w:widowControl w:val="0"/>
        <w:tabs>
          <w:tab w:val="left" w:pos="405"/>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 10</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II est constant que, en vertu de l'article 8 de la directive, les arrêtés du 16 janvier 1989, du 24 août 1988 et du 21 octobre 1988 auraient dû être communiqués immédiatement à la Commission, à l'état de projets, et qu'une telle communication n'a pas eu lieu. »</w:t>
      </w:r>
    </w:p>
    <w:p w14:paraId="0373B534" w14:textId="77777777" w:rsidR="00655279" w:rsidRDefault="00655279" w:rsidP="00655279">
      <w:pPr>
        <w:widowControl w:val="0"/>
        <w:autoSpaceDE w:val="0"/>
        <w:autoSpaceDN w:val="0"/>
        <w:spacing w:after="0" w:line="240" w:lineRule="auto"/>
        <w:jc w:val="both"/>
        <w:outlineLvl w:val="1"/>
        <w:rPr>
          <w:rFonts w:ascii="Times New Roman" w:hAnsi="Times New Roman" w:cs="Times New Roman"/>
          <w:i/>
          <w:iCs/>
          <w:sz w:val="20"/>
          <w:szCs w:val="20"/>
          <w:lang w:val="fr-FR"/>
        </w:rPr>
      </w:pPr>
    </w:p>
    <w:p w14:paraId="08FB31A8" w14:textId="4B2ACE44" w:rsidR="00655279" w:rsidRPr="00EE5EBC" w:rsidRDefault="00B3389F"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75" w:history="1">
        <w:r w:rsidR="00655279" w:rsidRPr="00EE5EBC">
          <w:rPr>
            <w:rFonts w:ascii="Times New Roman" w:eastAsia="Times New Roman" w:hAnsi="Times New Roman" w:cs="Times New Roman"/>
            <w:b/>
            <w:i/>
            <w:color w:val="0000FF"/>
            <w:szCs w:val="20"/>
            <w:u w:val="single"/>
            <w:lang w:val="fr-FR" w:eastAsia="en-IE"/>
          </w:rPr>
          <w:t>Arrêt du 14 juillet 1994</w:t>
        </w:r>
      </w:hyperlink>
      <w:r w:rsidR="00655279"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Commission/Pays-Bas,</w:t>
      </w:r>
      <w:r w:rsidR="00745699">
        <w:rPr>
          <w:rFonts w:ascii="Times New Roman" w:eastAsia="Times New Roman" w:hAnsi="Times New Roman" w:cs="Times New Roman"/>
          <w:b/>
          <w:i/>
          <w:szCs w:val="20"/>
          <w:lang w:val="fr-FR" w:eastAsia="en-IE"/>
        </w:rPr>
        <w:t xml:space="preserve"> </w:t>
      </w:r>
      <w:r w:rsidR="00655279" w:rsidRPr="00EE5EBC">
        <w:rPr>
          <w:rFonts w:ascii="Times New Roman" w:eastAsia="Times New Roman" w:hAnsi="Times New Roman" w:cs="Times New Roman"/>
          <w:b/>
          <w:i/>
          <w:szCs w:val="20"/>
          <w:lang w:val="fr-FR" w:eastAsia="en-IE"/>
        </w:rPr>
        <w:t xml:space="preserve">C-52/93, </w:t>
      </w:r>
      <w:r w:rsidR="00655279" w:rsidRPr="00AA4F20">
        <w:rPr>
          <w:rFonts w:ascii="Times New Roman" w:eastAsia="Times New Roman" w:hAnsi="Times New Roman" w:cs="Times New Roman"/>
          <w:b/>
          <w:i/>
          <w:szCs w:val="20"/>
          <w:lang w:val="fr-BE" w:eastAsia="en-IE"/>
        </w:rPr>
        <w:t>EU:C:1994:30</w:t>
      </w:r>
      <w:r w:rsidR="00655279">
        <w:rPr>
          <w:rFonts w:ascii="Times New Roman" w:eastAsia="Times New Roman" w:hAnsi="Times New Roman" w:cs="Times New Roman"/>
          <w:b/>
          <w:i/>
          <w:szCs w:val="20"/>
          <w:lang w:val="fr-BE" w:eastAsia="en-IE"/>
        </w:rPr>
        <w:t>1,</w:t>
      </w:r>
      <w:r w:rsidR="00655279" w:rsidRPr="00EE5EBC">
        <w:rPr>
          <w:rFonts w:ascii="Times New Roman" w:eastAsia="Times New Roman" w:hAnsi="Times New Roman" w:cs="Times New Roman"/>
          <w:b/>
          <w:i/>
          <w:szCs w:val="20"/>
          <w:lang w:val="fr-FR" w:eastAsia="en-IE"/>
        </w:rPr>
        <w:t xml:space="preserve"> points 6 </w:t>
      </w:r>
      <w:r w:rsidR="00274ED4">
        <w:rPr>
          <w:rFonts w:ascii="Times New Roman" w:eastAsia="Times New Roman" w:hAnsi="Times New Roman" w:cs="Times New Roman"/>
          <w:b/>
          <w:i/>
          <w:szCs w:val="20"/>
          <w:lang w:val="fr-FR" w:eastAsia="en-IE"/>
        </w:rPr>
        <w:t>et</w:t>
      </w:r>
      <w:r w:rsidR="00655279" w:rsidRPr="00EE5EBC">
        <w:rPr>
          <w:rFonts w:ascii="Times New Roman" w:eastAsia="Times New Roman" w:hAnsi="Times New Roman" w:cs="Times New Roman"/>
          <w:b/>
          <w:i/>
          <w:szCs w:val="20"/>
          <w:lang w:val="fr-FR" w:eastAsia="en-IE"/>
        </w:rPr>
        <w:t xml:space="preserve"> 10</w:t>
      </w:r>
    </w:p>
    <w:p w14:paraId="27ACC27D" w14:textId="77777777" w:rsidR="00655279" w:rsidRPr="00EE5EBC" w:rsidRDefault="00655279"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29AE01B0" w14:textId="6C51C013" w:rsidR="00655279" w:rsidRPr="00EE5EBC" w:rsidRDefault="00655279" w:rsidP="00655279">
      <w:pPr>
        <w:widowControl w:val="0"/>
        <w:tabs>
          <w:tab w:val="left" w:pos="400"/>
        </w:tabs>
        <w:autoSpaceDE w:val="0"/>
        <w:autoSpaceDN w:val="0"/>
        <w:spacing w:after="0" w:line="240" w:lineRule="auto"/>
        <w:jc w:val="both"/>
        <w:rPr>
          <w:rFonts w:ascii="Times New Roman" w:eastAsia="Times New Roman" w:hAnsi="Times New Roman" w:cs="Times New Roman"/>
          <w:szCs w:val="20"/>
          <w:lang w:val="fr-FR" w:eastAsia="en-IE"/>
        </w:rPr>
      </w:pPr>
      <w:r w:rsidRPr="00EE5EBC">
        <w:rPr>
          <w:rFonts w:ascii="Times New Roman" w:eastAsia="Times New Roman" w:hAnsi="Times New Roman" w:cs="Times New Roman"/>
          <w:szCs w:val="20"/>
          <w:lang w:val="fr-FR" w:eastAsia="en-IE"/>
        </w:rPr>
        <w:t xml:space="preserve">En adoptant une modification du règlement sur les normes de qualité des bulbes à fleurs sans la notifier à la Commission au stade du projet, les Pays-Bas ont manqué </w:t>
      </w:r>
      <w:r w:rsidR="00D175E6">
        <w:rPr>
          <w:rFonts w:ascii="Times New Roman" w:eastAsia="Times New Roman" w:hAnsi="Times New Roman" w:cs="Times New Roman"/>
          <w:szCs w:val="20"/>
          <w:lang w:val="fr-FR" w:eastAsia="en-IE"/>
        </w:rPr>
        <w:t xml:space="preserve">à </w:t>
      </w:r>
      <w:r w:rsidR="0051744C">
        <w:rPr>
          <w:rFonts w:ascii="Times New Roman" w:eastAsia="Times New Roman" w:hAnsi="Times New Roman" w:cs="Times New Roman"/>
          <w:szCs w:val="20"/>
          <w:lang w:val="fr-FR" w:eastAsia="en-IE"/>
        </w:rPr>
        <w:t>leurs</w:t>
      </w:r>
      <w:r w:rsidRPr="00EE5EBC">
        <w:rPr>
          <w:rFonts w:ascii="Times New Roman" w:eastAsia="Times New Roman" w:hAnsi="Times New Roman" w:cs="Times New Roman"/>
          <w:szCs w:val="20"/>
          <w:lang w:val="fr-FR" w:eastAsia="en-IE"/>
        </w:rPr>
        <w:t xml:space="preserve"> obligations </w:t>
      </w:r>
      <w:r w:rsidR="00D175E6">
        <w:rPr>
          <w:rFonts w:ascii="Times New Roman" w:eastAsia="Times New Roman" w:hAnsi="Times New Roman" w:cs="Times New Roman"/>
          <w:szCs w:val="20"/>
          <w:lang w:val="fr-FR" w:eastAsia="en-IE"/>
        </w:rPr>
        <w:t>de communication des projets de règles techniques.</w:t>
      </w:r>
    </w:p>
    <w:p w14:paraId="13839355" w14:textId="77777777" w:rsidR="00655279" w:rsidRPr="00EE5EBC" w:rsidRDefault="00655279" w:rsidP="00655279">
      <w:pPr>
        <w:widowControl w:val="0"/>
        <w:tabs>
          <w:tab w:val="left" w:pos="400"/>
        </w:tabs>
        <w:autoSpaceDE w:val="0"/>
        <w:autoSpaceDN w:val="0"/>
        <w:spacing w:after="0" w:line="240" w:lineRule="auto"/>
        <w:jc w:val="both"/>
        <w:rPr>
          <w:rFonts w:ascii="Times New Roman" w:eastAsia="Times New Roman" w:hAnsi="Times New Roman" w:cs="Times New Roman"/>
          <w:szCs w:val="20"/>
          <w:lang w:val="fr-FR" w:eastAsia="en-IE"/>
        </w:rPr>
      </w:pPr>
    </w:p>
    <w:p w14:paraId="39B7E7EA" w14:textId="3DBDB7A2" w:rsidR="00655279" w:rsidRPr="00EE5EBC" w:rsidRDefault="00655279" w:rsidP="00655279">
      <w:pPr>
        <w:widowControl w:val="0"/>
        <w:tabs>
          <w:tab w:val="left" w:pos="400"/>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 6</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Par lettre du 4 novembre 1991, les autorités néerlandaises ont reconnu que le règlement en cause constituait une norme technique au sens des dispositions de la directive 83/189 et qu'elles avaient omis de communiquer à la Commission le projet de modification. » </w:t>
      </w:r>
    </w:p>
    <w:p w14:paraId="5F48D326" w14:textId="77777777" w:rsidR="00655279" w:rsidRPr="00EE5EBC" w:rsidRDefault="00655279" w:rsidP="00655279">
      <w:pPr>
        <w:widowControl w:val="0"/>
        <w:tabs>
          <w:tab w:val="left" w:pos="400"/>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p>
    <w:p w14:paraId="07D93C2A" w14:textId="323A93C0" w:rsidR="00655279" w:rsidRPr="00EE5EBC" w:rsidRDefault="00655279" w:rsidP="00655279">
      <w:pPr>
        <w:widowControl w:val="0"/>
        <w:tabs>
          <w:tab w:val="left" w:pos="400"/>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EE5EBC">
        <w:rPr>
          <w:rFonts w:ascii="Times New Roman" w:eastAsia="Times New Roman" w:hAnsi="Times New Roman" w:cs="Times New Roman"/>
          <w:i/>
          <w:iCs/>
          <w:sz w:val="20"/>
          <w:szCs w:val="16"/>
          <w:lang w:val="fr-FR" w:eastAsia="en-IE"/>
        </w:rPr>
        <w:t>« 10</w:t>
      </w:r>
      <w:r w:rsidR="005C053F">
        <w:rPr>
          <w:rFonts w:ascii="Times New Roman" w:eastAsia="Times New Roman" w:hAnsi="Times New Roman" w:cs="Times New Roman"/>
          <w:i/>
          <w:iCs/>
          <w:sz w:val="20"/>
          <w:szCs w:val="16"/>
          <w:lang w:val="fr-FR" w:eastAsia="en-IE"/>
        </w:rPr>
        <w:t>.</w:t>
      </w:r>
      <w:r w:rsidRPr="00EE5EBC">
        <w:rPr>
          <w:rFonts w:ascii="Times New Roman" w:eastAsia="Times New Roman" w:hAnsi="Times New Roman" w:cs="Times New Roman"/>
          <w:i/>
          <w:iCs/>
          <w:sz w:val="20"/>
          <w:szCs w:val="16"/>
          <w:lang w:val="fr-FR" w:eastAsia="en-IE"/>
        </w:rPr>
        <w:t xml:space="preserve"> II est constant qu'en vertu de l'article 8 de la directive le projet de la modification XIII du règlement PVS aurait dû être communiqué immédiatement à la Commission et qu'une telle communication n'a pas </w:t>
      </w:r>
      <w:r w:rsidRPr="00EE5EBC">
        <w:rPr>
          <w:rFonts w:ascii="Times New Roman" w:eastAsia="Times New Roman" w:hAnsi="Times New Roman" w:cs="Times New Roman"/>
          <w:i/>
          <w:iCs/>
          <w:sz w:val="20"/>
          <w:szCs w:val="16"/>
          <w:lang w:val="fr-FR" w:eastAsia="en-IE"/>
        </w:rPr>
        <w:lastRenderedPageBreak/>
        <w:t>eu lieu »</w:t>
      </w:r>
    </w:p>
    <w:p w14:paraId="33E5C531" w14:textId="77777777" w:rsidR="00655279" w:rsidRDefault="00655279" w:rsidP="00655279">
      <w:pPr>
        <w:widowControl w:val="0"/>
        <w:autoSpaceDE w:val="0"/>
        <w:autoSpaceDN w:val="0"/>
        <w:spacing w:after="0" w:line="240" w:lineRule="auto"/>
        <w:jc w:val="both"/>
        <w:outlineLvl w:val="1"/>
        <w:rPr>
          <w:rFonts w:ascii="Times New Roman" w:hAnsi="Times New Roman" w:cs="Times New Roman"/>
          <w:i/>
          <w:iCs/>
          <w:sz w:val="20"/>
          <w:szCs w:val="20"/>
          <w:lang w:val="fr-FR"/>
        </w:rPr>
      </w:pPr>
    </w:p>
    <w:p w14:paraId="10CAA98B" w14:textId="6E3EAF4A" w:rsidR="00655279" w:rsidRPr="00EE5EBC" w:rsidRDefault="00B3389F"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76" w:history="1">
        <w:r w:rsidR="00655279" w:rsidRPr="00EE5EBC">
          <w:rPr>
            <w:rFonts w:ascii="Times New Roman" w:eastAsia="Times New Roman" w:hAnsi="Times New Roman" w:cs="Times New Roman"/>
            <w:b/>
            <w:i/>
            <w:color w:val="0000FF"/>
            <w:szCs w:val="20"/>
            <w:u w:val="single"/>
            <w:lang w:val="fr-FR" w:eastAsia="en-IE"/>
          </w:rPr>
          <w:t xml:space="preserve">Arrêt du 8 </w:t>
        </w:r>
        <w:r w:rsidR="00655279" w:rsidRPr="00657D92">
          <w:rPr>
            <w:rFonts w:ascii="Times New Roman" w:eastAsia="Times New Roman" w:hAnsi="Times New Roman" w:cs="Times New Roman"/>
            <w:b/>
            <w:i/>
            <w:color w:val="0000FF"/>
            <w:szCs w:val="20"/>
            <w:u w:val="single"/>
            <w:lang w:val="fr-FR" w:eastAsia="en-IE"/>
          </w:rPr>
          <w:t>septembre</w:t>
        </w:r>
        <w:r w:rsidR="00655279" w:rsidRPr="00EE5EBC">
          <w:rPr>
            <w:rFonts w:ascii="Times New Roman" w:eastAsia="Times New Roman" w:hAnsi="Times New Roman" w:cs="Times New Roman"/>
            <w:b/>
            <w:i/>
            <w:color w:val="0000FF"/>
            <w:szCs w:val="20"/>
            <w:u w:val="single"/>
            <w:lang w:val="fr-FR" w:eastAsia="en-IE"/>
          </w:rPr>
          <w:t xml:space="preserve"> 2005</w:t>
        </w:r>
      </w:hyperlink>
      <w:r w:rsidR="00655279"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 xml:space="preserve">Commission/Portugal, </w:t>
      </w:r>
      <w:r w:rsidR="00655279" w:rsidRPr="00EE5EBC">
        <w:rPr>
          <w:rFonts w:ascii="Times New Roman" w:eastAsia="Times New Roman" w:hAnsi="Times New Roman" w:cs="Times New Roman"/>
          <w:b/>
          <w:i/>
          <w:szCs w:val="20"/>
          <w:lang w:val="fr-FR" w:eastAsia="en-IE"/>
        </w:rPr>
        <w:t>C-500/03, EU:C:2005:515, points 39 à 41</w:t>
      </w:r>
    </w:p>
    <w:p w14:paraId="49D6EA93" w14:textId="77777777" w:rsidR="00655279" w:rsidRPr="00EE5EBC" w:rsidRDefault="00655279" w:rsidP="00655279">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54F1E244" w14:textId="1D5AC459" w:rsidR="00655279" w:rsidRPr="00EE5EBC" w:rsidRDefault="00274ED4" w:rsidP="00655279">
      <w:pPr>
        <w:widowControl w:val="0"/>
        <w:tabs>
          <w:tab w:val="left" w:pos="467"/>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La directive</w:t>
      </w:r>
      <w:r w:rsidR="00655279" w:rsidRPr="00EE5EBC">
        <w:rPr>
          <w:rFonts w:ascii="Times New Roman" w:eastAsia="Times New Roman" w:hAnsi="Times New Roman" w:cs="Times New Roman"/>
          <w:szCs w:val="20"/>
          <w:lang w:val="fr-FR" w:eastAsia="en-IE"/>
        </w:rPr>
        <w:t xml:space="preserve"> impose aux États membres de notifier immédiatement à la Commission tout projet de règle technique. En omettant cette notification préalable, </w:t>
      </w:r>
      <w:r w:rsidR="00655279">
        <w:rPr>
          <w:rFonts w:ascii="Times New Roman" w:eastAsia="Times New Roman" w:hAnsi="Times New Roman" w:cs="Times New Roman"/>
          <w:szCs w:val="20"/>
          <w:lang w:val="fr-FR" w:eastAsia="en-IE"/>
        </w:rPr>
        <w:t>le Portugal</w:t>
      </w:r>
      <w:r w:rsidR="00655279" w:rsidRPr="00EE5EBC">
        <w:rPr>
          <w:rFonts w:ascii="Times New Roman" w:eastAsia="Times New Roman" w:hAnsi="Times New Roman" w:cs="Times New Roman"/>
          <w:szCs w:val="20"/>
          <w:lang w:val="fr-FR" w:eastAsia="en-IE"/>
        </w:rPr>
        <w:t xml:space="preserve"> a manqué </w:t>
      </w:r>
      <w:r w:rsidR="00D175E6">
        <w:rPr>
          <w:rFonts w:ascii="Times New Roman" w:eastAsia="Times New Roman" w:hAnsi="Times New Roman" w:cs="Times New Roman"/>
          <w:szCs w:val="20"/>
          <w:lang w:val="fr-FR" w:eastAsia="en-IE"/>
        </w:rPr>
        <w:t>à ses</w:t>
      </w:r>
      <w:r w:rsidR="00D175E6" w:rsidRPr="00EE5EBC">
        <w:rPr>
          <w:rFonts w:ascii="Times New Roman" w:eastAsia="Times New Roman" w:hAnsi="Times New Roman" w:cs="Times New Roman"/>
          <w:szCs w:val="20"/>
          <w:lang w:val="fr-FR" w:eastAsia="en-IE"/>
        </w:rPr>
        <w:t xml:space="preserve"> obligations </w:t>
      </w:r>
      <w:r w:rsidR="00D175E6">
        <w:rPr>
          <w:rFonts w:ascii="Times New Roman" w:eastAsia="Times New Roman" w:hAnsi="Times New Roman" w:cs="Times New Roman"/>
          <w:szCs w:val="20"/>
          <w:lang w:val="fr-FR" w:eastAsia="en-IE"/>
        </w:rPr>
        <w:t>de communication des projets de règles techniques.</w:t>
      </w:r>
    </w:p>
    <w:p w14:paraId="5E8234E0" w14:textId="77777777" w:rsidR="00655279" w:rsidRPr="00EE5EBC" w:rsidRDefault="00655279" w:rsidP="00655279">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lang w:val="fr-FR" w:eastAsia="en-IE"/>
        </w:rPr>
      </w:pPr>
    </w:p>
    <w:p w14:paraId="44335DFA" w14:textId="5C3E5890" w:rsidR="00655279" w:rsidRPr="00EE5EBC" w:rsidRDefault="00655279" w:rsidP="00655279">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FR" w:eastAsia="en-IE"/>
        </w:rPr>
        <w:t>« </w:t>
      </w:r>
      <w:r w:rsidRPr="00EE5EBC">
        <w:rPr>
          <w:rFonts w:ascii="Times New Roman" w:eastAsia="Times New Roman" w:hAnsi="Times New Roman" w:cs="Times New Roman"/>
          <w:i/>
          <w:iCs/>
          <w:sz w:val="20"/>
          <w:szCs w:val="16"/>
          <w:lang w:val="fr-BE" w:eastAsia="en-IE"/>
        </w:rPr>
        <w:t>39</w:t>
      </w:r>
      <w:r w:rsidR="005C053F">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Le présent recours en manquement se limitant à la demande de constatation du non-respect de la procédure formelle de notification préalable, il suffit de rappeler, sans qu’il soit nécessaire de répondre aux autres arguments des parties, que la Cour a déjà jugé que l’article 8, paragraphe 1, de la directive 98/34 oblige les États membres à communiquer immédiatement à la Commission tout projet de règle technique (voir notamment, en ce sens, s’agissant de dispositions similaires à celles de cette directive, arrêts du 2 août 1993, Commission/Italie, C</w:t>
      </w:r>
      <w:r w:rsidRPr="00EE5EBC">
        <w:rPr>
          <w:rFonts w:ascii="Times New Roman" w:eastAsia="Times New Roman" w:hAnsi="Times New Roman" w:cs="Times New Roman"/>
          <w:i/>
          <w:iCs/>
          <w:sz w:val="20"/>
          <w:szCs w:val="16"/>
          <w:lang w:val="fr-BE" w:eastAsia="en-IE"/>
        </w:rPr>
        <w:noBreakHyphen/>
        <w:t>139/92, Rec. p. I</w:t>
      </w:r>
      <w:r w:rsidRPr="00EE5EBC">
        <w:rPr>
          <w:rFonts w:ascii="Times New Roman" w:eastAsia="Times New Roman" w:hAnsi="Times New Roman" w:cs="Times New Roman"/>
          <w:i/>
          <w:iCs/>
          <w:sz w:val="20"/>
          <w:szCs w:val="16"/>
          <w:lang w:val="fr-BE" w:eastAsia="en-IE"/>
        </w:rPr>
        <w:noBreakHyphen/>
        <w:t>4707, point 3, et du 11 janvier 1996, Commission/Pays-Bas, C</w:t>
      </w:r>
      <w:r w:rsidRPr="00EE5EBC">
        <w:rPr>
          <w:rFonts w:ascii="Times New Roman" w:eastAsia="Times New Roman" w:hAnsi="Times New Roman" w:cs="Times New Roman"/>
          <w:i/>
          <w:iCs/>
          <w:sz w:val="20"/>
          <w:szCs w:val="16"/>
          <w:lang w:val="fr-BE" w:eastAsia="en-IE"/>
        </w:rPr>
        <w:noBreakHyphen/>
        <w:t>273/94, Rec. p. I-31, point 15).</w:t>
      </w:r>
    </w:p>
    <w:p w14:paraId="01A9092E" w14:textId="77777777" w:rsidR="00655279" w:rsidRPr="00EE5EBC" w:rsidRDefault="00655279" w:rsidP="00655279">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CD1D685" w14:textId="06F64FF2" w:rsidR="00655279" w:rsidRPr="00EE5EBC" w:rsidRDefault="00655279" w:rsidP="00655279">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BE" w:eastAsia="en-IE"/>
        </w:rPr>
        <w:t>40</w:t>
      </w:r>
      <w:r w:rsidR="005C053F">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Les dispositions concernées de l’arrêté n° 783/98 constituant des règles techniques au sens de la directive 98/34, ainsi que cela a été dit au point 31 du présent arrêt, la République portugaise était tenue de procéder à leur notification sous la forme de projet en application de l’article 8, paragraphe 1, de la directive 98/34 (voir notamment, en ce sens, s’agissant de dispositions similaires à celles de la directive 98/34, arrêts du 7 mai 1998, Commission/Belgique, C</w:t>
      </w:r>
      <w:r w:rsidRPr="00EE5EBC">
        <w:rPr>
          <w:rFonts w:ascii="Times New Roman" w:eastAsia="Times New Roman" w:hAnsi="Times New Roman" w:cs="Times New Roman"/>
          <w:i/>
          <w:iCs/>
          <w:sz w:val="20"/>
          <w:szCs w:val="16"/>
          <w:lang w:val="fr-BE" w:eastAsia="en-IE"/>
        </w:rPr>
        <w:noBreakHyphen/>
        <w:t>145/97, Rec. p. I</w:t>
      </w:r>
      <w:r w:rsidRPr="00EE5EBC">
        <w:rPr>
          <w:rFonts w:ascii="Times New Roman" w:eastAsia="Times New Roman" w:hAnsi="Times New Roman" w:cs="Times New Roman"/>
          <w:i/>
          <w:iCs/>
          <w:sz w:val="20"/>
          <w:szCs w:val="16"/>
          <w:lang w:val="fr-BE" w:eastAsia="en-IE"/>
        </w:rPr>
        <w:noBreakHyphen/>
        <w:t>2643, point 13, et du 21 avril 2005, Lindberg, C</w:t>
      </w:r>
      <w:r w:rsidRPr="00EE5EBC">
        <w:rPr>
          <w:rFonts w:ascii="Times New Roman" w:eastAsia="Times New Roman" w:hAnsi="Times New Roman" w:cs="Times New Roman"/>
          <w:i/>
          <w:iCs/>
          <w:sz w:val="20"/>
          <w:szCs w:val="16"/>
          <w:lang w:val="fr-BE" w:eastAsia="en-IE"/>
        </w:rPr>
        <w:noBreakHyphen/>
        <w:t>267/03, non encore publié au Recueil, point 43).</w:t>
      </w:r>
    </w:p>
    <w:p w14:paraId="291F779F" w14:textId="77777777" w:rsidR="00655279" w:rsidRPr="00EE5EBC" w:rsidRDefault="00655279" w:rsidP="00655279">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6E06802" w14:textId="17524D86" w:rsidR="00655279" w:rsidRDefault="00655279" w:rsidP="00655279">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BE" w:eastAsia="en-IE"/>
        </w:rPr>
        <w:t>41</w:t>
      </w:r>
      <w:r w:rsidR="005C053F">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Par conséquent, il convient de constater que, en ayant adopté l’arrêté n° 783/98 sans l’avoir notifié à l’état de projet à la Commission, la République portugaise a manqué aux obligations qui lui incombent en vertu de l’article 8 de la directive 98/34. »</w:t>
      </w:r>
    </w:p>
    <w:p w14:paraId="46D65C64" w14:textId="77777777" w:rsidR="00355497" w:rsidRDefault="00355497" w:rsidP="00355497">
      <w:pPr>
        <w:widowControl w:val="0"/>
        <w:tabs>
          <w:tab w:val="left" w:pos="467"/>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0E3DB178" w14:textId="3036B76F" w:rsidR="00355497" w:rsidRPr="00EE5EBC" w:rsidRDefault="00B3389F" w:rsidP="00355497">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77" w:history="1">
        <w:r w:rsidR="00355497" w:rsidRPr="00CF4DA0">
          <w:rPr>
            <w:rStyle w:val="Hyperlink"/>
            <w:rFonts w:ascii="Times New Roman" w:eastAsia="Times New Roman" w:hAnsi="Times New Roman" w:cs="Times New Roman"/>
            <w:b/>
            <w:i/>
            <w:color w:val="0000FF"/>
            <w:szCs w:val="20"/>
            <w:lang w:val="fr-FR" w:eastAsia="en-IE"/>
          </w:rPr>
          <w:t xml:space="preserve">Arrêt du </w:t>
        </w:r>
        <w:r w:rsidR="00657D92" w:rsidRPr="00CF4DA0">
          <w:rPr>
            <w:rStyle w:val="Hyperlink"/>
            <w:rFonts w:ascii="Times New Roman" w:eastAsia="Times New Roman" w:hAnsi="Times New Roman" w:cs="Times New Roman"/>
            <w:b/>
            <w:i/>
            <w:color w:val="0000FF"/>
            <w:szCs w:val="20"/>
            <w:lang w:val="fr-FR" w:eastAsia="en-IE"/>
          </w:rPr>
          <w:t>26 octobre 2006</w:t>
        </w:r>
      </w:hyperlink>
      <w:r w:rsidR="00355497"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Commission/</w:t>
      </w:r>
      <w:r w:rsidR="00745699">
        <w:rPr>
          <w:rFonts w:ascii="Times New Roman" w:eastAsia="Times New Roman" w:hAnsi="Times New Roman" w:cs="Times New Roman"/>
          <w:b/>
          <w:i/>
          <w:szCs w:val="20"/>
          <w:lang w:val="fr-FR" w:eastAsia="en-IE"/>
        </w:rPr>
        <w:t>Grèce</w:t>
      </w:r>
      <w:r w:rsidR="00745699" w:rsidRPr="00EE5EBC">
        <w:rPr>
          <w:rFonts w:ascii="Times New Roman" w:eastAsia="Times New Roman" w:hAnsi="Times New Roman" w:cs="Times New Roman"/>
          <w:b/>
          <w:i/>
          <w:szCs w:val="20"/>
          <w:lang w:val="fr-FR" w:eastAsia="en-IE"/>
        </w:rPr>
        <w:t xml:space="preserve">, </w:t>
      </w:r>
      <w:r w:rsidR="00355497" w:rsidRPr="00EE5EBC">
        <w:rPr>
          <w:rFonts w:ascii="Times New Roman" w:eastAsia="Times New Roman" w:hAnsi="Times New Roman" w:cs="Times New Roman"/>
          <w:b/>
          <w:i/>
          <w:szCs w:val="20"/>
          <w:lang w:val="fr-FR" w:eastAsia="en-IE"/>
        </w:rPr>
        <w:t>C-</w:t>
      </w:r>
      <w:r w:rsidR="00657D92">
        <w:rPr>
          <w:rFonts w:ascii="Times New Roman" w:eastAsia="Times New Roman" w:hAnsi="Times New Roman" w:cs="Times New Roman"/>
          <w:b/>
          <w:i/>
          <w:szCs w:val="20"/>
          <w:lang w:val="fr-FR" w:eastAsia="en-IE"/>
        </w:rPr>
        <w:t>65/05</w:t>
      </w:r>
      <w:r w:rsidR="00355497" w:rsidRPr="00EE5EBC">
        <w:rPr>
          <w:rFonts w:ascii="Times New Roman" w:eastAsia="Times New Roman" w:hAnsi="Times New Roman" w:cs="Times New Roman"/>
          <w:b/>
          <w:i/>
          <w:szCs w:val="20"/>
          <w:lang w:val="fr-FR" w:eastAsia="en-IE"/>
        </w:rPr>
        <w:t xml:space="preserve">, </w:t>
      </w:r>
      <w:r w:rsidR="00657D92" w:rsidRPr="00657D92">
        <w:rPr>
          <w:rFonts w:ascii="Times New Roman" w:eastAsia="Times New Roman" w:hAnsi="Times New Roman" w:cs="Times New Roman"/>
          <w:b/>
          <w:i/>
          <w:szCs w:val="20"/>
          <w:lang w:val="fr-BE" w:eastAsia="en-IE"/>
        </w:rPr>
        <w:t>EU:C:2006:673</w:t>
      </w:r>
      <w:r w:rsidR="00355497" w:rsidRPr="00EE5EBC">
        <w:rPr>
          <w:rFonts w:ascii="Times New Roman" w:eastAsia="Times New Roman" w:hAnsi="Times New Roman" w:cs="Times New Roman"/>
          <w:b/>
          <w:i/>
          <w:szCs w:val="20"/>
          <w:lang w:val="fr-FR" w:eastAsia="en-IE"/>
        </w:rPr>
        <w:t xml:space="preserve">, points </w:t>
      </w:r>
      <w:r w:rsidR="00355497">
        <w:rPr>
          <w:rFonts w:ascii="Times New Roman" w:eastAsia="Times New Roman" w:hAnsi="Times New Roman" w:cs="Times New Roman"/>
          <w:b/>
          <w:i/>
          <w:szCs w:val="20"/>
          <w:lang w:val="fr-FR" w:eastAsia="en-IE"/>
        </w:rPr>
        <w:t>60 à 62</w:t>
      </w:r>
    </w:p>
    <w:p w14:paraId="6FCE0CC7" w14:textId="77777777" w:rsidR="00355497" w:rsidRPr="00EE5EBC" w:rsidRDefault="00355497" w:rsidP="00355497">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4ECD135F" w14:textId="3A274527" w:rsidR="00355497" w:rsidRPr="00EE5EBC" w:rsidRDefault="00355497" w:rsidP="00355497">
      <w:pPr>
        <w:widowControl w:val="0"/>
        <w:tabs>
          <w:tab w:val="left" w:pos="467"/>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La directive</w:t>
      </w:r>
      <w:r w:rsidRPr="00EE5EBC">
        <w:rPr>
          <w:rFonts w:ascii="Times New Roman" w:eastAsia="Times New Roman" w:hAnsi="Times New Roman" w:cs="Times New Roman"/>
          <w:szCs w:val="20"/>
          <w:lang w:val="fr-FR" w:eastAsia="en-IE"/>
        </w:rPr>
        <w:t xml:space="preserve"> impose aux États membres de notifier immédiatement à la Commission tout projet de règle technique. En omettant cette notification préalable, </w:t>
      </w:r>
      <w:r>
        <w:rPr>
          <w:rFonts w:ascii="Times New Roman" w:eastAsia="Times New Roman" w:hAnsi="Times New Roman" w:cs="Times New Roman"/>
          <w:szCs w:val="20"/>
          <w:lang w:val="fr-FR" w:eastAsia="en-IE"/>
        </w:rPr>
        <w:t xml:space="preserve">la Grèce </w:t>
      </w:r>
      <w:r w:rsidRPr="00EE5EBC">
        <w:rPr>
          <w:rFonts w:ascii="Times New Roman" w:eastAsia="Times New Roman" w:hAnsi="Times New Roman" w:cs="Times New Roman"/>
          <w:szCs w:val="20"/>
          <w:lang w:val="fr-FR" w:eastAsia="en-IE"/>
        </w:rPr>
        <w:t>a manqué à ses obligations au titre de cette directive.</w:t>
      </w:r>
    </w:p>
    <w:p w14:paraId="2C6CFEB3" w14:textId="77777777" w:rsidR="00355497" w:rsidRPr="00EE5EBC" w:rsidRDefault="00355497" w:rsidP="00355497">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lang w:val="fr-FR" w:eastAsia="en-IE"/>
        </w:rPr>
      </w:pPr>
    </w:p>
    <w:p w14:paraId="7574C9E7" w14:textId="27A880BA" w:rsidR="00355497" w:rsidRPr="00355497" w:rsidRDefault="00355497" w:rsidP="00355497">
      <w:pPr>
        <w:pStyle w:val="BodyText"/>
        <w:ind w:left="510"/>
        <w:rPr>
          <w:i/>
          <w:iCs/>
          <w:sz w:val="20"/>
          <w:szCs w:val="16"/>
          <w:lang w:val="fr-BE"/>
        </w:rPr>
      </w:pPr>
      <w:r w:rsidRPr="00EE5EBC">
        <w:rPr>
          <w:i/>
          <w:iCs/>
          <w:sz w:val="20"/>
          <w:szCs w:val="16"/>
          <w:lang w:val="fr-FR"/>
        </w:rPr>
        <w:t>« </w:t>
      </w:r>
      <w:r w:rsidRPr="00355497">
        <w:rPr>
          <w:i/>
          <w:iCs/>
          <w:sz w:val="20"/>
          <w:szCs w:val="16"/>
          <w:lang w:val="fr-BE"/>
        </w:rPr>
        <w:t>60</w:t>
      </w:r>
      <w:r w:rsidR="005C053F">
        <w:rPr>
          <w:i/>
          <w:iCs/>
          <w:sz w:val="20"/>
          <w:szCs w:val="16"/>
          <w:lang w:val="fr-BE"/>
        </w:rPr>
        <w:t xml:space="preserve">. </w:t>
      </w:r>
      <w:r w:rsidRPr="00355497">
        <w:rPr>
          <w:i/>
          <w:iCs/>
          <w:sz w:val="20"/>
          <w:szCs w:val="16"/>
          <w:lang w:val="fr-BE"/>
        </w:rPr>
        <w:t>Il y a lieu de relever que la Cour a déjà jugé que des dispositions telles que l’article 8, paragraphe 1, de la directive 98/34 obligent les États membres à communiquer immédiatement à la Commission tout projet de règle technique (arrêt du 8 septembre 2005, Commission/Portugal, C‑500/03, non publié au Recueil, point 39, ainsi que, s’agissant de dispositions analogues à celles de cette directive, arrêts du 2 août 1993, Commission/Italie, C‑139/92, Rec. p. I‑4707, point 3, et du 11 janvier 1996, Commission/Pays-Bas, C‑273/94, Rec. p. I‑31, point 15).</w:t>
      </w:r>
    </w:p>
    <w:p w14:paraId="1C72903E" w14:textId="77777777" w:rsidR="00355497" w:rsidRPr="00355497" w:rsidRDefault="00355497" w:rsidP="00355497">
      <w:pPr>
        <w:pStyle w:val="BodyText"/>
        <w:ind w:left="510"/>
        <w:rPr>
          <w:i/>
          <w:iCs/>
          <w:sz w:val="20"/>
          <w:szCs w:val="16"/>
          <w:lang w:val="fr-BE"/>
        </w:rPr>
      </w:pPr>
    </w:p>
    <w:p w14:paraId="72144E99" w14:textId="12954973" w:rsidR="00355497" w:rsidRPr="00355497" w:rsidRDefault="00355497" w:rsidP="00355497">
      <w:pPr>
        <w:pStyle w:val="BodyText"/>
        <w:ind w:left="510"/>
        <w:rPr>
          <w:i/>
          <w:iCs/>
          <w:sz w:val="20"/>
          <w:szCs w:val="16"/>
          <w:lang w:val="fr-BE"/>
        </w:rPr>
      </w:pPr>
      <w:r w:rsidRPr="00355497">
        <w:rPr>
          <w:i/>
          <w:iCs/>
          <w:sz w:val="20"/>
          <w:szCs w:val="16"/>
          <w:lang w:val="fr-BE"/>
        </w:rPr>
        <w:t>61</w:t>
      </w:r>
      <w:r w:rsidR="005C053F">
        <w:rPr>
          <w:i/>
          <w:iCs/>
          <w:sz w:val="20"/>
          <w:szCs w:val="16"/>
          <w:lang w:val="fr-BE"/>
        </w:rPr>
        <w:t xml:space="preserve">. </w:t>
      </w:r>
      <w:r w:rsidRPr="00355497">
        <w:rPr>
          <w:i/>
          <w:iCs/>
          <w:sz w:val="20"/>
          <w:szCs w:val="16"/>
          <w:lang w:val="fr-BE"/>
        </w:rPr>
        <w:t>Or, des mesures telles que celles prévues aux articles 2, paragraphe 1, et 3 de la loi n° 3037/2002, dans la mesure où elles interdisent l’utilisation de tous les jeux électriques, électromécaniques et électroniques, y compris tous les jeux pour ordinateurs, dans tous les lieux publics et privés, à l’exception des casinos, ainsi que l’utilisation de jeux sur les ordinateurs se trouvant dans des entreprises de prestation de services Internet et soumettent l’exploitation de ces entreprises à la délivrance d’une autorisation spéciale, doivent être qualifiées de règles techniques au sens de l’article 1er, point 11, de la directive 98/34 (voir, en ce sens, arrêt du 21 avril 2005, Lindberg, C‑267/03, Rec. p. I‑3247).</w:t>
      </w:r>
    </w:p>
    <w:p w14:paraId="101826A4" w14:textId="77777777" w:rsidR="00355497" w:rsidRPr="00355497" w:rsidRDefault="00355497" w:rsidP="00355497">
      <w:pPr>
        <w:pStyle w:val="BodyText"/>
        <w:ind w:left="510"/>
        <w:rPr>
          <w:i/>
          <w:iCs/>
          <w:sz w:val="20"/>
          <w:szCs w:val="16"/>
          <w:lang w:val="fr-BE"/>
        </w:rPr>
      </w:pPr>
    </w:p>
    <w:p w14:paraId="36CD38D8" w14:textId="4892C092" w:rsidR="00355497" w:rsidRPr="00355497" w:rsidRDefault="00355497" w:rsidP="00355497">
      <w:pPr>
        <w:pStyle w:val="BodyText"/>
        <w:ind w:left="510"/>
        <w:rPr>
          <w:i/>
          <w:iCs/>
          <w:sz w:val="20"/>
          <w:szCs w:val="16"/>
          <w:lang w:val="fr-BE"/>
        </w:rPr>
      </w:pPr>
      <w:r w:rsidRPr="00355497">
        <w:rPr>
          <w:i/>
          <w:iCs/>
          <w:sz w:val="20"/>
          <w:szCs w:val="16"/>
          <w:lang w:val="fr-BE"/>
        </w:rPr>
        <w:t>62</w:t>
      </w:r>
      <w:r w:rsidR="005C053F">
        <w:rPr>
          <w:i/>
          <w:iCs/>
          <w:sz w:val="20"/>
          <w:szCs w:val="16"/>
          <w:lang w:val="fr-BE"/>
        </w:rPr>
        <w:t xml:space="preserve">. </w:t>
      </w:r>
      <w:r w:rsidRPr="00355497">
        <w:rPr>
          <w:i/>
          <w:iCs/>
          <w:sz w:val="20"/>
          <w:szCs w:val="16"/>
          <w:lang w:val="fr-BE"/>
        </w:rPr>
        <w:t>Dans ces conditions, la République hellénique était tenue de procéder à la notification de telles règles techniques sous la forme de projet en application de l’article 8, paragraphe 1, premier alinéa, de la directive 98/34 (voir, notamment, arrêt Commission/Portugal, précité, point 40).</w:t>
      </w:r>
      <w:r>
        <w:rPr>
          <w:i/>
          <w:iCs/>
          <w:sz w:val="20"/>
          <w:szCs w:val="16"/>
          <w:lang w:val="fr-BE"/>
        </w:rPr>
        <w:t> »</w:t>
      </w:r>
    </w:p>
    <w:p w14:paraId="04343D49" w14:textId="09A94D25" w:rsidR="00355497" w:rsidRPr="00745699" w:rsidRDefault="008F17FD" w:rsidP="00745699">
      <w:pPr>
        <w:spacing w:line="278" w:lineRule="auto"/>
        <w:rPr>
          <w:rFonts w:ascii="Times New Roman" w:eastAsia="Times New Roman" w:hAnsi="Times New Roman" w:cs="Times New Roman"/>
          <w:b/>
          <w:bCs/>
          <w:sz w:val="24"/>
          <w:szCs w:val="20"/>
          <w:lang w:val="fr" w:eastAsia="en-IE"/>
        </w:rPr>
      </w:pPr>
      <w:r w:rsidRPr="00F35643">
        <w:rPr>
          <w:b/>
          <w:bCs/>
          <w:lang w:val="fr-BE"/>
        </w:rPr>
        <w:br w:type="page"/>
      </w:r>
    </w:p>
    <w:p w14:paraId="7E3DD826" w14:textId="7E9A6BE0" w:rsidR="008F17FD" w:rsidRPr="00745699" w:rsidRDefault="00745699" w:rsidP="002C17AE">
      <w:pPr>
        <w:pStyle w:val="Heading2"/>
        <w:spacing w:after="0"/>
        <w:jc w:val="center"/>
        <w:rPr>
          <w:color w:val="auto"/>
          <w:lang w:val="fr-BE"/>
        </w:rPr>
      </w:pPr>
      <w:bookmarkStart w:id="75" w:name="_Toc203035387"/>
      <w:bookmarkEnd w:id="74"/>
      <w:r w:rsidRPr="00745699">
        <w:rPr>
          <w:color w:val="auto"/>
          <w:lang w:val="fr-BE"/>
        </w:rPr>
        <w:lastRenderedPageBreak/>
        <w:t xml:space="preserve">b. </w:t>
      </w:r>
      <w:bookmarkStart w:id="76" w:name="_Ref195518088"/>
      <w:r w:rsidR="00C14379" w:rsidRPr="00745699">
        <w:rPr>
          <w:color w:val="auto"/>
          <w:lang w:val="fr-BE"/>
        </w:rPr>
        <w:t>Notifications</w:t>
      </w:r>
      <w:r w:rsidR="008F17FD" w:rsidRPr="00745699">
        <w:rPr>
          <w:color w:val="auto"/>
          <w:lang w:val="fr-BE"/>
        </w:rPr>
        <w:t xml:space="preserve"> des règles techniques nouvelles</w:t>
      </w:r>
      <w:bookmarkEnd w:id="76"/>
      <w:bookmarkEnd w:id="75"/>
    </w:p>
    <w:p w14:paraId="411799D7" w14:textId="77777777" w:rsidR="00A23485" w:rsidRDefault="00A23485" w:rsidP="002C17AE">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6C5E8F90" w14:textId="30734EEE" w:rsidR="004E15FB"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78" w:history="1">
        <w:r w:rsidR="004E15FB" w:rsidRPr="006C38F9">
          <w:rPr>
            <w:rFonts w:ascii="Times New Roman" w:eastAsia="Times New Roman" w:hAnsi="Times New Roman" w:cs="Times New Roman"/>
            <w:b/>
            <w:i/>
            <w:color w:val="0000FF"/>
            <w:szCs w:val="20"/>
            <w:u w:val="single"/>
            <w:lang w:val="fr" w:eastAsia="en-IE"/>
          </w:rPr>
          <w:t>Arrêt du 1 juin 1994</w:t>
        </w:r>
      </w:hyperlink>
      <w:r w:rsidR="004E15FB" w:rsidRPr="006C38F9">
        <w:rPr>
          <w:rFonts w:ascii="Times New Roman" w:eastAsia="Times New Roman" w:hAnsi="Times New Roman" w:cs="Times New Roman"/>
          <w:b/>
          <w:i/>
          <w:szCs w:val="20"/>
          <w:lang w:val="fr" w:eastAsia="en-IE"/>
        </w:rPr>
        <w:t xml:space="preserve">, </w:t>
      </w:r>
      <w:r w:rsidR="00745699" w:rsidRPr="006C38F9">
        <w:rPr>
          <w:rFonts w:ascii="Times New Roman" w:eastAsia="Times New Roman" w:hAnsi="Times New Roman" w:cs="Times New Roman"/>
          <w:b/>
          <w:i/>
          <w:szCs w:val="20"/>
          <w:lang w:val="fr" w:eastAsia="en-IE"/>
        </w:rPr>
        <w:t xml:space="preserve">Commission/Allemagne, </w:t>
      </w:r>
      <w:r w:rsidR="004E15FB" w:rsidRPr="006C38F9">
        <w:rPr>
          <w:rFonts w:ascii="Times New Roman" w:eastAsia="Times New Roman" w:hAnsi="Times New Roman" w:cs="Times New Roman"/>
          <w:b/>
          <w:i/>
          <w:szCs w:val="20"/>
          <w:lang w:val="fr" w:eastAsia="en-IE"/>
        </w:rPr>
        <w:t xml:space="preserve">C-317/92, </w:t>
      </w:r>
      <w:r w:rsidR="0044346B" w:rsidRPr="0044346B">
        <w:rPr>
          <w:rFonts w:ascii="Times New Roman" w:eastAsia="Times New Roman" w:hAnsi="Times New Roman" w:cs="Times New Roman"/>
          <w:b/>
          <w:i/>
          <w:szCs w:val="20"/>
          <w:lang w:val="fr-BE" w:eastAsia="en-IE"/>
        </w:rPr>
        <w:t>EU:C:1994:212,</w:t>
      </w:r>
      <w:r w:rsidR="0044346B">
        <w:rPr>
          <w:rFonts w:ascii="Times New Roman" w:eastAsia="Times New Roman" w:hAnsi="Times New Roman" w:cs="Times New Roman"/>
          <w:b/>
          <w:i/>
          <w:szCs w:val="20"/>
          <w:lang w:val="fr-BE" w:eastAsia="en-IE"/>
        </w:rPr>
        <w:t xml:space="preserve"> </w:t>
      </w:r>
      <w:r w:rsidR="004E15FB" w:rsidRPr="006C38F9">
        <w:rPr>
          <w:rFonts w:ascii="Times New Roman" w:eastAsia="Times New Roman" w:hAnsi="Times New Roman" w:cs="Times New Roman"/>
          <w:b/>
          <w:i/>
          <w:szCs w:val="20"/>
          <w:lang w:val="fr" w:eastAsia="en-IE"/>
        </w:rPr>
        <w:t>points 25 et 26</w:t>
      </w:r>
    </w:p>
    <w:p w14:paraId="02B677B6" w14:textId="77777777" w:rsidR="004E15FB" w:rsidRPr="006C38F9" w:rsidRDefault="004E15FB"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D1B1FEA" w14:textId="002590BF" w:rsidR="004E15FB" w:rsidRPr="006C38F9" w:rsidRDefault="004E15FB"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6C38F9">
        <w:rPr>
          <w:rFonts w:ascii="Times New Roman" w:eastAsia="Times New Roman" w:hAnsi="Times New Roman" w:cs="Times New Roman"/>
          <w:szCs w:val="20"/>
          <w:lang w:val="fr" w:eastAsia="en-IE"/>
        </w:rPr>
        <w:t xml:space="preserve">L’extension d’une </w:t>
      </w:r>
      <w:r w:rsidR="00D175E6">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règle technique</w:t>
      </w:r>
      <w:r w:rsidR="00D175E6">
        <w:rPr>
          <w:rFonts w:ascii="Times New Roman" w:eastAsia="Times New Roman" w:hAnsi="Times New Roman" w:cs="Times New Roman"/>
          <w:szCs w:val="20"/>
          <w:lang w:val="fr" w:eastAsia="en-IE"/>
        </w:rPr>
        <w:t> »</w:t>
      </w:r>
      <w:r w:rsidRPr="006C38F9">
        <w:rPr>
          <w:rFonts w:ascii="Times New Roman" w:eastAsia="Times New Roman" w:hAnsi="Times New Roman" w:cs="Times New Roman"/>
          <w:szCs w:val="20"/>
          <w:lang w:val="fr" w:eastAsia="en-IE"/>
        </w:rPr>
        <w:t xml:space="preserve"> existante à de nouveaux produits relève de l’obligation de notification</w:t>
      </w:r>
      <w:r>
        <w:rPr>
          <w:rFonts w:ascii="Times New Roman" w:eastAsia="Times New Roman" w:hAnsi="Times New Roman" w:cs="Times New Roman"/>
          <w:szCs w:val="20"/>
          <w:lang w:val="fr" w:eastAsia="en-IE"/>
        </w:rPr>
        <w:t xml:space="preserve">, quand bien même la disposition d’habilitation sur laquelle se fonde la disposition étendant la </w:t>
      </w:r>
      <w:r w:rsidR="00D175E6">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règle technique</w:t>
      </w:r>
      <w:r w:rsidR="00D175E6">
        <w:rPr>
          <w:rFonts w:ascii="Times New Roman" w:eastAsia="Times New Roman" w:hAnsi="Times New Roman" w:cs="Times New Roman"/>
          <w:szCs w:val="20"/>
          <w:lang w:val="fr" w:eastAsia="en-IE"/>
        </w:rPr>
        <w:t> »</w:t>
      </w:r>
      <w:r>
        <w:rPr>
          <w:rFonts w:ascii="Times New Roman" w:eastAsia="Times New Roman" w:hAnsi="Times New Roman" w:cs="Times New Roman"/>
          <w:szCs w:val="20"/>
          <w:lang w:val="fr" w:eastAsia="en-IE"/>
        </w:rPr>
        <w:t xml:space="preserve"> a déjà été notifiée à la Commission.</w:t>
      </w:r>
    </w:p>
    <w:p w14:paraId="04A42097" w14:textId="77777777" w:rsidR="004E15FB" w:rsidRPr="006C38F9" w:rsidRDefault="004E15FB"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2782FD66" w14:textId="40F28E96" w:rsidR="004E15FB" w:rsidRPr="006C38F9" w:rsidRDefault="004E15FB"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C38F9">
        <w:rPr>
          <w:rFonts w:ascii="Times New Roman" w:eastAsia="Times New Roman" w:hAnsi="Times New Roman" w:cs="Times New Roman"/>
          <w:i/>
          <w:iCs/>
          <w:sz w:val="20"/>
          <w:szCs w:val="16"/>
          <w:lang w:val="fr" w:eastAsia="en-IE"/>
        </w:rPr>
        <w:t>« 25</w:t>
      </w:r>
      <w:r w:rsidR="005C053F">
        <w:rPr>
          <w:rFonts w:ascii="Times New Roman" w:eastAsia="Times New Roman" w:hAnsi="Times New Roman" w:cs="Times New Roman"/>
          <w:i/>
          <w:iCs/>
          <w:sz w:val="20"/>
          <w:szCs w:val="16"/>
          <w:lang w:val="fr" w:eastAsia="en-IE"/>
        </w:rPr>
        <w:t>.</w:t>
      </w:r>
      <w:r w:rsidRPr="006C38F9">
        <w:rPr>
          <w:rFonts w:ascii="Times New Roman" w:eastAsia="Times New Roman" w:hAnsi="Times New Roman" w:cs="Times New Roman"/>
          <w:i/>
          <w:iCs/>
          <w:sz w:val="20"/>
          <w:szCs w:val="16"/>
          <w:lang w:val="fr" w:eastAsia="en-IE"/>
        </w:rPr>
        <w:t xml:space="preserve"> </w:t>
      </w:r>
      <w:r w:rsidR="0076355C">
        <w:rPr>
          <w:rFonts w:ascii="Times New Roman" w:eastAsia="Times New Roman" w:hAnsi="Times New Roman" w:cs="Times New Roman"/>
          <w:i/>
          <w:iCs/>
          <w:sz w:val="20"/>
          <w:szCs w:val="16"/>
          <w:lang w:val="fr" w:eastAsia="en-IE"/>
        </w:rPr>
        <w:t>[…]</w:t>
      </w:r>
      <w:r w:rsidRPr="006C38F9">
        <w:rPr>
          <w:rFonts w:ascii="Times New Roman" w:eastAsia="Times New Roman" w:hAnsi="Times New Roman" w:cs="Times New Roman"/>
          <w:i/>
          <w:iCs/>
          <w:sz w:val="20"/>
          <w:szCs w:val="16"/>
          <w:lang w:val="fr" w:eastAsia="en-IE"/>
        </w:rPr>
        <w:t xml:space="preserve"> L'ordonnance en question constitue une nouvelle spécification technique au sens de l'article 1er, précité, puisque les instruments médicaux stériles à usage unique ne pourront dorénavant être commercialisés ou utilisés en Allemagne que si sont respectées certaines obligations dont l'application était autrefois limitée à l'étiquetage des médicaments. L'application, à des produits déterminés, d'une règle qui concernait antérieurement d'autres produits, constitue, en ce qui concerne les premiers, une règle nouvelle et doit par conséquent faire l'objet d'une notification, conformément à la directive 83/189. </w:t>
      </w:r>
    </w:p>
    <w:p w14:paraId="674002E6" w14:textId="77777777" w:rsidR="004E15FB" w:rsidRPr="006C38F9" w:rsidRDefault="004E15FB"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1DBC3163" w14:textId="41C2CF53" w:rsidR="004E15FB" w:rsidRPr="005F1D97" w:rsidRDefault="004E15FB"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C38F9">
        <w:rPr>
          <w:rFonts w:ascii="Times New Roman" w:eastAsia="Times New Roman" w:hAnsi="Times New Roman" w:cs="Times New Roman"/>
          <w:i/>
          <w:iCs/>
          <w:sz w:val="20"/>
          <w:szCs w:val="16"/>
          <w:lang w:val="fr" w:eastAsia="en-IE"/>
        </w:rPr>
        <w:t>26</w:t>
      </w:r>
      <w:r w:rsidR="005C053F">
        <w:rPr>
          <w:rFonts w:ascii="Times New Roman" w:eastAsia="Times New Roman" w:hAnsi="Times New Roman" w:cs="Times New Roman"/>
          <w:i/>
          <w:iCs/>
          <w:sz w:val="20"/>
          <w:szCs w:val="16"/>
          <w:lang w:val="fr" w:eastAsia="en-IE"/>
        </w:rPr>
        <w:t xml:space="preserve">. </w:t>
      </w:r>
      <w:r w:rsidRPr="006C38F9">
        <w:rPr>
          <w:rFonts w:ascii="Times New Roman" w:eastAsia="Times New Roman" w:hAnsi="Times New Roman" w:cs="Times New Roman"/>
          <w:i/>
          <w:iCs/>
          <w:sz w:val="20"/>
          <w:szCs w:val="16"/>
          <w:lang w:val="fr" w:eastAsia="en-IE"/>
        </w:rPr>
        <w:t>Cette appréciation n'est pas mise en cause par la circonstance que, comme le fait valoir le gouvernement allemand, l'extension du champ d'application de la règle est fondée sur une disposition d'habilitation communiquée antérieurement à la Commission. En effet, cette mesure d'habilitation, considérée en tant que telle, ne doit pas faire l'objet d'une notification sur la base de l'article 8, précité, puisqu'elle ne constitue pas une spécification nouvelle. Il en va différemment pour la mise en œuvre de cette mesure qui, quant à elle, constitue une nouvelle spécification soumise à l'obligation de notification. »</w:t>
      </w:r>
    </w:p>
    <w:p w14:paraId="061E3A55" w14:textId="77777777" w:rsidR="004E15FB" w:rsidRDefault="004E15FB" w:rsidP="00AA4F20">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4757D6C8" w14:textId="26811AE9" w:rsidR="004E15FB" w:rsidRPr="00390589" w:rsidRDefault="00B3389F" w:rsidP="00AA4F20">
      <w:pPr>
        <w:pStyle w:val="BodyText"/>
        <w:jc w:val="left"/>
        <w:rPr>
          <w:b/>
          <w:bCs/>
          <w:i/>
          <w:iCs/>
          <w:sz w:val="22"/>
          <w:szCs w:val="22"/>
          <w:lang w:val="fr-BE"/>
        </w:rPr>
      </w:pPr>
      <w:hyperlink r:id="rId79" w:history="1">
        <w:r w:rsidR="00390589" w:rsidRPr="00C14379">
          <w:rPr>
            <w:rStyle w:val="Hyperlink"/>
            <w:b/>
            <w:bCs/>
            <w:i/>
            <w:iCs/>
            <w:color w:val="0000FF"/>
            <w:sz w:val="22"/>
            <w:szCs w:val="22"/>
            <w:lang w:val="fr-BE"/>
          </w:rPr>
          <w:t>Arrêt du 3 juin 1999</w:t>
        </w:r>
      </w:hyperlink>
      <w:r w:rsidR="00390589" w:rsidRPr="00390589">
        <w:rPr>
          <w:b/>
          <w:bCs/>
          <w:i/>
          <w:iCs/>
          <w:sz w:val="22"/>
          <w:szCs w:val="22"/>
          <w:lang w:val="fr-BE"/>
        </w:rPr>
        <w:t xml:space="preserve">, </w:t>
      </w:r>
      <w:proofErr w:type="spellStart"/>
      <w:r w:rsidR="00745699" w:rsidRPr="00390589">
        <w:rPr>
          <w:b/>
          <w:bCs/>
          <w:i/>
          <w:iCs/>
          <w:sz w:val="22"/>
          <w:szCs w:val="22"/>
          <w:lang w:val="fr-BE"/>
        </w:rPr>
        <w:t>Colim</w:t>
      </w:r>
      <w:proofErr w:type="spellEnd"/>
      <w:r w:rsidR="00745699" w:rsidRPr="00390589">
        <w:rPr>
          <w:b/>
          <w:bCs/>
          <w:i/>
          <w:iCs/>
          <w:sz w:val="22"/>
          <w:szCs w:val="22"/>
          <w:lang w:val="fr-BE"/>
        </w:rPr>
        <w:t xml:space="preserve"> NV</w:t>
      </w:r>
      <w:r w:rsidR="00745699">
        <w:rPr>
          <w:b/>
          <w:bCs/>
          <w:i/>
          <w:iCs/>
          <w:sz w:val="22"/>
          <w:szCs w:val="22"/>
          <w:lang w:val="fr-BE"/>
        </w:rPr>
        <w:t>,</w:t>
      </w:r>
      <w:r w:rsidR="00745699" w:rsidRPr="00390589">
        <w:rPr>
          <w:b/>
          <w:bCs/>
          <w:i/>
          <w:iCs/>
          <w:sz w:val="22"/>
          <w:szCs w:val="22"/>
          <w:lang w:val="fr-BE"/>
        </w:rPr>
        <w:t xml:space="preserve"> </w:t>
      </w:r>
      <w:r w:rsidR="00390589" w:rsidRPr="00390589">
        <w:rPr>
          <w:b/>
          <w:bCs/>
          <w:i/>
          <w:iCs/>
          <w:sz w:val="22"/>
          <w:szCs w:val="22"/>
          <w:lang w:val="fr-BE"/>
        </w:rPr>
        <w:t>C-33/189, EU:C:1999:274, point 22</w:t>
      </w:r>
    </w:p>
    <w:p w14:paraId="04F11CCA" w14:textId="77777777" w:rsidR="00390589" w:rsidRDefault="00390589" w:rsidP="00AA4F20">
      <w:pPr>
        <w:pStyle w:val="BodyText"/>
        <w:jc w:val="left"/>
        <w:rPr>
          <w:lang w:val="fr-BE"/>
        </w:rPr>
      </w:pPr>
    </w:p>
    <w:p w14:paraId="540E63FC" w14:textId="5143314B" w:rsidR="00390589" w:rsidRDefault="003E20F0" w:rsidP="00390589">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Ne constitue pas un projet de « règle technique » une mesure nationale reproduisant ou remplaçant des « règles techniques » existantes, </w:t>
      </w:r>
      <w:r w:rsidR="00C14379">
        <w:rPr>
          <w:rFonts w:ascii="Times New Roman" w:eastAsia="Times New Roman" w:hAnsi="Times New Roman" w:cs="Times New Roman"/>
          <w:szCs w:val="20"/>
          <w:lang w:val="fr" w:eastAsia="en-IE"/>
        </w:rPr>
        <w:t>dé</w:t>
      </w:r>
      <w:r>
        <w:rPr>
          <w:rFonts w:ascii="Times New Roman" w:eastAsia="Times New Roman" w:hAnsi="Times New Roman" w:cs="Times New Roman"/>
          <w:szCs w:val="20"/>
          <w:lang w:val="fr" w:eastAsia="en-IE"/>
        </w:rPr>
        <w:t>jà notifiées à la Commission, sans y ajouter de spécifications nouvelles.</w:t>
      </w:r>
    </w:p>
    <w:p w14:paraId="471E900A" w14:textId="77777777" w:rsidR="00390589" w:rsidRPr="007B044C" w:rsidRDefault="00390589" w:rsidP="00390589">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p>
    <w:p w14:paraId="7F465EBB" w14:textId="6998696F" w:rsidR="00390589" w:rsidRPr="003E20F0" w:rsidRDefault="00390589" w:rsidP="003E20F0">
      <w:pPr>
        <w:pStyle w:val="BodyText"/>
        <w:ind w:left="567"/>
        <w:rPr>
          <w:lang w:val="fr-BE"/>
        </w:rPr>
      </w:pPr>
      <w:r w:rsidRPr="007B044C">
        <w:rPr>
          <w:i/>
          <w:iCs/>
          <w:sz w:val="20"/>
          <w:szCs w:val="16"/>
          <w:lang w:val="fr-BE"/>
        </w:rPr>
        <w:t>« </w:t>
      </w:r>
      <w:r w:rsidR="003E20F0" w:rsidRPr="003E20F0">
        <w:rPr>
          <w:i/>
          <w:iCs/>
          <w:sz w:val="20"/>
          <w:szCs w:val="16"/>
          <w:lang w:val="fr-BE"/>
        </w:rPr>
        <w:t>22</w:t>
      </w:r>
      <w:r w:rsidR="005C053F">
        <w:rPr>
          <w:i/>
          <w:iCs/>
          <w:sz w:val="20"/>
          <w:szCs w:val="16"/>
          <w:lang w:val="fr-BE"/>
        </w:rPr>
        <w:t>.</w:t>
      </w:r>
      <w:r w:rsidR="003E20F0" w:rsidRPr="003E20F0">
        <w:rPr>
          <w:i/>
          <w:iCs/>
          <w:sz w:val="20"/>
          <w:szCs w:val="16"/>
          <w:lang w:val="fr-BE"/>
        </w:rPr>
        <w:t xml:space="preserve"> </w:t>
      </w:r>
      <w:r w:rsidR="003E20F0">
        <w:rPr>
          <w:i/>
          <w:iCs/>
          <w:sz w:val="20"/>
          <w:szCs w:val="16"/>
          <w:lang w:val="fr-BE"/>
        </w:rPr>
        <w:t>[…]</w:t>
      </w:r>
      <w:r w:rsidR="003E20F0" w:rsidRPr="003E20F0">
        <w:rPr>
          <w:i/>
          <w:iCs/>
          <w:sz w:val="20"/>
          <w:szCs w:val="16"/>
          <w:lang w:val="fr-BE"/>
        </w:rPr>
        <w:t xml:space="preserve"> il convient de rappeler que l'objectif de la directive 83/189 est de protéger, par un contrôle préventif, la libre circulation des marchandises, qui est l'un des fondements de la Communauté (arrêt du 20 mars 1997, Bic Benelux, C-13/96, Rec. p. I-1753, point 19). Ce contrôle vise à éliminer ou limiter les entraves à la libre circulation des marchandises qui pourraient découler des règles techniques que les </w:t>
      </w:r>
      <w:proofErr w:type="spellStart"/>
      <w:r w:rsidR="003E20F0" w:rsidRPr="003E20F0">
        <w:rPr>
          <w:i/>
          <w:iCs/>
          <w:sz w:val="20"/>
          <w:szCs w:val="16"/>
          <w:lang w:val="fr-BE"/>
        </w:rPr>
        <w:t>Etats</w:t>
      </w:r>
      <w:proofErr w:type="spellEnd"/>
      <w:r w:rsidR="003E20F0" w:rsidRPr="003E20F0">
        <w:rPr>
          <w:i/>
          <w:iCs/>
          <w:sz w:val="20"/>
          <w:szCs w:val="16"/>
          <w:lang w:val="fr-BE"/>
        </w:rPr>
        <w:t xml:space="preserve"> membres se proposent d'arrêter. Or, ne saurait être considérée comme «projet» de règle technique au sens de l'article 1er , point 6, de la directive 83/189 ni, par conséquent, être soumise à l'obligation de notification une mesure nationale qui reproduit ou remplace, sans y ajouter des spécifications nouvelles ou supplémentaires, des règles techniques existantes et, si ces règles ont été arrêtées après l'entrée en vigueur de la directive 83/189, dûment notifiées à la Commission.</w:t>
      </w:r>
      <w:r w:rsidR="003E20F0">
        <w:rPr>
          <w:i/>
          <w:iCs/>
          <w:sz w:val="20"/>
          <w:szCs w:val="16"/>
          <w:lang w:val="fr-BE"/>
        </w:rPr>
        <w:t> »</w:t>
      </w:r>
    </w:p>
    <w:p w14:paraId="10EB0A44" w14:textId="77777777" w:rsidR="00390589" w:rsidRPr="00390589" w:rsidRDefault="00390589" w:rsidP="00AA4F20">
      <w:pPr>
        <w:pStyle w:val="BodyText"/>
        <w:jc w:val="left"/>
        <w:rPr>
          <w:lang w:val="fr-BE"/>
        </w:rPr>
      </w:pPr>
    </w:p>
    <w:p w14:paraId="0FD7863C" w14:textId="279D8E2D" w:rsidR="004E15FB" w:rsidRPr="007B044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0" w:history="1">
        <w:r w:rsidR="004E15FB" w:rsidRPr="007B044C">
          <w:rPr>
            <w:rFonts w:ascii="Times New Roman" w:eastAsia="Times New Roman" w:hAnsi="Times New Roman" w:cs="Times New Roman"/>
            <w:b/>
            <w:i/>
            <w:color w:val="0000FF"/>
            <w:szCs w:val="20"/>
            <w:u w:val="single"/>
            <w:lang w:val="fr" w:eastAsia="en-IE"/>
          </w:rPr>
          <w:t>Arrêt du 21 avril 2005</w:t>
        </w:r>
      </w:hyperlink>
      <w:r w:rsidR="004E15FB" w:rsidRPr="007B044C">
        <w:rPr>
          <w:rFonts w:ascii="Times New Roman" w:eastAsia="Times New Roman" w:hAnsi="Times New Roman" w:cs="Times New Roman"/>
          <w:b/>
          <w:i/>
          <w:szCs w:val="20"/>
          <w:lang w:val="fr" w:eastAsia="en-IE"/>
        </w:rPr>
        <w:t xml:space="preserve">, </w:t>
      </w:r>
      <w:r w:rsidR="00745699" w:rsidRPr="007B044C">
        <w:rPr>
          <w:rFonts w:ascii="Times New Roman" w:eastAsia="Times New Roman" w:hAnsi="Times New Roman" w:cs="Times New Roman"/>
          <w:b/>
          <w:i/>
          <w:szCs w:val="20"/>
          <w:lang w:val="fr" w:eastAsia="en-IE"/>
        </w:rPr>
        <w:t xml:space="preserve">Lindberg, </w:t>
      </w:r>
      <w:r w:rsidR="004E15FB" w:rsidRPr="007B044C">
        <w:rPr>
          <w:rFonts w:ascii="Times New Roman" w:eastAsia="Times New Roman" w:hAnsi="Times New Roman" w:cs="Times New Roman"/>
          <w:b/>
          <w:i/>
          <w:szCs w:val="20"/>
          <w:lang w:val="fr" w:eastAsia="en-IE"/>
        </w:rPr>
        <w:t xml:space="preserve">C-267/03, EU:C:2005:246, </w:t>
      </w:r>
      <w:r w:rsidR="004E15FB">
        <w:rPr>
          <w:rFonts w:ascii="Times New Roman" w:eastAsia="Times New Roman" w:hAnsi="Times New Roman" w:cs="Times New Roman"/>
          <w:b/>
          <w:i/>
          <w:szCs w:val="20"/>
          <w:lang w:val="fr" w:eastAsia="en-IE"/>
        </w:rPr>
        <w:t>points 82 et 85</w:t>
      </w:r>
    </w:p>
    <w:p w14:paraId="5A455B86" w14:textId="77777777" w:rsidR="004E15FB" w:rsidRPr="007B044C" w:rsidRDefault="004E15FB"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p>
    <w:p w14:paraId="31D51892" w14:textId="6A44F1FB" w:rsidR="004E15FB" w:rsidRDefault="004E15FB"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Une règle qui </w:t>
      </w:r>
      <w:r w:rsidRPr="007B044C">
        <w:rPr>
          <w:rFonts w:ascii="Times New Roman" w:eastAsia="Times New Roman" w:hAnsi="Times New Roman" w:cs="Times New Roman"/>
          <w:szCs w:val="20"/>
          <w:lang w:val="fr" w:eastAsia="en-IE"/>
        </w:rPr>
        <w:t xml:space="preserve">se limite à reproduire ou remplacer des règles déjà notifiées sans ajout de </w:t>
      </w:r>
      <w:r w:rsidR="00F35643">
        <w:rPr>
          <w:rFonts w:ascii="Times New Roman" w:eastAsia="Times New Roman" w:hAnsi="Times New Roman" w:cs="Times New Roman"/>
          <w:szCs w:val="20"/>
          <w:lang w:val="fr" w:eastAsia="en-IE"/>
        </w:rPr>
        <w:t>« </w:t>
      </w:r>
      <w:r w:rsidR="0044346B">
        <w:rPr>
          <w:rFonts w:ascii="Times New Roman" w:eastAsia="Times New Roman" w:hAnsi="Times New Roman" w:cs="Times New Roman"/>
          <w:szCs w:val="20"/>
          <w:lang w:val="fr" w:eastAsia="en-IE"/>
        </w:rPr>
        <w:t>règles</w:t>
      </w:r>
      <w:r w:rsidRPr="007B044C">
        <w:rPr>
          <w:rFonts w:ascii="Times New Roman" w:eastAsia="Times New Roman" w:hAnsi="Times New Roman" w:cs="Times New Roman"/>
          <w:szCs w:val="20"/>
          <w:lang w:val="fr" w:eastAsia="en-IE"/>
        </w:rPr>
        <w:t xml:space="preserve"> </w:t>
      </w:r>
      <w:r w:rsidR="00F35643">
        <w:rPr>
          <w:rFonts w:ascii="Times New Roman" w:eastAsia="Times New Roman" w:hAnsi="Times New Roman" w:cs="Times New Roman"/>
          <w:szCs w:val="20"/>
          <w:lang w:val="fr" w:eastAsia="en-IE"/>
        </w:rPr>
        <w:t xml:space="preserve">techniques » </w:t>
      </w:r>
      <w:r w:rsidRPr="007B044C">
        <w:rPr>
          <w:rFonts w:ascii="Times New Roman" w:eastAsia="Times New Roman" w:hAnsi="Times New Roman" w:cs="Times New Roman"/>
          <w:szCs w:val="20"/>
          <w:lang w:val="fr" w:eastAsia="en-IE"/>
        </w:rPr>
        <w:t>nouvelles</w:t>
      </w:r>
      <w:r>
        <w:rPr>
          <w:rFonts w:ascii="Times New Roman" w:eastAsia="Times New Roman" w:hAnsi="Times New Roman" w:cs="Times New Roman"/>
          <w:szCs w:val="20"/>
          <w:lang w:val="fr" w:eastAsia="en-IE"/>
        </w:rPr>
        <w:t xml:space="preserve"> n’est pas susceptible de notification.</w:t>
      </w:r>
    </w:p>
    <w:p w14:paraId="571C5A4D" w14:textId="77777777" w:rsidR="004E15FB" w:rsidRPr="007B044C" w:rsidRDefault="004E15FB" w:rsidP="00AA4F20">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p>
    <w:p w14:paraId="75C11DD3" w14:textId="185A57A4" w:rsidR="004E15FB" w:rsidRPr="007B044C" w:rsidRDefault="004E15FB" w:rsidP="00AA4F20">
      <w:pPr>
        <w:pStyle w:val="P68B1DB1-ListParagraph2"/>
        <w:tabs>
          <w:tab w:val="left" w:pos="396"/>
          <w:tab w:val="left" w:pos="425"/>
        </w:tabs>
        <w:ind w:left="567" w:right="0" w:firstLine="0"/>
        <w:rPr>
          <w:i/>
          <w:iCs/>
          <w:sz w:val="20"/>
          <w:szCs w:val="16"/>
          <w:lang w:val="fr-BE"/>
        </w:rPr>
      </w:pPr>
      <w:r w:rsidRPr="007B044C">
        <w:rPr>
          <w:i/>
          <w:iCs/>
          <w:sz w:val="20"/>
          <w:szCs w:val="16"/>
          <w:lang w:val="fr-BE"/>
        </w:rPr>
        <w:t>« 82</w:t>
      </w:r>
      <w:r w:rsidR="005C053F">
        <w:rPr>
          <w:i/>
          <w:iCs/>
          <w:sz w:val="20"/>
          <w:szCs w:val="16"/>
          <w:lang w:val="fr-BE"/>
        </w:rPr>
        <w:t xml:space="preserve">. </w:t>
      </w:r>
      <w:r w:rsidR="0076355C">
        <w:rPr>
          <w:i/>
          <w:iCs/>
          <w:sz w:val="20"/>
          <w:szCs w:val="16"/>
          <w:lang w:val="fr-BE"/>
        </w:rPr>
        <w:t xml:space="preserve">[…] </w:t>
      </w:r>
      <w:r w:rsidRPr="007B044C">
        <w:rPr>
          <w:i/>
          <w:iCs/>
          <w:sz w:val="20"/>
          <w:szCs w:val="16"/>
          <w:lang w:val="fr-BE"/>
        </w:rPr>
        <w:t>ne saurait être considérée comme un «projet» de règle technique au sens de l’article 1</w:t>
      </w:r>
      <w:r w:rsidRPr="007B044C">
        <w:rPr>
          <w:i/>
          <w:iCs/>
          <w:sz w:val="20"/>
          <w:szCs w:val="16"/>
          <w:vertAlign w:val="superscript"/>
          <w:lang w:val="fr-BE"/>
        </w:rPr>
        <w:t>er</w:t>
      </w:r>
      <w:r w:rsidRPr="007B044C">
        <w:rPr>
          <w:i/>
          <w:iCs/>
          <w:sz w:val="20"/>
          <w:szCs w:val="16"/>
          <w:lang w:val="fr-BE"/>
        </w:rPr>
        <w:t xml:space="preserve">, point 9, de la directive 83/189 ni, par conséquent, être soumise à l’obligation de notification une mesure nationale qui reproduit ou remplace, sans y ajouter des spécifications techniques ni d’autres exigences nouvelles ou supplémentaires, des règles techniques existantes et, si ces règles ont été arrêtées après l’entrée en vigueur de ladite directive, dûment notifiées à la Commission (voir, en ce sens, arrêt </w:t>
      </w:r>
      <w:proofErr w:type="spellStart"/>
      <w:r w:rsidRPr="007B044C">
        <w:rPr>
          <w:i/>
          <w:iCs/>
          <w:sz w:val="20"/>
          <w:szCs w:val="16"/>
          <w:lang w:val="fr-BE"/>
        </w:rPr>
        <w:t>Colim</w:t>
      </w:r>
      <w:proofErr w:type="spellEnd"/>
      <w:r w:rsidRPr="007B044C">
        <w:rPr>
          <w:i/>
          <w:iCs/>
          <w:sz w:val="20"/>
          <w:szCs w:val="16"/>
          <w:lang w:val="fr-BE"/>
        </w:rPr>
        <w:t>, précité, point 22). En l’espèce, il y aura lieu de tenir compte de la date d’entrée en vigueur de la directive 83/189 pour ce qui concerne le Royaume de Suède. »</w:t>
      </w:r>
    </w:p>
    <w:p w14:paraId="0CA23066" w14:textId="77777777" w:rsidR="004E15FB" w:rsidRPr="007B044C" w:rsidRDefault="004E15FB" w:rsidP="00AA4F20">
      <w:pPr>
        <w:pStyle w:val="P68B1DB1-ListParagraph2"/>
        <w:tabs>
          <w:tab w:val="left" w:pos="396"/>
          <w:tab w:val="left" w:pos="425"/>
        </w:tabs>
        <w:ind w:left="567" w:right="0"/>
        <w:rPr>
          <w:i/>
          <w:iCs/>
          <w:sz w:val="20"/>
          <w:szCs w:val="16"/>
          <w:lang w:val="fr-BE"/>
        </w:rPr>
      </w:pPr>
    </w:p>
    <w:p w14:paraId="45277F90" w14:textId="3D13B4BD" w:rsidR="004E15FB" w:rsidRDefault="004E15FB" w:rsidP="00AA4F20">
      <w:pPr>
        <w:pStyle w:val="P68B1DB1-ListParagraph2"/>
        <w:tabs>
          <w:tab w:val="left" w:pos="396"/>
          <w:tab w:val="left" w:pos="425"/>
        </w:tabs>
        <w:ind w:left="567" w:right="0" w:firstLine="0"/>
        <w:rPr>
          <w:i/>
          <w:iCs/>
          <w:sz w:val="20"/>
          <w:szCs w:val="16"/>
          <w:lang w:val="fr-BE"/>
        </w:rPr>
      </w:pPr>
      <w:r w:rsidRPr="007B044C">
        <w:rPr>
          <w:i/>
          <w:iCs/>
          <w:sz w:val="20"/>
          <w:szCs w:val="16"/>
          <w:lang w:val="fr-BE"/>
        </w:rPr>
        <w:t>« 85</w:t>
      </w:r>
      <w:r w:rsidR="005C053F">
        <w:rPr>
          <w:i/>
          <w:iCs/>
          <w:sz w:val="20"/>
          <w:szCs w:val="16"/>
          <w:lang w:val="fr-BE"/>
        </w:rPr>
        <w:t xml:space="preserve">. </w:t>
      </w:r>
      <w:r w:rsidRPr="007B044C">
        <w:rPr>
          <w:i/>
          <w:iCs/>
          <w:sz w:val="20"/>
          <w:szCs w:val="16"/>
          <w:lang w:val="fr-BE"/>
        </w:rPr>
        <w:t xml:space="preserve">Au vu de ce qui précède, il convient de répondre à la troisième question que la redéfinition dans une réglementation nationale, telle que celle opérée par la loi de 1996, d’un service lié à la construction d’un produit, en particulier celui consistant à exploiter certains appareils de jeux de hasard, peut constituer une règle technique devant être notifiée en vertu de la directive 83/189 si cette nouvelle réglementation ne se limite pas à reproduire ou à remplacer, sans y ajouter des spécifications techniques ni d’autres exigences nouvelles ou supplémentaires, des règles techniques existantes dûment notifiées à la </w:t>
      </w:r>
      <w:r w:rsidRPr="007B044C">
        <w:rPr>
          <w:i/>
          <w:iCs/>
          <w:sz w:val="20"/>
          <w:szCs w:val="16"/>
          <w:lang w:val="fr-BE"/>
        </w:rPr>
        <w:lastRenderedPageBreak/>
        <w:t>Commission, pour autant que celles-ci ont été arrêtées après l’entrée en vigueur de la directive 83/189 dans l’État membre concerné. » </w:t>
      </w:r>
    </w:p>
    <w:p w14:paraId="39E7348D" w14:textId="77777777" w:rsidR="009752CD" w:rsidRDefault="009752CD" w:rsidP="009752CD">
      <w:pPr>
        <w:pStyle w:val="P68B1DB1-ListParagraph2"/>
        <w:tabs>
          <w:tab w:val="left" w:pos="396"/>
          <w:tab w:val="left" w:pos="425"/>
        </w:tabs>
        <w:ind w:right="0"/>
        <w:rPr>
          <w:i/>
          <w:iCs/>
          <w:sz w:val="20"/>
          <w:szCs w:val="16"/>
          <w:lang w:val="fr-BE"/>
        </w:rPr>
      </w:pPr>
    </w:p>
    <w:p w14:paraId="44058BC5" w14:textId="4D4D0BDB" w:rsidR="009752CD" w:rsidRPr="009752CD" w:rsidRDefault="00B3389F" w:rsidP="009752CD">
      <w:pPr>
        <w:pStyle w:val="P68B1DB1-ListParagraph2"/>
        <w:ind w:left="0" w:right="0" w:firstLine="0"/>
        <w:rPr>
          <w:b/>
          <w:i/>
          <w:iCs/>
          <w:sz w:val="22"/>
          <w:szCs w:val="22"/>
          <w:lang w:val="fr-FR"/>
        </w:rPr>
      </w:pPr>
      <w:hyperlink r:id="rId81" w:history="1">
        <w:r w:rsidR="009752CD" w:rsidRPr="009752CD">
          <w:rPr>
            <w:rStyle w:val="Hyperlink"/>
            <w:b/>
            <w:i/>
            <w:iCs/>
            <w:color w:val="0000FF"/>
            <w:sz w:val="22"/>
            <w:szCs w:val="22"/>
            <w:lang w:val="fr-FR"/>
          </w:rPr>
          <w:t>Arrêt du 13 mars 2025</w:t>
        </w:r>
      </w:hyperlink>
      <w:r w:rsidR="009752CD" w:rsidRPr="009752CD">
        <w:rPr>
          <w:b/>
          <w:i/>
          <w:iCs/>
          <w:sz w:val="22"/>
          <w:szCs w:val="22"/>
          <w:lang w:val="fr-FR"/>
        </w:rPr>
        <w:t xml:space="preserve">, </w:t>
      </w:r>
      <w:proofErr w:type="spellStart"/>
      <w:r w:rsidR="009752CD" w:rsidRPr="009752CD">
        <w:rPr>
          <w:b/>
          <w:i/>
          <w:iCs/>
          <w:sz w:val="22"/>
          <w:szCs w:val="22"/>
          <w:lang w:val="fr-FR"/>
        </w:rPr>
        <w:t>Unigames</w:t>
      </w:r>
      <w:proofErr w:type="spellEnd"/>
      <w:r w:rsidR="009752CD" w:rsidRPr="009752CD">
        <w:rPr>
          <w:b/>
          <w:i/>
          <w:iCs/>
          <w:sz w:val="22"/>
          <w:szCs w:val="22"/>
          <w:lang w:val="fr-FR"/>
        </w:rPr>
        <w:t xml:space="preserve"> UAB, C-120/24, </w:t>
      </w:r>
      <w:r w:rsidR="009752CD" w:rsidRPr="009752CD">
        <w:rPr>
          <w:b/>
          <w:i/>
          <w:iCs/>
          <w:sz w:val="22"/>
          <w:szCs w:val="22"/>
          <w:lang w:val="fr-BE"/>
        </w:rPr>
        <w:t>EU:C:2025:174,</w:t>
      </w:r>
      <w:r w:rsidR="009752CD" w:rsidRPr="009752CD">
        <w:rPr>
          <w:b/>
          <w:i/>
          <w:iCs/>
          <w:sz w:val="22"/>
          <w:szCs w:val="22"/>
          <w:lang w:val="fr-FR"/>
        </w:rPr>
        <w:t xml:space="preserve"> points 57 et 58</w:t>
      </w:r>
    </w:p>
    <w:p w14:paraId="23CFD065" w14:textId="77777777" w:rsidR="009752CD" w:rsidRPr="009752CD" w:rsidRDefault="009752CD" w:rsidP="009752CD">
      <w:pPr>
        <w:pStyle w:val="P68B1DB1-ListParagraph2"/>
        <w:tabs>
          <w:tab w:val="left" w:pos="425"/>
        </w:tabs>
        <w:ind w:left="142" w:right="0"/>
        <w:rPr>
          <w:b/>
          <w:i/>
          <w:iCs/>
          <w:sz w:val="22"/>
          <w:szCs w:val="22"/>
          <w:lang w:val="fr-FR"/>
        </w:rPr>
      </w:pPr>
    </w:p>
    <w:p w14:paraId="767A85A2" w14:textId="77777777" w:rsidR="009752CD" w:rsidRPr="009752CD" w:rsidRDefault="009752CD" w:rsidP="009752CD">
      <w:pPr>
        <w:pStyle w:val="P68B1DB1-ListParagraph2"/>
        <w:tabs>
          <w:tab w:val="left" w:pos="425"/>
        </w:tabs>
        <w:ind w:left="0" w:right="0" w:firstLine="0"/>
        <w:rPr>
          <w:sz w:val="22"/>
          <w:szCs w:val="22"/>
          <w:lang w:val="fr-FR"/>
        </w:rPr>
      </w:pPr>
      <w:r w:rsidRPr="009752CD">
        <w:rPr>
          <w:sz w:val="22"/>
          <w:szCs w:val="22"/>
          <w:lang w:val="fr-FR"/>
        </w:rPr>
        <w:t xml:space="preserve">Une modification du projet de « règle technique » précisant substantiellement cette dernière doit être notifiée. Une modification conduisant à la sanction de nouveaux comportements doit être considérée comme précisant substantiellement une « règle technique ». </w:t>
      </w:r>
    </w:p>
    <w:p w14:paraId="55659AFA" w14:textId="77777777" w:rsidR="009752CD" w:rsidRPr="009752CD" w:rsidRDefault="009752CD" w:rsidP="009752CD">
      <w:pPr>
        <w:pStyle w:val="P68B1DB1-ListParagraph2"/>
        <w:tabs>
          <w:tab w:val="left" w:pos="425"/>
        </w:tabs>
        <w:ind w:left="142" w:right="0"/>
        <w:rPr>
          <w:i/>
          <w:iCs/>
          <w:sz w:val="20"/>
          <w:szCs w:val="16"/>
          <w:lang w:val="fr-FR"/>
        </w:rPr>
      </w:pPr>
    </w:p>
    <w:p w14:paraId="35F73DDD" w14:textId="77777777" w:rsidR="009752CD" w:rsidRPr="009752CD" w:rsidRDefault="009752CD" w:rsidP="009752CD">
      <w:pPr>
        <w:pStyle w:val="P68B1DB1-ListParagraph2"/>
        <w:tabs>
          <w:tab w:val="left" w:pos="425"/>
        </w:tabs>
        <w:ind w:left="567" w:right="0" w:firstLine="0"/>
        <w:rPr>
          <w:i/>
          <w:iCs/>
          <w:sz w:val="20"/>
          <w:szCs w:val="16"/>
          <w:lang w:val="fr-BE"/>
        </w:rPr>
      </w:pPr>
      <w:r w:rsidRPr="009752CD">
        <w:rPr>
          <w:i/>
          <w:iCs/>
          <w:sz w:val="20"/>
          <w:szCs w:val="16"/>
          <w:lang w:val="fr-BE"/>
        </w:rPr>
        <w:t xml:space="preserve">« 57. […] il ressort de la demande de décision préjudicielle que l’article 10, paragraphe 19, de la loi sur les jeux de hasard a « substantiellement précisé » l’interdiction d’inciter à la pratique des jeux de hasard. En particulier, la juridiction de renvoi indique que le comportement reproché à </w:t>
      </w:r>
      <w:proofErr w:type="spellStart"/>
      <w:r w:rsidRPr="009752CD">
        <w:rPr>
          <w:i/>
          <w:iCs/>
          <w:sz w:val="20"/>
          <w:szCs w:val="16"/>
          <w:lang w:val="fr-BE"/>
        </w:rPr>
        <w:t>Unigames</w:t>
      </w:r>
      <w:proofErr w:type="spellEnd"/>
      <w:r w:rsidRPr="009752CD">
        <w:rPr>
          <w:i/>
          <w:iCs/>
          <w:sz w:val="20"/>
          <w:szCs w:val="16"/>
          <w:lang w:val="fr-BE"/>
        </w:rPr>
        <w:t xml:space="preserve"> sur la base de la loi actuellement en vigueur, consistant en la publication, sur le site Internet de cette société, d’informations relatives aux jeux de hasard qu’elle propose, n’aurait pas été susceptible d’être sanctionné au titre de l’ancienne loi sur les jeux de hasard. Dès lors, cet article 10, paragraphe 19, aurait élargi le champ d’application de cette interdiction.</w:t>
      </w:r>
    </w:p>
    <w:p w14:paraId="690D2757" w14:textId="77777777" w:rsidR="009752CD" w:rsidRPr="009752CD" w:rsidRDefault="009752CD" w:rsidP="009752CD">
      <w:pPr>
        <w:pStyle w:val="P68B1DB1-ListParagraph2"/>
        <w:tabs>
          <w:tab w:val="left" w:pos="425"/>
        </w:tabs>
        <w:ind w:left="567" w:right="0"/>
        <w:rPr>
          <w:i/>
          <w:iCs/>
          <w:sz w:val="20"/>
          <w:szCs w:val="16"/>
          <w:lang w:val="fr-BE"/>
        </w:rPr>
      </w:pPr>
    </w:p>
    <w:p w14:paraId="38AB2F90" w14:textId="77777777" w:rsidR="009752CD" w:rsidRPr="009752CD" w:rsidRDefault="009752CD" w:rsidP="009752CD">
      <w:pPr>
        <w:pStyle w:val="P68B1DB1-ListParagraph2"/>
        <w:tabs>
          <w:tab w:val="left" w:pos="425"/>
        </w:tabs>
        <w:ind w:left="567" w:right="0" w:firstLine="0"/>
        <w:rPr>
          <w:i/>
          <w:iCs/>
          <w:sz w:val="20"/>
          <w:szCs w:val="16"/>
          <w:lang w:val="fr-BE"/>
        </w:rPr>
      </w:pPr>
      <w:r w:rsidRPr="009752CD">
        <w:rPr>
          <w:i/>
          <w:iCs/>
          <w:sz w:val="20"/>
          <w:szCs w:val="16"/>
          <w:lang w:val="fr-BE"/>
        </w:rPr>
        <w:t>58. Il découle ainsi des indications figurant dans la demande de décision préjudicielle que l’article 10, paragraphe 19, de la loi sur les jeux de hasard a ajouté des exigences nouvelles ou supplémentaires, au sens de la jurisprudence visée au point 52 du présent arrêt, par rapport à l’article 10, paragraphe 19, de l’ancienne loi sur les jeux de hasard. Il s’ensuit que, sous réserve des vérifications éventuelles qu’il revient à la juridiction de renvoi d’effectuer, la modification ayant donné lieu à la loi actuellement en vigueur aurait dû être notifiée au titre de l’article 5, paragraphe 1, premier alinéa, de la directive 2015/1535. »</w:t>
      </w:r>
    </w:p>
    <w:p w14:paraId="739E311D" w14:textId="77777777" w:rsidR="009752CD" w:rsidRDefault="009752CD" w:rsidP="009752CD">
      <w:pPr>
        <w:pStyle w:val="P68B1DB1-ListParagraph2"/>
        <w:tabs>
          <w:tab w:val="left" w:pos="396"/>
          <w:tab w:val="left" w:pos="425"/>
        </w:tabs>
        <w:ind w:right="0"/>
        <w:rPr>
          <w:i/>
          <w:iCs/>
          <w:sz w:val="20"/>
          <w:szCs w:val="16"/>
          <w:lang w:val="fr-BE"/>
        </w:rPr>
      </w:pPr>
    </w:p>
    <w:p w14:paraId="6669AD1C" w14:textId="1CFF8354" w:rsidR="004E15FB" w:rsidRPr="004F549F" w:rsidRDefault="004E15FB" w:rsidP="004F52D0">
      <w:pPr>
        <w:spacing w:after="0" w:line="240" w:lineRule="auto"/>
        <w:rPr>
          <w:rFonts w:ascii="Times New Roman" w:eastAsia="Times New Roman" w:hAnsi="Times New Roman" w:cs="Times New Roman"/>
          <w:i/>
          <w:iCs/>
          <w:sz w:val="20"/>
          <w:szCs w:val="16"/>
          <w:lang w:val="fr" w:eastAsia="en-IE"/>
        </w:rPr>
      </w:pPr>
      <w:r>
        <w:rPr>
          <w:rFonts w:ascii="Times New Roman" w:eastAsia="Times New Roman" w:hAnsi="Times New Roman" w:cs="Times New Roman"/>
          <w:i/>
          <w:iCs/>
          <w:sz w:val="20"/>
          <w:szCs w:val="16"/>
          <w:lang w:val="fr" w:eastAsia="en-IE"/>
        </w:rPr>
        <w:br w:type="page"/>
      </w:r>
    </w:p>
    <w:p w14:paraId="7F22FE55" w14:textId="2C7C8ECB" w:rsidR="004E15FB" w:rsidRPr="00745699" w:rsidRDefault="00745699" w:rsidP="002C17AE">
      <w:pPr>
        <w:pStyle w:val="Heading2"/>
        <w:spacing w:after="0"/>
        <w:jc w:val="center"/>
        <w:rPr>
          <w:color w:val="auto"/>
          <w:lang w:val="fr-BE"/>
        </w:rPr>
      </w:pPr>
      <w:bookmarkStart w:id="77" w:name="_Toc203035388"/>
      <w:r w:rsidRPr="00745699">
        <w:rPr>
          <w:color w:val="auto"/>
          <w:lang w:val="fr-BE"/>
        </w:rPr>
        <w:lastRenderedPageBreak/>
        <w:t xml:space="preserve">c. </w:t>
      </w:r>
      <w:bookmarkStart w:id="78" w:name="_Ref194484898"/>
      <w:r w:rsidR="00F56389" w:rsidRPr="00745699">
        <w:rPr>
          <w:color w:val="auto"/>
          <w:lang w:val="fr-BE"/>
        </w:rPr>
        <w:t>Notification de l’i</w:t>
      </w:r>
      <w:r w:rsidR="004E15FB" w:rsidRPr="00745699">
        <w:rPr>
          <w:color w:val="auto"/>
          <w:lang w:val="fr-BE"/>
        </w:rPr>
        <w:t>ntégralité du texte</w:t>
      </w:r>
      <w:bookmarkEnd w:id="78"/>
      <w:bookmarkEnd w:id="77"/>
    </w:p>
    <w:p w14:paraId="7C840A0C" w14:textId="77777777" w:rsidR="004E15FB" w:rsidRDefault="004E15FB" w:rsidP="00AA4F20">
      <w:pPr>
        <w:pStyle w:val="BodyText"/>
        <w:rPr>
          <w:b/>
          <w:bCs/>
          <w:lang w:val="fr-FR"/>
        </w:rPr>
      </w:pPr>
    </w:p>
    <w:p w14:paraId="70826245" w14:textId="067C3B24" w:rsidR="004E15FB"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82" w:history="1">
        <w:r w:rsidR="004E15FB" w:rsidRPr="00190CBF">
          <w:rPr>
            <w:rFonts w:ascii="Times New Roman" w:eastAsia="Times New Roman" w:hAnsi="Times New Roman" w:cs="Times New Roman"/>
            <w:b/>
            <w:i/>
            <w:color w:val="0000FF"/>
            <w:szCs w:val="20"/>
            <w:u w:val="single"/>
            <w:lang w:val="fr-FR" w:eastAsia="en-IE"/>
          </w:rPr>
          <w:t>Arrêt du 16 septembre 1997</w:t>
        </w:r>
      </w:hyperlink>
      <w:r w:rsidR="004E15FB"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Commission/Italie, </w:t>
      </w:r>
      <w:r w:rsidR="004E15FB" w:rsidRPr="00190CBF">
        <w:rPr>
          <w:rFonts w:ascii="Times New Roman" w:eastAsia="Times New Roman" w:hAnsi="Times New Roman" w:cs="Times New Roman"/>
          <w:b/>
          <w:i/>
          <w:szCs w:val="20"/>
          <w:lang w:val="fr-FR" w:eastAsia="en-IE"/>
        </w:rPr>
        <w:t xml:space="preserve">C-279/94, </w:t>
      </w:r>
      <w:r w:rsidR="004E15FB" w:rsidRPr="007140D1">
        <w:rPr>
          <w:rFonts w:ascii="Times New Roman" w:eastAsia="Times New Roman" w:hAnsi="Times New Roman" w:cs="Times New Roman"/>
          <w:b/>
          <w:i/>
          <w:szCs w:val="20"/>
          <w:lang w:val="fr-BE" w:eastAsia="en-IE"/>
        </w:rPr>
        <w:t>EU:C:1997:396</w:t>
      </w:r>
      <w:r w:rsidR="004E15FB">
        <w:rPr>
          <w:rFonts w:ascii="Times New Roman" w:eastAsia="Times New Roman" w:hAnsi="Times New Roman" w:cs="Times New Roman"/>
          <w:b/>
          <w:i/>
          <w:szCs w:val="20"/>
          <w:lang w:val="fr-BE" w:eastAsia="en-IE"/>
        </w:rPr>
        <w:t xml:space="preserve">, </w:t>
      </w:r>
      <w:r w:rsidR="004E15FB" w:rsidRPr="00190CBF">
        <w:rPr>
          <w:rFonts w:ascii="Times New Roman" w:eastAsia="Times New Roman" w:hAnsi="Times New Roman" w:cs="Times New Roman"/>
          <w:b/>
          <w:i/>
          <w:szCs w:val="20"/>
          <w:lang w:val="fr-FR" w:eastAsia="en-IE"/>
        </w:rPr>
        <w:t>points 38 et 42</w:t>
      </w:r>
    </w:p>
    <w:p w14:paraId="5500F145" w14:textId="77777777" w:rsidR="004E15FB" w:rsidRPr="00190CBF" w:rsidRDefault="004E15FB"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2034B5D1" w14:textId="5D291FA4" w:rsidR="004E15FB" w:rsidRPr="00190CBF" w:rsidRDefault="004E15FB"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Un texte contenant des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doit être notifié dans son intégralité, y compris les mesures n’étant pas des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même si seules </w:t>
      </w:r>
      <w:r>
        <w:rPr>
          <w:rFonts w:ascii="Times New Roman" w:eastAsia="Times New Roman" w:hAnsi="Times New Roman" w:cs="Times New Roman"/>
          <w:szCs w:val="20"/>
          <w:lang w:val="fr-FR" w:eastAsia="en-IE"/>
        </w:rPr>
        <w:t xml:space="preserve">les </w:t>
      </w:r>
      <w:r w:rsidR="000D631B">
        <w:rPr>
          <w:rFonts w:ascii="Times New Roman" w:eastAsia="Times New Roman" w:hAnsi="Times New Roman" w:cs="Times New Roman"/>
          <w:szCs w:val="20"/>
          <w:lang w:val="fr-FR" w:eastAsia="en-IE"/>
        </w:rPr>
        <w:t>« </w:t>
      </w:r>
      <w:r>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sont soumises à l’obligation de statu quo.</w:t>
      </w:r>
    </w:p>
    <w:p w14:paraId="212FCCEC" w14:textId="77777777" w:rsidR="004E15FB" w:rsidRPr="00190CBF" w:rsidRDefault="004E15FB"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41D543D7" w14:textId="38098350" w:rsidR="004E15FB" w:rsidRPr="00190CBF" w:rsidRDefault="004E15FB" w:rsidP="00AA4F20">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190CBF">
        <w:rPr>
          <w:rFonts w:ascii="Times New Roman" w:eastAsia="Times New Roman" w:hAnsi="Times New Roman" w:cs="Times New Roman"/>
          <w:i/>
          <w:iCs/>
          <w:sz w:val="20"/>
          <w:szCs w:val="16"/>
          <w:lang w:val="fr-FR" w:eastAsia="en-IE"/>
        </w:rPr>
        <w:t>« 38</w:t>
      </w:r>
      <w:r w:rsidR="005C053F">
        <w:rPr>
          <w:rFonts w:ascii="Times New Roman" w:eastAsia="Times New Roman" w:hAnsi="Times New Roman" w:cs="Times New Roman"/>
          <w:i/>
          <w:iCs/>
          <w:sz w:val="20"/>
          <w:szCs w:val="16"/>
          <w:lang w:val="fr-FR" w:eastAsia="en-IE"/>
        </w:rPr>
        <w:t>.</w:t>
      </w:r>
      <w:r w:rsidRPr="00190CBF">
        <w:rPr>
          <w:rFonts w:ascii="Times New Roman" w:eastAsia="Times New Roman" w:hAnsi="Times New Roman" w:cs="Times New Roman"/>
          <w:i/>
          <w:iCs/>
          <w:sz w:val="20"/>
          <w:szCs w:val="16"/>
          <w:lang w:val="fr-FR" w:eastAsia="en-IE"/>
        </w:rPr>
        <w:t xml:space="preserve"> En ce qui concerne l'obligation pour le gouvernement italien de notifier le texte complet de la loi 257/92, en ce compris les dispositions qui ne constituent pas des règles techniques, il convient de rappeler qu'il ressort de l'article 8, paragraphe 1, premier alinéa, dernière phrase, de la directive que les États membres communiquent également à la Commission le texte des dispositions législatives et réglementaires de base principalement et directement concernées si la connaissance de ce texte est nécessaire pour apprécier la portée du projet de règle technique. »</w:t>
      </w:r>
    </w:p>
    <w:p w14:paraId="2D985B3C" w14:textId="77777777" w:rsidR="004E15FB" w:rsidRPr="00190CBF" w:rsidRDefault="004E15FB" w:rsidP="00AA4F20">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p>
    <w:p w14:paraId="48F0D541" w14:textId="5FFF66EE" w:rsidR="004E15FB" w:rsidRDefault="004E15FB" w:rsidP="00AA4F20">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190CBF">
        <w:rPr>
          <w:rFonts w:ascii="Times New Roman" w:eastAsia="Times New Roman" w:hAnsi="Times New Roman" w:cs="Times New Roman"/>
          <w:i/>
          <w:iCs/>
          <w:sz w:val="20"/>
          <w:szCs w:val="16"/>
          <w:lang w:val="fr-FR" w:eastAsia="en-IE"/>
        </w:rPr>
        <w:t>« 42</w:t>
      </w:r>
      <w:r w:rsidR="005C053F">
        <w:rPr>
          <w:rFonts w:ascii="Times New Roman" w:eastAsia="Times New Roman" w:hAnsi="Times New Roman" w:cs="Times New Roman"/>
          <w:i/>
          <w:iCs/>
          <w:sz w:val="20"/>
          <w:szCs w:val="16"/>
          <w:lang w:val="fr-FR" w:eastAsia="en-IE"/>
        </w:rPr>
        <w:t>.</w:t>
      </w:r>
      <w:r w:rsidRPr="00190CBF">
        <w:rPr>
          <w:rFonts w:ascii="Times New Roman" w:eastAsia="Times New Roman" w:hAnsi="Times New Roman" w:cs="Times New Roman"/>
          <w:i/>
          <w:iCs/>
          <w:sz w:val="20"/>
          <w:szCs w:val="16"/>
          <w:lang w:val="fr-FR" w:eastAsia="en-IE"/>
        </w:rPr>
        <w:t xml:space="preserve"> Il convient toutefois de préciser que le simple fait de porter à la connaissance de la Commission l'ensemble des dispositions contenues dans la loi 257/92 n'empêche pas la République italienne de mettre en vigueur immédiatement, et donc sans attendre les résultats de la procédure d'examen prévue par la directive, les dispositions qui ne constituent pas des règles techniques. »</w:t>
      </w:r>
    </w:p>
    <w:p w14:paraId="0E94A34F" w14:textId="77777777" w:rsidR="004E15FB" w:rsidRDefault="004E15FB" w:rsidP="00AA4F20">
      <w:pPr>
        <w:spacing w:after="0" w:line="240" w:lineRule="auto"/>
        <w:rPr>
          <w:rFonts w:ascii="Times New Roman" w:eastAsia="Times New Roman" w:hAnsi="Times New Roman" w:cs="Times New Roman"/>
          <w:i/>
          <w:iCs/>
          <w:sz w:val="20"/>
          <w:szCs w:val="16"/>
          <w:lang w:val="fr-FR" w:eastAsia="en-IE"/>
        </w:rPr>
      </w:pPr>
      <w:r>
        <w:rPr>
          <w:rFonts w:ascii="Times New Roman" w:eastAsia="Times New Roman" w:hAnsi="Times New Roman" w:cs="Times New Roman"/>
          <w:i/>
          <w:iCs/>
          <w:sz w:val="20"/>
          <w:szCs w:val="16"/>
          <w:lang w:val="fr-FR" w:eastAsia="en-IE"/>
        </w:rPr>
        <w:br w:type="page"/>
      </w:r>
    </w:p>
    <w:p w14:paraId="7749D63B" w14:textId="77777777" w:rsidR="004E15FB" w:rsidRPr="001F7B82" w:rsidRDefault="004E15FB" w:rsidP="00AA4F20">
      <w:pPr>
        <w:pStyle w:val="BodyText"/>
        <w:ind w:left="1440"/>
        <w:jc w:val="right"/>
        <w:rPr>
          <w:b/>
          <w:bCs/>
          <w:i/>
          <w:iCs/>
        </w:rPr>
      </w:pPr>
    </w:p>
    <w:p w14:paraId="66AC7FAE" w14:textId="3B073E0E" w:rsidR="004E15FB" w:rsidRPr="00745699" w:rsidRDefault="00745699" w:rsidP="002C17AE">
      <w:pPr>
        <w:pStyle w:val="Heading2"/>
        <w:spacing w:after="0"/>
        <w:jc w:val="center"/>
        <w:rPr>
          <w:color w:val="auto"/>
          <w:lang w:val="fr-BE"/>
        </w:rPr>
      </w:pPr>
      <w:bookmarkStart w:id="79" w:name="_Toc203035389"/>
      <w:r w:rsidRPr="00745699">
        <w:rPr>
          <w:color w:val="auto"/>
          <w:lang w:val="fr-BE"/>
        </w:rPr>
        <w:t xml:space="preserve">d. </w:t>
      </w:r>
      <w:bookmarkStart w:id="80" w:name="_Ref194484917"/>
      <w:r w:rsidR="00F56389" w:rsidRPr="00745699">
        <w:rPr>
          <w:color w:val="auto"/>
          <w:lang w:val="fr-BE"/>
        </w:rPr>
        <w:t>Notification des d</w:t>
      </w:r>
      <w:r w:rsidR="004E15FB" w:rsidRPr="00745699">
        <w:rPr>
          <w:color w:val="auto"/>
          <w:lang w:val="fr-BE"/>
        </w:rPr>
        <w:t xml:space="preserve">ispositions de base </w:t>
      </w:r>
      <w:r w:rsidR="003F4602" w:rsidRPr="00745699">
        <w:rPr>
          <w:color w:val="auto"/>
          <w:lang w:val="fr-BE"/>
        </w:rPr>
        <w:t xml:space="preserve">principalement et </w:t>
      </w:r>
      <w:r w:rsidR="004E15FB" w:rsidRPr="00745699">
        <w:rPr>
          <w:color w:val="auto"/>
          <w:lang w:val="fr-BE"/>
        </w:rPr>
        <w:t>directement concernées</w:t>
      </w:r>
      <w:bookmarkEnd w:id="80"/>
      <w:bookmarkEnd w:id="79"/>
    </w:p>
    <w:p w14:paraId="02AB25EF" w14:textId="77777777" w:rsidR="004E15FB" w:rsidRDefault="004E15FB" w:rsidP="00AA4F20">
      <w:pPr>
        <w:pStyle w:val="BodyText"/>
        <w:ind w:left="1440"/>
        <w:jc w:val="right"/>
        <w:rPr>
          <w:i/>
          <w:iCs/>
        </w:rPr>
      </w:pPr>
    </w:p>
    <w:p w14:paraId="7ADAEEA1" w14:textId="77777777" w:rsidR="004E15FB" w:rsidRDefault="004E15FB" w:rsidP="00AA4F20">
      <w:pPr>
        <w:pStyle w:val="BodyText"/>
        <w:ind w:left="1440"/>
        <w:rPr>
          <w:i/>
          <w:iCs/>
        </w:rPr>
      </w:pPr>
      <w:r>
        <w:rPr>
          <w:i/>
          <w:iCs/>
          <w:lang w:val="fr-BE"/>
        </w:rPr>
        <w:t>« </w:t>
      </w:r>
      <w:r w:rsidRPr="00F801E7">
        <w:rPr>
          <w:i/>
          <w:iCs/>
          <w:lang w:val="fr-BE"/>
        </w:rPr>
        <w:t>Le cas échéant, et à moins qu'il n'ait été transmis en liaison avec une communication antérieure, les États membres communiquent à la Commission en même temps le texte des dispositions législatives et réglementaires de base principalement et directement concernées, si la connaissance de ce texte est nécessaire pour l'appréciation de la portée du projet de règle technique.</w:t>
      </w:r>
      <w:r>
        <w:rPr>
          <w:i/>
          <w:iCs/>
          <w:lang w:val="fr-BE"/>
        </w:rPr>
        <w:t> »</w:t>
      </w:r>
    </w:p>
    <w:p w14:paraId="3C018828" w14:textId="77777777" w:rsidR="004E15FB" w:rsidRDefault="004E15FB" w:rsidP="00AA4F20">
      <w:pPr>
        <w:pStyle w:val="BodyText"/>
        <w:ind w:left="1440"/>
        <w:jc w:val="right"/>
        <w:rPr>
          <w:i/>
          <w:iCs/>
        </w:rPr>
      </w:pPr>
    </w:p>
    <w:p w14:paraId="21D14611" w14:textId="09F95399" w:rsidR="004E15FB" w:rsidRPr="00F801E7" w:rsidRDefault="004E15FB" w:rsidP="00AA4F20">
      <w:pPr>
        <w:pStyle w:val="BodyText"/>
        <w:ind w:left="1440"/>
        <w:jc w:val="right"/>
      </w:pPr>
      <w:r w:rsidRPr="00F801E7">
        <w:t>(article 5, paragraphe 1, deuxième phrase</w:t>
      </w:r>
      <w:r w:rsidR="00BB4944">
        <w:t>,</w:t>
      </w:r>
      <w:r w:rsidRPr="00F801E7">
        <w:t xml:space="preserve"> de la directive </w:t>
      </w:r>
      <w:r w:rsidR="006C60E5">
        <w:t xml:space="preserve">(UE) </w:t>
      </w:r>
      <w:r w:rsidRPr="00F801E7">
        <w:t>2015/1535)</w:t>
      </w:r>
    </w:p>
    <w:p w14:paraId="7479C45A" w14:textId="77777777" w:rsidR="004E15FB" w:rsidRDefault="004E15FB" w:rsidP="00AA4F20">
      <w:pPr>
        <w:pStyle w:val="BodyText"/>
        <w:ind w:left="1440"/>
        <w:jc w:val="right"/>
        <w:rPr>
          <w:i/>
          <w:iCs/>
        </w:rPr>
      </w:pPr>
    </w:p>
    <w:p w14:paraId="7E6EAA27" w14:textId="779F5DD9" w:rsidR="004E15FB" w:rsidRPr="008F7F7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3" w:history="1">
        <w:r w:rsidR="004E15FB" w:rsidRPr="008F7F7C">
          <w:rPr>
            <w:rFonts w:ascii="Times New Roman" w:eastAsia="Times New Roman" w:hAnsi="Times New Roman" w:cs="Times New Roman"/>
            <w:b/>
            <w:i/>
            <w:color w:val="0000FF"/>
            <w:szCs w:val="20"/>
            <w:u w:val="single"/>
            <w:lang w:val="fr" w:eastAsia="en-IE"/>
          </w:rPr>
          <w:t>Arrêt du 7 mai 1998</w:t>
        </w:r>
      </w:hyperlink>
      <w:r w:rsidR="004E15FB" w:rsidRPr="008F7F7C">
        <w:rPr>
          <w:rFonts w:ascii="Times New Roman" w:eastAsia="Times New Roman" w:hAnsi="Times New Roman" w:cs="Times New Roman"/>
          <w:b/>
          <w:i/>
          <w:szCs w:val="20"/>
          <w:lang w:val="fr" w:eastAsia="en-IE"/>
        </w:rPr>
        <w:t xml:space="preserve">, </w:t>
      </w:r>
      <w:r w:rsidR="00745699" w:rsidRPr="008F7F7C">
        <w:rPr>
          <w:rFonts w:ascii="Times New Roman" w:eastAsia="Times New Roman" w:hAnsi="Times New Roman" w:cs="Times New Roman"/>
          <w:b/>
          <w:i/>
          <w:szCs w:val="20"/>
          <w:lang w:val="fr" w:eastAsia="en-IE"/>
        </w:rPr>
        <w:t xml:space="preserve">Commission/Belgique, </w:t>
      </w:r>
      <w:r w:rsidR="004E15FB" w:rsidRPr="008F7F7C">
        <w:rPr>
          <w:rFonts w:ascii="Times New Roman" w:eastAsia="Times New Roman" w:hAnsi="Times New Roman" w:cs="Times New Roman"/>
          <w:b/>
          <w:i/>
          <w:szCs w:val="20"/>
          <w:lang w:val="fr" w:eastAsia="en-IE"/>
        </w:rPr>
        <w:t>C-145/97, EU:C:1998:212, points 11 et 12.</w:t>
      </w:r>
    </w:p>
    <w:p w14:paraId="768284F0" w14:textId="77777777" w:rsidR="004E15FB" w:rsidRPr="008F7F7C" w:rsidRDefault="004E15FB"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0832E540" w14:textId="21CC80E4" w:rsidR="004E15FB" w:rsidRPr="008F7F7C" w:rsidRDefault="004E15FB" w:rsidP="00AA4F20">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w:t>
      </w:r>
      <w:r w:rsidRPr="008F7F7C">
        <w:rPr>
          <w:rFonts w:ascii="Times New Roman" w:eastAsia="Times New Roman" w:hAnsi="Times New Roman" w:cs="Times New Roman"/>
          <w:szCs w:val="20"/>
          <w:lang w:val="fr" w:eastAsia="en-IE"/>
        </w:rPr>
        <w:t xml:space="preserve">es États membres doivent communiquer non seulement le projet de texte contenant les </w:t>
      </w:r>
      <w:r w:rsidR="000D631B">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règles techniques</w:t>
      </w:r>
      <w:r w:rsidR="000D631B">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 xml:space="preserve">, mais également le texte des dispositions législatives ou réglementaires de base principalement et directement concernées. L’objectif de cette disposition est de permettre à la Commission de disposer d’un maximum d’informations </w:t>
      </w:r>
      <w:r w:rsidR="00C14379">
        <w:rPr>
          <w:rFonts w:ascii="Times New Roman" w:eastAsia="Times New Roman" w:hAnsi="Times New Roman" w:cs="Times New Roman"/>
          <w:szCs w:val="20"/>
          <w:lang w:val="fr" w:eastAsia="en-IE"/>
        </w:rPr>
        <w:t>et donc</w:t>
      </w:r>
      <w:r w:rsidRPr="008F7F7C">
        <w:rPr>
          <w:rFonts w:ascii="Times New Roman" w:eastAsia="Times New Roman" w:hAnsi="Times New Roman" w:cs="Times New Roman"/>
          <w:szCs w:val="20"/>
          <w:lang w:val="fr" w:eastAsia="en-IE"/>
        </w:rPr>
        <w:t xml:space="preserve"> d’exercer le plus efficacement possible les pouvoirs qui lui sont conférés par la directive.</w:t>
      </w:r>
    </w:p>
    <w:p w14:paraId="239177AF" w14:textId="77777777" w:rsidR="004E15FB" w:rsidRPr="008F7F7C" w:rsidRDefault="004E15FB" w:rsidP="00AA4F20">
      <w:pPr>
        <w:widowControl w:val="0"/>
        <w:tabs>
          <w:tab w:val="left" w:pos="437"/>
        </w:tabs>
        <w:autoSpaceDE w:val="0"/>
        <w:autoSpaceDN w:val="0"/>
        <w:spacing w:after="0" w:line="240" w:lineRule="auto"/>
        <w:jc w:val="both"/>
        <w:rPr>
          <w:rFonts w:ascii="Times New Roman" w:eastAsia="Times New Roman" w:hAnsi="Times New Roman" w:cs="Times New Roman"/>
          <w:szCs w:val="20"/>
          <w:lang w:val="fr" w:eastAsia="en-IE"/>
        </w:rPr>
      </w:pPr>
    </w:p>
    <w:p w14:paraId="1EA9273A" w14:textId="77777777" w:rsidR="004E15FB" w:rsidRPr="008F7F7C" w:rsidRDefault="004E15FB"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sz w:val="20"/>
          <w:szCs w:val="16"/>
          <w:lang w:val="fr" w:eastAsia="en-IE"/>
        </w:rPr>
        <w:t>« </w:t>
      </w:r>
      <w:r w:rsidRPr="008F7F7C">
        <w:rPr>
          <w:rFonts w:ascii="Times New Roman" w:eastAsia="Times New Roman" w:hAnsi="Times New Roman" w:cs="Times New Roman"/>
          <w:i/>
          <w:iCs/>
          <w:sz w:val="20"/>
          <w:szCs w:val="16"/>
          <w:lang w:val="fr-BE" w:eastAsia="en-IE"/>
        </w:rPr>
        <w:t>11. Concernant ensuite l'étendue précise de l'obligation de notifier, il résulte de l'article 8, paragraphe 1, premier alinéa, dernière phrase, de la directive que les États membres communiquent également à la Commission le texte des dispositions législatives et réglementaires de base principalement et directement concernées si la connaissance de ce texte est nécessaire pour apprécier la portée du projet de règle technique.</w:t>
      </w:r>
    </w:p>
    <w:p w14:paraId="5A52ADD1" w14:textId="77777777" w:rsidR="004E15FB" w:rsidRPr="008F7F7C" w:rsidRDefault="004E15FB" w:rsidP="00AA4F20">
      <w:pPr>
        <w:widowControl w:val="0"/>
        <w:tabs>
          <w:tab w:val="left" w:pos="43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4EF4E053" w14:textId="5252D2A1" w:rsidR="007925D9" w:rsidRDefault="004E15FB" w:rsidP="00AA4F20">
      <w:pPr>
        <w:widowControl w:val="0"/>
        <w:tabs>
          <w:tab w:val="left" w:pos="461"/>
        </w:tabs>
        <w:autoSpaceDE w:val="0"/>
        <w:autoSpaceDN w:val="0"/>
        <w:spacing w:after="0" w:line="240" w:lineRule="auto"/>
        <w:ind w:left="567"/>
        <w:jc w:val="both"/>
        <w:rPr>
          <w:rFonts w:ascii="Times New Roman" w:eastAsia="Times New Roman" w:hAnsi="Times New Roman" w:cs="Times New Roman"/>
          <w:sz w:val="20"/>
          <w:szCs w:val="16"/>
          <w:lang w:val="fr-BE" w:eastAsia="en-IE"/>
        </w:rPr>
      </w:pPr>
      <w:r w:rsidRPr="008F7F7C">
        <w:rPr>
          <w:rFonts w:ascii="Times New Roman" w:eastAsia="Times New Roman" w:hAnsi="Times New Roman" w:cs="Times New Roman"/>
          <w:i/>
          <w:iCs/>
          <w:sz w:val="20"/>
          <w:szCs w:val="16"/>
          <w:lang w:val="fr-BE" w:eastAsia="en-IE"/>
        </w:rPr>
        <w:t>12. Ainsi que la Cour l'a précisé dans l'arrêt du 16 septembre 1997, Commission/Italie (C-279/94, Rec. p. I-4743, point 40), l'objectif de cette dernière disposition est de permettre à la Commission d'avoir une information la plus complète possible sur tout projet de règle technique quant à son contenu, sa portée et son contexte</w:t>
      </w:r>
      <w:r w:rsidRPr="008F7F7C">
        <w:rPr>
          <w:rFonts w:ascii="Times New Roman" w:eastAsia="Times New Roman" w:hAnsi="Times New Roman" w:cs="Times New Roman"/>
          <w:sz w:val="20"/>
          <w:szCs w:val="16"/>
          <w:lang w:val="fr-BE" w:eastAsia="en-IE"/>
        </w:rPr>
        <w:t xml:space="preserve"> »</w:t>
      </w:r>
    </w:p>
    <w:p w14:paraId="4E67514A" w14:textId="77777777" w:rsidR="007925D9" w:rsidRDefault="007925D9" w:rsidP="00AA4F20">
      <w:pPr>
        <w:spacing w:after="0" w:line="240" w:lineRule="auto"/>
        <w:rPr>
          <w:rFonts w:ascii="Times New Roman" w:eastAsia="Times New Roman" w:hAnsi="Times New Roman" w:cs="Times New Roman"/>
          <w:sz w:val="20"/>
          <w:szCs w:val="16"/>
          <w:lang w:val="fr-BE" w:eastAsia="en-IE"/>
        </w:rPr>
      </w:pPr>
      <w:r>
        <w:rPr>
          <w:rFonts w:ascii="Times New Roman" w:eastAsia="Times New Roman" w:hAnsi="Times New Roman" w:cs="Times New Roman"/>
          <w:sz w:val="20"/>
          <w:szCs w:val="16"/>
          <w:lang w:val="fr-BE" w:eastAsia="en-IE"/>
        </w:rPr>
        <w:br w:type="page"/>
      </w:r>
    </w:p>
    <w:p w14:paraId="6CA665D0" w14:textId="505B60B0" w:rsidR="007925D9" w:rsidRPr="00745699" w:rsidRDefault="00745699" w:rsidP="002C17AE">
      <w:pPr>
        <w:pStyle w:val="Heading2"/>
        <w:spacing w:after="0"/>
        <w:jc w:val="center"/>
        <w:rPr>
          <w:color w:val="auto"/>
          <w:lang w:val="fr-BE"/>
        </w:rPr>
      </w:pPr>
      <w:bookmarkStart w:id="81" w:name="_Toc203035390"/>
      <w:r w:rsidRPr="00745699">
        <w:rPr>
          <w:color w:val="auto"/>
          <w:lang w:val="fr-BE"/>
        </w:rPr>
        <w:lastRenderedPageBreak/>
        <w:t xml:space="preserve">e. </w:t>
      </w:r>
      <w:bookmarkStart w:id="82" w:name="_Ref194484926"/>
      <w:r w:rsidR="00EA6994" w:rsidRPr="00745699">
        <w:rPr>
          <w:color w:val="auto"/>
          <w:lang w:val="fr-BE"/>
        </w:rPr>
        <w:t>Re-</w:t>
      </w:r>
      <w:r w:rsidR="007925D9" w:rsidRPr="00745699">
        <w:rPr>
          <w:color w:val="auto"/>
          <w:lang w:val="fr-BE"/>
        </w:rPr>
        <w:t>notification</w:t>
      </w:r>
      <w:bookmarkEnd w:id="82"/>
      <w:r w:rsidR="00E00CFA" w:rsidRPr="00745699">
        <w:rPr>
          <w:color w:val="auto"/>
          <w:lang w:val="fr-BE"/>
        </w:rPr>
        <w:t xml:space="preserve"> pendant la période de statu quo</w:t>
      </w:r>
      <w:bookmarkEnd w:id="81"/>
    </w:p>
    <w:p w14:paraId="469CC5E9" w14:textId="77777777" w:rsidR="007925D9" w:rsidRDefault="007925D9" w:rsidP="00AA4F20">
      <w:pPr>
        <w:pStyle w:val="BodyText"/>
        <w:ind w:left="1440"/>
        <w:jc w:val="right"/>
        <w:rPr>
          <w:i/>
          <w:iCs/>
        </w:rPr>
      </w:pPr>
    </w:p>
    <w:p w14:paraId="07616479" w14:textId="77777777" w:rsidR="007925D9" w:rsidRDefault="007925D9" w:rsidP="00AA4F20">
      <w:pPr>
        <w:pStyle w:val="BodyText"/>
        <w:ind w:left="1440"/>
        <w:rPr>
          <w:i/>
          <w:iCs/>
          <w:lang w:val="fr-BE"/>
        </w:rPr>
      </w:pPr>
      <w:r>
        <w:rPr>
          <w:i/>
          <w:iCs/>
          <w:lang w:val="fr-BE"/>
        </w:rPr>
        <w:t>« </w:t>
      </w:r>
      <w:r w:rsidRPr="00F801E7">
        <w:rPr>
          <w:i/>
          <w:iCs/>
          <w:lang w:val="fr-BE"/>
        </w:rPr>
        <w:t>Les États membres procèdent à une nouvelle communication du projet de règl</w:t>
      </w:r>
      <w:r>
        <w:rPr>
          <w:i/>
          <w:iCs/>
          <w:lang w:val="fr-BE"/>
        </w:rPr>
        <w:t xml:space="preserve">e </w:t>
      </w:r>
      <w:r w:rsidRPr="00F801E7">
        <w:rPr>
          <w:i/>
          <w:iCs/>
          <w:lang w:val="fr-BE"/>
        </w:rPr>
        <w:t>technique à la Commission, dans les</w:t>
      </w:r>
      <w:r>
        <w:rPr>
          <w:i/>
          <w:iCs/>
          <w:lang w:val="fr-BE"/>
        </w:rPr>
        <w:t xml:space="preserve"> </w:t>
      </w:r>
      <w:r w:rsidRPr="00F801E7">
        <w:rPr>
          <w:i/>
          <w:iCs/>
          <w:lang w:val="fr-BE"/>
        </w:rPr>
        <w:t>conditions énoncées au premier et deuxième alinéas du présent paragraphe, s'ils apportent à ce projet, d'une manière significative, des changements qui auront pour effet de modifier son champ d'application, d'en raccourcir le calendrier d'application initialement prévu, d'ajouter des spécifications ou des exigences, ou de rendre celles-ci plus strictes</w:t>
      </w:r>
      <w:r>
        <w:rPr>
          <w:i/>
          <w:iCs/>
          <w:lang w:val="fr-BE"/>
        </w:rPr>
        <w:t> »</w:t>
      </w:r>
    </w:p>
    <w:p w14:paraId="3E582DDB" w14:textId="77777777" w:rsidR="007925D9" w:rsidRPr="00F801E7" w:rsidRDefault="007925D9" w:rsidP="00AA4F20">
      <w:pPr>
        <w:pStyle w:val="BodyText"/>
        <w:ind w:left="1440"/>
        <w:jc w:val="right"/>
        <w:rPr>
          <w:i/>
          <w:iCs/>
          <w:lang w:val="fr-BE"/>
        </w:rPr>
      </w:pPr>
    </w:p>
    <w:p w14:paraId="57E3F15D" w14:textId="7C5CFC76" w:rsidR="007925D9" w:rsidRPr="00F801E7" w:rsidRDefault="007925D9" w:rsidP="00AA4F20">
      <w:pPr>
        <w:pStyle w:val="BodyText"/>
        <w:ind w:left="1440"/>
        <w:jc w:val="right"/>
      </w:pPr>
      <w:r w:rsidRPr="00F801E7">
        <w:t>(article 5, paragraphe 1, troisième phrase</w:t>
      </w:r>
      <w:r w:rsidR="00BB4944">
        <w:t>,</w:t>
      </w:r>
      <w:r w:rsidR="00BB4944" w:rsidRPr="00BB4944">
        <w:t xml:space="preserve"> </w:t>
      </w:r>
      <w:r w:rsidR="00BB4944" w:rsidRPr="00F801E7">
        <w:t xml:space="preserve">de la directive </w:t>
      </w:r>
      <w:r w:rsidR="006C60E5">
        <w:t xml:space="preserve">(UE) </w:t>
      </w:r>
      <w:r w:rsidR="00BB4944" w:rsidRPr="00F801E7">
        <w:t>2015/1535</w:t>
      </w:r>
      <w:r w:rsidRPr="00F801E7">
        <w:t>)</w:t>
      </w:r>
    </w:p>
    <w:p w14:paraId="3C5D4E98" w14:textId="77777777" w:rsidR="00EB5792" w:rsidRPr="004F52D0" w:rsidRDefault="00EB5792" w:rsidP="00DC2D31">
      <w:pPr>
        <w:widowControl w:val="0"/>
        <w:tabs>
          <w:tab w:val="left" w:pos="437"/>
        </w:tabs>
        <w:autoSpaceDE w:val="0"/>
        <w:autoSpaceDN w:val="0"/>
        <w:spacing w:after="0" w:line="240" w:lineRule="auto"/>
        <w:jc w:val="both"/>
        <w:rPr>
          <w:lang w:val="fr-BE"/>
        </w:rPr>
      </w:pPr>
    </w:p>
    <w:p w14:paraId="0923F993" w14:textId="6DAF1935" w:rsidR="007925D9" w:rsidRPr="001F7B8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4" w:history="1">
        <w:r w:rsidR="007925D9" w:rsidRPr="001F7B82">
          <w:rPr>
            <w:rFonts w:ascii="Times New Roman" w:eastAsia="Times New Roman" w:hAnsi="Times New Roman" w:cs="Times New Roman"/>
            <w:b/>
            <w:i/>
            <w:color w:val="0000FF"/>
            <w:szCs w:val="20"/>
            <w:u w:val="single"/>
            <w:lang w:val="fr" w:eastAsia="en-IE"/>
          </w:rPr>
          <w:t>Arrêt du 15 avril 2010</w:t>
        </w:r>
      </w:hyperlink>
      <w:r w:rsidR="007925D9" w:rsidRPr="001F7B82">
        <w:rPr>
          <w:rFonts w:ascii="Times New Roman" w:eastAsia="Times New Roman" w:hAnsi="Times New Roman" w:cs="Times New Roman"/>
          <w:b/>
          <w:i/>
          <w:szCs w:val="20"/>
          <w:lang w:val="fr" w:eastAsia="en-IE"/>
        </w:rPr>
        <w:t xml:space="preserve">, </w:t>
      </w:r>
      <w:proofErr w:type="spellStart"/>
      <w:r w:rsidR="00745699" w:rsidRPr="001F7B82">
        <w:rPr>
          <w:rFonts w:ascii="Times New Roman" w:eastAsia="Times New Roman" w:hAnsi="Times New Roman" w:cs="Times New Roman"/>
          <w:b/>
          <w:i/>
          <w:szCs w:val="20"/>
          <w:lang w:val="fr" w:eastAsia="en-IE"/>
        </w:rPr>
        <w:t>Sandström</w:t>
      </w:r>
      <w:proofErr w:type="spellEnd"/>
      <w:r w:rsidR="00745699" w:rsidRPr="001F7B82">
        <w:rPr>
          <w:rFonts w:ascii="Times New Roman" w:eastAsia="Times New Roman" w:hAnsi="Times New Roman" w:cs="Times New Roman"/>
          <w:b/>
          <w:i/>
          <w:szCs w:val="20"/>
          <w:lang w:val="fr" w:eastAsia="en-IE"/>
        </w:rPr>
        <w:t xml:space="preserve">, </w:t>
      </w:r>
      <w:r w:rsidR="007925D9" w:rsidRPr="001F7B82">
        <w:rPr>
          <w:rFonts w:ascii="Times New Roman" w:eastAsia="Times New Roman" w:hAnsi="Times New Roman" w:cs="Times New Roman"/>
          <w:b/>
          <w:i/>
          <w:szCs w:val="20"/>
          <w:lang w:val="fr" w:eastAsia="en-IE"/>
        </w:rPr>
        <w:t>C-433/05, EU:C:2010:184, points 47 et 48</w:t>
      </w:r>
    </w:p>
    <w:p w14:paraId="442A3D5E" w14:textId="77777777" w:rsidR="007925D9" w:rsidRPr="001F7B82"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3810522" w14:textId="6063F7BD" w:rsidR="007925D9" w:rsidRPr="001F7B82" w:rsidRDefault="007925D9" w:rsidP="00AA4F20">
      <w:pPr>
        <w:widowControl w:val="0"/>
        <w:tabs>
          <w:tab w:val="left" w:pos="407"/>
        </w:tabs>
        <w:autoSpaceDE w:val="0"/>
        <w:autoSpaceDN w:val="0"/>
        <w:spacing w:after="0" w:line="240" w:lineRule="auto"/>
        <w:jc w:val="both"/>
        <w:rPr>
          <w:rFonts w:ascii="Times New Roman" w:eastAsia="Times New Roman" w:hAnsi="Times New Roman" w:cs="Times New Roman"/>
          <w:szCs w:val="20"/>
          <w:lang w:val="fr" w:eastAsia="en-IE"/>
        </w:rPr>
      </w:pPr>
      <w:r w:rsidRPr="001F7B82">
        <w:rPr>
          <w:rFonts w:ascii="Times New Roman" w:eastAsia="Times New Roman" w:hAnsi="Times New Roman" w:cs="Times New Roman"/>
          <w:szCs w:val="20"/>
          <w:lang w:val="fr" w:eastAsia="en-IE"/>
        </w:rPr>
        <w:t xml:space="preserve">Les modifications apportées à un projet de </w:t>
      </w:r>
      <w:r w:rsidR="000D631B">
        <w:rPr>
          <w:rFonts w:ascii="Times New Roman" w:eastAsia="Times New Roman" w:hAnsi="Times New Roman" w:cs="Times New Roman"/>
          <w:szCs w:val="20"/>
          <w:lang w:val="fr" w:eastAsia="en-IE"/>
        </w:rPr>
        <w:t>« </w:t>
      </w:r>
      <w:r w:rsidRPr="001F7B82">
        <w:rPr>
          <w:rFonts w:ascii="Times New Roman" w:eastAsia="Times New Roman" w:hAnsi="Times New Roman" w:cs="Times New Roman"/>
          <w:szCs w:val="20"/>
          <w:lang w:val="fr" w:eastAsia="en-IE"/>
        </w:rPr>
        <w:t>règle technique</w:t>
      </w:r>
      <w:r w:rsidR="000D631B">
        <w:rPr>
          <w:rFonts w:ascii="Times New Roman" w:eastAsia="Times New Roman" w:hAnsi="Times New Roman" w:cs="Times New Roman"/>
          <w:szCs w:val="20"/>
          <w:lang w:val="fr" w:eastAsia="en-IE"/>
        </w:rPr>
        <w:t> »</w:t>
      </w:r>
      <w:r w:rsidRPr="001F7B82">
        <w:rPr>
          <w:rFonts w:ascii="Times New Roman" w:eastAsia="Times New Roman" w:hAnsi="Times New Roman" w:cs="Times New Roman"/>
          <w:szCs w:val="20"/>
          <w:lang w:val="fr" w:eastAsia="en-IE"/>
        </w:rPr>
        <w:t xml:space="preserve"> déjà notifié à la Commission qui contiennent, par rapport au projet notifié, un simple assouplissement des conditions d’utilisation du produit en cause ne constituent pas une modification importante soumise</w:t>
      </w:r>
      <w:r>
        <w:rPr>
          <w:rFonts w:ascii="Times New Roman" w:eastAsia="Times New Roman" w:hAnsi="Times New Roman" w:cs="Times New Roman"/>
          <w:szCs w:val="20"/>
          <w:lang w:val="fr" w:eastAsia="en-IE"/>
        </w:rPr>
        <w:t xml:space="preserve"> </w:t>
      </w:r>
      <w:r w:rsidRPr="001F7B82">
        <w:rPr>
          <w:rFonts w:ascii="Times New Roman" w:eastAsia="Times New Roman" w:hAnsi="Times New Roman" w:cs="Times New Roman"/>
          <w:szCs w:val="20"/>
          <w:lang w:val="fr" w:eastAsia="en-IE"/>
        </w:rPr>
        <w:t>à l’obligation de notification préalable.</w:t>
      </w:r>
    </w:p>
    <w:p w14:paraId="27AEB5DB" w14:textId="77777777" w:rsidR="007925D9" w:rsidRPr="001F7B82" w:rsidRDefault="007925D9" w:rsidP="00AA4F20">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7483577D" w14:textId="7AB2B640" w:rsidR="007925D9" w:rsidRPr="001F7B82"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 w:eastAsia="en-IE"/>
        </w:rPr>
        <w:t>« </w:t>
      </w:r>
      <w:r w:rsidRPr="001F7B82">
        <w:rPr>
          <w:rFonts w:ascii="Times New Roman" w:eastAsia="Times New Roman" w:hAnsi="Times New Roman" w:cs="Times New Roman"/>
          <w:i/>
          <w:iCs/>
          <w:sz w:val="20"/>
          <w:szCs w:val="16"/>
          <w:lang w:val="fr-BE" w:eastAsia="en-IE"/>
        </w:rPr>
        <w:t>47</w:t>
      </w:r>
      <w:r w:rsidR="005C053F">
        <w:rPr>
          <w:rFonts w:ascii="Times New Roman" w:eastAsia="Times New Roman" w:hAnsi="Times New Roman" w:cs="Times New Roman"/>
          <w:i/>
          <w:iCs/>
          <w:sz w:val="20"/>
          <w:szCs w:val="16"/>
          <w:lang w:val="fr-BE" w:eastAsia="en-IE"/>
        </w:rPr>
        <w:t xml:space="preserve">. </w:t>
      </w:r>
      <w:r w:rsidR="00EB5792">
        <w:rPr>
          <w:rFonts w:ascii="Times New Roman" w:eastAsia="Times New Roman" w:hAnsi="Times New Roman" w:cs="Times New Roman"/>
          <w:i/>
          <w:iCs/>
          <w:sz w:val="20"/>
          <w:szCs w:val="16"/>
          <w:lang w:val="fr-BE" w:eastAsia="en-IE"/>
        </w:rPr>
        <w:t>[…]</w:t>
      </w:r>
      <w:r w:rsidRPr="001F7B82">
        <w:rPr>
          <w:rFonts w:ascii="Times New Roman" w:eastAsia="Times New Roman" w:hAnsi="Times New Roman" w:cs="Times New Roman"/>
          <w:i/>
          <w:iCs/>
          <w:sz w:val="20"/>
          <w:szCs w:val="16"/>
          <w:lang w:val="fr-BE" w:eastAsia="en-IE"/>
        </w:rPr>
        <w:t xml:space="preserve"> eu égard à l’objectif de la directive 98/34 exposé au point 41 ci-dessus, des modifications apportées à un projet de règle technique déjà notifié à la Commission, conformément à l’article 8, paragraphe 1, premier alinéa, de la directive 98/34, qui ne comportent, par rapport au projet notifié, qu’un assouplissement des conditions d’utilisation du produit concerné et qui, partant, réduisent l’impact éventuel de la règle technique sur les échanges commerciaux, ne constituent pas un changement significatif du projet au sens de l’article 8, paragraphe 1, troisième alinéa, de cette directive. De telles modifications ne sont donc pas soumises à l’obligation de notification préalable.</w:t>
      </w:r>
    </w:p>
    <w:p w14:paraId="6DC05ACE" w14:textId="77777777" w:rsidR="007925D9" w:rsidRPr="001F7B82" w:rsidRDefault="007925D9" w:rsidP="00AA4F20">
      <w:pPr>
        <w:widowControl w:val="0"/>
        <w:autoSpaceDE w:val="0"/>
        <w:autoSpaceDN w:val="0"/>
        <w:spacing w:after="0" w:line="240" w:lineRule="auto"/>
        <w:ind w:left="709" w:hanging="142"/>
        <w:jc w:val="both"/>
        <w:rPr>
          <w:rFonts w:ascii="Times New Roman" w:eastAsia="Times New Roman" w:hAnsi="Times New Roman" w:cs="Times New Roman"/>
          <w:i/>
          <w:iCs/>
          <w:sz w:val="20"/>
          <w:szCs w:val="16"/>
          <w:lang w:val="fr-BE" w:eastAsia="en-IE"/>
        </w:rPr>
      </w:pPr>
    </w:p>
    <w:p w14:paraId="07688F8B" w14:textId="0B8F652F" w:rsidR="007925D9"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BE" w:eastAsia="en-IE"/>
        </w:rPr>
        <w:t>48</w:t>
      </w:r>
      <w:r w:rsidR="005C053F">
        <w:rPr>
          <w:rFonts w:ascii="Times New Roman" w:eastAsia="Times New Roman" w:hAnsi="Times New Roman" w:cs="Times New Roman"/>
          <w:i/>
          <w:iCs/>
          <w:sz w:val="20"/>
          <w:szCs w:val="16"/>
          <w:lang w:val="fr-BE" w:eastAsia="en-IE"/>
        </w:rPr>
        <w:t xml:space="preserve">. </w:t>
      </w:r>
      <w:r w:rsidRPr="001F7B82">
        <w:rPr>
          <w:rFonts w:ascii="Times New Roman" w:eastAsia="Times New Roman" w:hAnsi="Times New Roman" w:cs="Times New Roman"/>
          <w:i/>
          <w:iCs/>
          <w:sz w:val="20"/>
          <w:szCs w:val="16"/>
          <w:lang w:val="fr-BE" w:eastAsia="en-IE"/>
        </w:rPr>
        <w:t>Si, certes, conformément à l’article 8, paragraphe 3, de la directive 98/34, les États membres communiquent sans délai à la Commission le texte définitif d’une règle technique, l’absence de communication d’une modification non significative d’une telle règle préalablement à l’adoption de celle-ci n’affecte pas, en l’absence d’une obligation de notification préalable, l’applicabilité de cette règle. »</w:t>
      </w:r>
    </w:p>
    <w:p w14:paraId="56651A14" w14:textId="77777777" w:rsidR="007925D9" w:rsidRDefault="007925D9" w:rsidP="00AA4F20">
      <w:pPr>
        <w:widowControl w:val="0"/>
        <w:tabs>
          <w:tab w:val="left" w:pos="461"/>
        </w:tabs>
        <w:autoSpaceDE w:val="0"/>
        <w:autoSpaceDN w:val="0"/>
        <w:spacing w:after="0" w:line="240" w:lineRule="auto"/>
        <w:jc w:val="both"/>
        <w:rPr>
          <w:rFonts w:ascii="Times New Roman" w:eastAsia="Times New Roman" w:hAnsi="Times New Roman" w:cs="Times New Roman"/>
          <w:sz w:val="20"/>
          <w:szCs w:val="16"/>
          <w:lang w:val="fr-BE" w:eastAsia="en-IE"/>
        </w:rPr>
      </w:pPr>
    </w:p>
    <w:p w14:paraId="595AF62A" w14:textId="5DA19858" w:rsidR="007925D9" w:rsidRPr="001F7B8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5" w:history="1">
        <w:r w:rsidR="007925D9" w:rsidRPr="001F7B82">
          <w:rPr>
            <w:rFonts w:ascii="Times New Roman" w:eastAsia="Times New Roman" w:hAnsi="Times New Roman" w:cs="Times New Roman"/>
            <w:b/>
            <w:i/>
            <w:color w:val="0000FF"/>
            <w:szCs w:val="20"/>
            <w:u w:val="single"/>
            <w:lang w:val="fr" w:eastAsia="en-IE"/>
          </w:rPr>
          <w:t>Arrêt du 31 janvier 2013</w:t>
        </w:r>
      </w:hyperlink>
      <w:r w:rsidR="007925D9" w:rsidRPr="001F7B82">
        <w:rPr>
          <w:rFonts w:ascii="Times New Roman" w:eastAsia="Times New Roman" w:hAnsi="Times New Roman" w:cs="Times New Roman"/>
          <w:b/>
          <w:i/>
          <w:szCs w:val="20"/>
          <w:lang w:val="fr" w:eastAsia="en-IE"/>
        </w:rPr>
        <w:t xml:space="preserve">, </w:t>
      </w:r>
      <w:proofErr w:type="spellStart"/>
      <w:r w:rsidR="00745699" w:rsidRPr="001F7B82">
        <w:rPr>
          <w:rFonts w:ascii="Times New Roman" w:eastAsia="Times New Roman" w:hAnsi="Times New Roman" w:cs="Times New Roman"/>
          <w:b/>
          <w:i/>
          <w:szCs w:val="20"/>
          <w:lang w:val="fr" w:eastAsia="en-IE"/>
        </w:rPr>
        <w:t>Belgische</w:t>
      </w:r>
      <w:proofErr w:type="spellEnd"/>
      <w:r w:rsidR="00745699" w:rsidRPr="001F7B82">
        <w:rPr>
          <w:rFonts w:ascii="Times New Roman" w:eastAsia="Times New Roman" w:hAnsi="Times New Roman" w:cs="Times New Roman"/>
          <w:b/>
          <w:i/>
          <w:szCs w:val="20"/>
          <w:lang w:val="fr" w:eastAsia="en-IE"/>
        </w:rPr>
        <w:t xml:space="preserve"> Petroleum Unie e.a., </w:t>
      </w:r>
      <w:r w:rsidR="007925D9" w:rsidRPr="001F7B82">
        <w:rPr>
          <w:rFonts w:ascii="Times New Roman" w:eastAsia="Times New Roman" w:hAnsi="Times New Roman" w:cs="Times New Roman"/>
          <w:b/>
          <w:i/>
          <w:szCs w:val="20"/>
          <w:lang w:val="fr" w:eastAsia="en-IE"/>
        </w:rPr>
        <w:t>C-26/11, EU:C:2013:44, points 56 et 57</w:t>
      </w:r>
    </w:p>
    <w:p w14:paraId="11A28652" w14:textId="77777777" w:rsidR="007925D9" w:rsidRPr="001F7B82"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307C232" w14:textId="58570F78" w:rsidR="007925D9" w:rsidRPr="001F7B82" w:rsidRDefault="007925D9" w:rsidP="00AA4F20">
      <w:pPr>
        <w:widowControl w:val="0"/>
        <w:tabs>
          <w:tab w:val="left" w:pos="412"/>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La directive</w:t>
      </w:r>
      <w:r w:rsidRPr="001F7B82">
        <w:rPr>
          <w:rFonts w:ascii="Times New Roman" w:eastAsia="Times New Roman" w:hAnsi="Times New Roman" w:cs="Times New Roman"/>
          <w:szCs w:val="20"/>
          <w:lang w:val="fr" w:eastAsia="en-IE"/>
        </w:rPr>
        <w:t xml:space="preserve"> n’impose pas la </w:t>
      </w:r>
      <w:r w:rsidR="00EA6994">
        <w:rPr>
          <w:rFonts w:ascii="Times New Roman" w:eastAsia="Times New Roman" w:hAnsi="Times New Roman" w:cs="Times New Roman"/>
          <w:szCs w:val="20"/>
          <w:lang w:val="fr" w:eastAsia="en-IE"/>
        </w:rPr>
        <w:t>re-</w:t>
      </w:r>
      <w:r w:rsidRPr="001F7B82">
        <w:rPr>
          <w:rFonts w:ascii="Times New Roman" w:eastAsia="Times New Roman" w:hAnsi="Times New Roman" w:cs="Times New Roman"/>
          <w:szCs w:val="20"/>
          <w:lang w:val="fr" w:eastAsia="en-IE"/>
        </w:rPr>
        <w:t>notification d’un projet de législation nationale lorsque, après avoir été notifié, le projet a été modifié pour tenir compte des observations de la Commission à son égard et que le projet modifié a ensuite été communiqué à la Commission.</w:t>
      </w:r>
    </w:p>
    <w:p w14:paraId="7BB1B9CC" w14:textId="77777777" w:rsidR="007925D9" w:rsidRPr="001F7B82" w:rsidRDefault="007925D9" w:rsidP="00AA4F20">
      <w:pPr>
        <w:widowControl w:val="0"/>
        <w:tabs>
          <w:tab w:val="left" w:pos="412"/>
        </w:tabs>
        <w:autoSpaceDE w:val="0"/>
        <w:autoSpaceDN w:val="0"/>
        <w:spacing w:after="0" w:line="240" w:lineRule="auto"/>
        <w:jc w:val="both"/>
        <w:rPr>
          <w:rFonts w:ascii="Times New Roman" w:eastAsia="Times New Roman" w:hAnsi="Times New Roman" w:cs="Times New Roman"/>
          <w:szCs w:val="20"/>
          <w:lang w:val="fr" w:eastAsia="en-IE"/>
        </w:rPr>
      </w:pPr>
    </w:p>
    <w:p w14:paraId="6C31CBCE" w14:textId="52AD8CFE" w:rsidR="007925D9" w:rsidRPr="001F7B82" w:rsidRDefault="007925D9" w:rsidP="00AA4F20">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83" w:name="point56"/>
      <w:r w:rsidRPr="001F7B82">
        <w:rPr>
          <w:rFonts w:ascii="Times New Roman" w:eastAsia="Times New Roman" w:hAnsi="Times New Roman" w:cs="Times New Roman"/>
          <w:i/>
          <w:iCs/>
          <w:sz w:val="20"/>
          <w:szCs w:val="16"/>
          <w:lang w:val="fr-BE" w:eastAsia="en-IE"/>
        </w:rPr>
        <w:t>« 56</w:t>
      </w:r>
      <w:bookmarkEnd w:id="83"/>
      <w:r w:rsidR="005C053F">
        <w:rPr>
          <w:rFonts w:ascii="Times New Roman" w:eastAsia="Times New Roman" w:hAnsi="Times New Roman" w:cs="Times New Roman"/>
          <w:i/>
          <w:iCs/>
          <w:sz w:val="20"/>
          <w:szCs w:val="16"/>
          <w:lang w:val="fr-BE" w:eastAsia="en-IE"/>
        </w:rPr>
        <w:t xml:space="preserve">. </w:t>
      </w:r>
      <w:r w:rsidR="00EB5792">
        <w:rPr>
          <w:rFonts w:ascii="Times New Roman" w:eastAsia="Times New Roman" w:hAnsi="Times New Roman" w:cs="Times New Roman"/>
          <w:i/>
          <w:iCs/>
          <w:sz w:val="20"/>
          <w:szCs w:val="16"/>
          <w:lang w:val="fr-BE" w:eastAsia="en-IE"/>
        </w:rPr>
        <w:t>[…]</w:t>
      </w:r>
      <w:r w:rsidRPr="001F7B82">
        <w:rPr>
          <w:rFonts w:ascii="Times New Roman" w:eastAsia="Times New Roman" w:hAnsi="Times New Roman" w:cs="Times New Roman"/>
          <w:i/>
          <w:iCs/>
          <w:sz w:val="20"/>
          <w:szCs w:val="16"/>
          <w:lang w:val="fr-BE" w:eastAsia="en-IE"/>
        </w:rPr>
        <w:t xml:space="preserve"> le Royaume de Belgique s’est limité à modifier les dispositions d’un projet de réglementation, conformément à une demande de la Commission en vue d’éliminer une entrave aux échanges, de sorte que, en vertu de l’article 10, paragraphe 1, dernier tiret, de la directive 98/34, l’obligation de notification prévue à l’article 8, paragraphe 1, premier alinéa, de cette directive n’est pas applicable au projet de loi sur l’obligation d’incorporation.</w:t>
      </w:r>
    </w:p>
    <w:p w14:paraId="4D64920D" w14:textId="77777777" w:rsidR="007925D9" w:rsidRPr="001F7B82" w:rsidRDefault="007925D9" w:rsidP="00AA4F20">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643CC13" w14:textId="0BF9208B" w:rsidR="007925D9" w:rsidRPr="001F7B82" w:rsidRDefault="007925D9" w:rsidP="00AA4F20">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84" w:name="point57"/>
      <w:r w:rsidRPr="001F7B82">
        <w:rPr>
          <w:rFonts w:ascii="Times New Roman" w:eastAsia="Times New Roman" w:hAnsi="Times New Roman" w:cs="Times New Roman"/>
          <w:i/>
          <w:iCs/>
          <w:sz w:val="20"/>
          <w:szCs w:val="16"/>
          <w:lang w:val="fr-BE" w:eastAsia="en-IE"/>
        </w:rPr>
        <w:t>57</w:t>
      </w:r>
      <w:bookmarkEnd w:id="84"/>
      <w:r w:rsidR="005C053F">
        <w:rPr>
          <w:rFonts w:ascii="Times New Roman" w:eastAsia="Times New Roman" w:hAnsi="Times New Roman" w:cs="Times New Roman"/>
          <w:i/>
          <w:iCs/>
          <w:sz w:val="20"/>
          <w:szCs w:val="16"/>
          <w:lang w:val="fr-BE" w:eastAsia="en-IE"/>
        </w:rPr>
        <w:t>.</w:t>
      </w:r>
      <w:r w:rsidRPr="001F7B82">
        <w:rPr>
          <w:rFonts w:ascii="Times New Roman" w:eastAsia="Times New Roman" w:hAnsi="Times New Roman" w:cs="Times New Roman"/>
          <w:i/>
          <w:iCs/>
          <w:sz w:val="20"/>
          <w:szCs w:val="16"/>
          <w:lang w:val="fr-BE" w:eastAsia="en-IE"/>
        </w:rPr>
        <w:t> Dans ces conditions, il y a lieu de répondre à la seconde question que l’article 8 de la directive 98/34, lu en combinaison avec l’article 10, paragraphe 1, dernier tiret, de cette directive doit être interprété en ce sens qu’il n’impose pas la notification d’un projet de réglementation nationale obligeant les sociétés pétrolières mettant sur le marché de l’essence et/ou des carburants diesel de mettre également sur le marché, au cours d’une même année civile, certains pourcentages de biocarburants, lorsque, après avoir été notifié en application dudit article 8, paragraphe 1, premier alinéa, ce projet a été modifié afin de tenir compte des observations de la Commission relatives à ce dernier et que le projet ainsi modifié a ensuite été communiqué à celle-ci. »</w:t>
      </w:r>
    </w:p>
    <w:p w14:paraId="236E4111" w14:textId="77777777" w:rsidR="007925D9" w:rsidRDefault="007925D9" w:rsidP="00AA4F20">
      <w:pPr>
        <w:widowControl w:val="0"/>
        <w:tabs>
          <w:tab w:val="left" w:pos="461"/>
        </w:tabs>
        <w:autoSpaceDE w:val="0"/>
        <w:autoSpaceDN w:val="0"/>
        <w:spacing w:after="0" w:line="240" w:lineRule="auto"/>
        <w:jc w:val="both"/>
        <w:rPr>
          <w:rFonts w:ascii="Times New Roman" w:eastAsia="Times New Roman" w:hAnsi="Times New Roman" w:cs="Times New Roman"/>
          <w:sz w:val="20"/>
          <w:szCs w:val="16"/>
          <w:lang w:val="fr-BE" w:eastAsia="en-IE"/>
        </w:rPr>
      </w:pPr>
    </w:p>
    <w:p w14:paraId="43993F44" w14:textId="395F0D80" w:rsidR="007925D9" w:rsidRPr="001F7B8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6" w:history="1">
        <w:r w:rsidR="007925D9" w:rsidRPr="001F7B82">
          <w:rPr>
            <w:rFonts w:ascii="Times New Roman" w:eastAsia="Times New Roman" w:hAnsi="Times New Roman" w:cs="Times New Roman"/>
            <w:b/>
            <w:i/>
            <w:color w:val="0000FF"/>
            <w:szCs w:val="20"/>
            <w:u w:val="single"/>
            <w:lang w:val="fr" w:eastAsia="en-IE"/>
          </w:rPr>
          <w:t>Arrêt du 10 juillet 2014,</w:t>
        </w:r>
      </w:hyperlink>
      <w:r w:rsidR="007925D9" w:rsidRPr="001F7B82">
        <w:rPr>
          <w:rFonts w:ascii="Times New Roman" w:eastAsia="Times New Roman" w:hAnsi="Times New Roman" w:cs="Times New Roman"/>
          <w:b/>
          <w:i/>
          <w:szCs w:val="20"/>
          <w:lang w:val="fr" w:eastAsia="en-IE"/>
        </w:rPr>
        <w:t xml:space="preserve"> </w:t>
      </w:r>
      <w:proofErr w:type="spellStart"/>
      <w:r w:rsidR="00745699" w:rsidRPr="001F7B82">
        <w:rPr>
          <w:rFonts w:ascii="Times New Roman" w:eastAsia="Times New Roman" w:hAnsi="Times New Roman" w:cs="Times New Roman"/>
          <w:b/>
          <w:i/>
          <w:szCs w:val="20"/>
          <w:lang w:val="fr" w:eastAsia="en-IE"/>
        </w:rPr>
        <w:t>Ivansson</w:t>
      </w:r>
      <w:proofErr w:type="spellEnd"/>
      <w:r w:rsidR="00745699" w:rsidRPr="001F7B82">
        <w:rPr>
          <w:rFonts w:ascii="Times New Roman" w:eastAsia="Times New Roman" w:hAnsi="Times New Roman" w:cs="Times New Roman"/>
          <w:b/>
          <w:i/>
          <w:szCs w:val="20"/>
          <w:lang w:val="fr" w:eastAsia="en-IE"/>
        </w:rPr>
        <w:t xml:space="preserve"> </w:t>
      </w:r>
      <w:proofErr w:type="spellStart"/>
      <w:r w:rsidR="00745699" w:rsidRPr="001F7B82">
        <w:rPr>
          <w:rFonts w:ascii="Times New Roman" w:eastAsia="Times New Roman" w:hAnsi="Times New Roman" w:cs="Times New Roman"/>
          <w:b/>
          <w:i/>
          <w:szCs w:val="20"/>
          <w:lang w:val="fr" w:eastAsia="en-IE"/>
        </w:rPr>
        <w:t>e.a</w:t>
      </w:r>
      <w:proofErr w:type="spellEnd"/>
      <w:r w:rsidR="00745699" w:rsidRPr="001F7B82">
        <w:rPr>
          <w:rFonts w:ascii="Times New Roman" w:eastAsia="Times New Roman" w:hAnsi="Times New Roman" w:cs="Times New Roman"/>
          <w:sz w:val="25"/>
          <w:szCs w:val="20"/>
          <w:lang w:val="fr" w:eastAsia="en-IE"/>
        </w:rPr>
        <w:t>,</w:t>
      </w:r>
      <w:r w:rsidR="00745699" w:rsidRPr="001F7B82">
        <w:rPr>
          <w:rFonts w:ascii="Times New Roman" w:eastAsia="Times New Roman" w:hAnsi="Times New Roman" w:cs="Times New Roman"/>
          <w:b/>
          <w:i/>
          <w:szCs w:val="20"/>
          <w:lang w:val="fr" w:eastAsia="en-IE"/>
        </w:rPr>
        <w:t xml:space="preserve"> </w:t>
      </w:r>
      <w:r w:rsidR="007925D9" w:rsidRPr="001F7B82">
        <w:rPr>
          <w:rFonts w:ascii="Times New Roman" w:eastAsia="Times New Roman" w:hAnsi="Times New Roman" w:cs="Times New Roman"/>
          <w:b/>
          <w:i/>
          <w:szCs w:val="20"/>
          <w:lang w:val="fr" w:eastAsia="en-IE"/>
        </w:rPr>
        <w:t>C-307/13, EU:C:2014:2058, points 4</w:t>
      </w:r>
      <w:r w:rsidR="007925D9">
        <w:rPr>
          <w:rFonts w:ascii="Times New Roman" w:eastAsia="Times New Roman" w:hAnsi="Times New Roman" w:cs="Times New Roman"/>
          <w:b/>
          <w:i/>
          <w:szCs w:val="20"/>
          <w:lang w:val="fr" w:eastAsia="en-IE"/>
        </w:rPr>
        <w:t>8</w:t>
      </w:r>
      <w:r w:rsidR="007925D9" w:rsidRPr="001F7B82">
        <w:rPr>
          <w:rFonts w:ascii="Times New Roman" w:eastAsia="Times New Roman" w:hAnsi="Times New Roman" w:cs="Times New Roman"/>
          <w:b/>
          <w:i/>
          <w:szCs w:val="20"/>
          <w:lang w:val="fr" w:eastAsia="en-IE"/>
        </w:rPr>
        <w:t xml:space="preserve"> à 50</w:t>
      </w:r>
    </w:p>
    <w:p w14:paraId="691CE479" w14:textId="77777777" w:rsidR="007925D9" w:rsidRPr="001F7B82" w:rsidRDefault="007925D9" w:rsidP="00AA4F20">
      <w:pPr>
        <w:widowControl w:val="0"/>
        <w:autoSpaceDE w:val="0"/>
        <w:autoSpaceDN w:val="0"/>
        <w:spacing w:after="0" w:line="240" w:lineRule="auto"/>
        <w:ind w:hanging="142"/>
        <w:jc w:val="both"/>
        <w:rPr>
          <w:rFonts w:ascii="Times New Roman" w:eastAsia="Times New Roman" w:hAnsi="Times New Roman" w:cs="Times New Roman"/>
          <w:szCs w:val="20"/>
          <w:lang w:val="fr" w:eastAsia="en-IE"/>
        </w:rPr>
      </w:pPr>
    </w:p>
    <w:p w14:paraId="1475EED2" w14:textId="77777777" w:rsidR="007925D9" w:rsidRPr="001F7B82" w:rsidRDefault="007925D9" w:rsidP="00AA4F20">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lang w:val="fr" w:eastAsia="en-IE"/>
        </w:rPr>
      </w:pPr>
      <w:r w:rsidRPr="001F7B82">
        <w:rPr>
          <w:rFonts w:ascii="Times New Roman" w:eastAsia="Times New Roman" w:hAnsi="Times New Roman" w:cs="Times New Roman"/>
          <w:szCs w:val="20"/>
          <w:lang w:val="fr" w:eastAsia="en-IE"/>
        </w:rPr>
        <w:lastRenderedPageBreak/>
        <w:t>Toute modification significative du calendrier de mise en œuvre d’une mesure nationale, notamment un raccourcissement important, doit être communiquée à la Commissio</w:t>
      </w:r>
      <w:r>
        <w:rPr>
          <w:rFonts w:ascii="Times New Roman" w:eastAsia="Times New Roman" w:hAnsi="Times New Roman" w:cs="Times New Roman"/>
          <w:szCs w:val="20"/>
          <w:lang w:val="fr" w:eastAsia="en-IE"/>
        </w:rPr>
        <w:t>n</w:t>
      </w:r>
      <w:r w:rsidRPr="001F7B82">
        <w:rPr>
          <w:rFonts w:ascii="Times New Roman" w:eastAsia="Times New Roman" w:hAnsi="Times New Roman" w:cs="Times New Roman"/>
          <w:szCs w:val="20"/>
          <w:lang w:val="fr" w:eastAsia="en-IE"/>
        </w:rPr>
        <w:t>. L’absence de cette communication rendrait la mesure inapplicable et inopposable aux particuliers.</w:t>
      </w:r>
    </w:p>
    <w:p w14:paraId="0B57A13E" w14:textId="77777777" w:rsidR="007925D9" w:rsidRPr="001F7B82" w:rsidRDefault="007925D9" w:rsidP="00AA4F20">
      <w:pPr>
        <w:widowControl w:val="0"/>
        <w:autoSpaceDE w:val="0"/>
        <w:autoSpaceDN w:val="0"/>
        <w:spacing w:after="0" w:line="240" w:lineRule="auto"/>
        <w:ind w:hanging="142"/>
        <w:jc w:val="both"/>
        <w:rPr>
          <w:rFonts w:ascii="Times New Roman" w:eastAsia="Times New Roman" w:hAnsi="Times New Roman" w:cs="Times New Roman"/>
          <w:szCs w:val="20"/>
          <w:lang w:val="fr" w:eastAsia="en-IE"/>
        </w:rPr>
      </w:pPr>
    </w:p>
    <w:p w14:paraId="3BD18EC8" w14:textId="6F6234A2" w:rsidR="007925D9" w:rsidRPr="001F7B82" w:rsidRDefault="007925D9"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BE" w:eastAsia="en-IE"/>
        </w:rPr>
        <w:t>« </w:t>
      </w:r>
      <w:r w:rsidR="00EB5792">
        <w:rPr>
          <w:rFonts w:ascii="Times New Roman" w:eastAsia="Times New Roman" w:hAnsi="Times New Roman" w:cs="Times New Roman"/>
          <w:i/>
          <w:iCs/>
          <w:sz w:val="20"/>
          <w:szCs w:val="16"/>
          <w:lang w:val="fr-BE" w:eastAsia="en-IE"/>
        </w:rPr>
        <w:t>48</w:t>
      </w:r>
      <w:r w:rsidR="005C053F">
        <w:rPr>
          <w:rFonts w:ascii="Times New Roman" w:eastAsia="Times New Roman" w:hAnsi="Times New Roman" w:cs="Times New Roman"/>
          <w:i/>
          <w:iCs/>
          <w:sz w:val="20"/>
          <w:szCs w:val="16"/>
          <w:lang w:val="fr-BE" w:eastAsia="en-IE"/>
        </w:rPr>
        <w:t>.</w:t>
      </w:r>
      <w:r w:rsidR="00EB5792">
        <w:rPr>
          <w:rFonts w:ascii="Times New Roman" w:eastAsia="Times New Roman" w:hAnsi="Times New Roman" w:cs="Times New Roman"/>
          <w:i/>
          <w:iCs/>
          <w:sz w:val="20"/>
          <w:szCs w:val="16"/>
          <w:lang w:val="fr-BE" w:eastAsia="en-IE"/>
        </w:rPr>
        <w:t xml:space="preserve"> […]</w:t>
      </w:r>
      <w:r w:rsidRPr="001F7B82">
        <w:rPr>
          <w:rFonts w:ascii="Times New Roman" w:eastAsia="Times New Roman" w:hAnsi="Times New Roman" w:cs="Times New Roman"/>
          <w:i/>
          <w:iCs/>
          <w:sz w:val="20"/>
          <w:szCs w:val="16"/>
          <w:lang w:val="fr-BE" w:eastAsia="en-IE"/>
        </w:rPr>
        <w:t xml:space="preserve"> il convient de rappeler que la Cour a jugé que la méconnaissance de l’obligation de notification à la Commission constitue un vice de procédure dans l’adoption des règles techniques concernées et entraîne l’inapplicabilité de ces règles techniques, de telle sorte qu’elles ne peuvent pas être opposées aux particuliers (voir, notamment, arrêts CIA Security International, C</w:t>
      </w:r>
      <w:r w:rsidRPr="001F7B82">
        <w:rPr>
          <w:rFonts w:ascii="Times New Roman" w:eastAsia="Times New Roman" w:hAnsi="Times New Roman" w:cs="Times New Roman"/>
          <w:i/>
          <w:iCs/>
          <w:sz w:val="20"/>
          <w:szCs w:val="16"/>
          <w:lang w:val="fr-BE" w:eastAsia="en-IE"/>
        </w:rPr>
        <w:noBreakHyphen/>
        <w:t xml:space="preserve">194/94, EU:C:1996:172, point 54, et </w:t>
      </w:r>
      <w:proofErr w:type="spellStart"/>
      <w:r w:rsidRPr="001F7B82">
        <w:rPr>
          <w:rFonts w:ascii="Times New Roman" w:eastAsia="Times New Roman" w:hAnsi="Times New Roman" w:cs="Times New Roman"/>
          <w:i/>
          <w:iCs/>
          <w:sz w:val="20"/>
          <w:szCs w:val="16"/>
          <w:lang w:val="fr-BE" w:eastAsia="en-IE"/>
        </w:rPr>
        <w:t>Schwibbert</w:t>
      </w:r>
      <w:proofErr w:type="spellEnd"/>
      <w:r w:rsidRPr="001F7B82">
        <w:rPr>
          <w:rFonts w:ascii="Times New Roman" w:eastAsia="Times New Roman" w:hAnsi="Times New Roman" w:cs="Times New Roman"/>
          <w:i/>
          <w:iCs/>
          <w:sz w:val="20"/>
          <w:szCs w:val="16"/>
          <w:lang w:val="fr-BE" w:eastAsia="en-IE"/>
        </w:rPr>
        <w:t>, C</w:t>
      </w:r>
      <w:r w:rsidRPr="001F7B82">
        <w:rPr>
          <w:rFonts w:ascii="Times New Roman" w:eastAsia="Times New Roman" w:hAnsi="Times New Roman" w:cs="Times New Roman"/>
          <w:i/>
          <w:iCs/>
          <w:sz w:val="20"/>
          <w:szCs w:val="16"/>
          <w:lang w:val="fr-BE" w:eastAsia="en-IE"/>
        </w:rPr>
        <w:noBreakHyphen/>
        <w:t xml:space="preserve">20/05, EU:C:2007:652, point 44). Les particuliers peuvent se prévaloir de cette inapplicabilité devant le juge national, auquel il incombe de refuser d’appliquer une règle technique nationale qui n’a pas été notifiée conformément à la directive 98/34 (voir, notamment, arrêt </w:t>
      </w:r>
      <w:proofErr w:type="spellStart"/>
      <w:r w:rsidRPr="001F7B82">
        <w:rPr>
          <w:rFonts w:ascii="Times New Roman" w:eastAsia="Times New Roman" w:hAnsi="Times New Roman" w:cs="Times New Roman"/>
          <w:i/>
          <w:iCs/>
          <w:sz w:val="20"/>
          <w:szCs w:val="16"/>
          <w:lang w:val="fr-BE" w:eastAsia="en-IE"/>
        </w:rPr>
        <w:t>Schwibbert</w:t>
      </w:r>
      <w:proofErr w:type="spellEnd"/>
      <w:r w:rsidRPr="001F7B82">
        <w:rPr>
          <w:rFonts w:ascii="Times New Roman" w:eastAsia="Times New Roman" w:hAnsi="Times New Roman" w:cs="Times New Roman"/>
          <w:i/>
          <w:iCs/>
          <w:sz w:val="20"/>
          <w:szCs w:val="16"/>
          <w:lang w:val="fr-BE" w:eastAsia="en-IE"/>
        </w:rPr>
        <w:t>, EU:C:2007:652, point 44 et jurisprudence citée).</w:t>
      </w:r>
    </w:p>
    <w:p w14:paraId="715F5E87" w14:textId="77777777" w:rsidR="007925D9" w:rsidRPr="001F7B82" w:rsidRDefault="007925D9"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2BA5302" w14:textId="3DABABFA" w:rsidR="007925D9" w:rsidRPr="001F7B82" w:rsidRDefault="007925D9"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BE" w:eastAsia="en-IE"/>
        </w:rPr>
        <w:t>49</w:t>
      </w:r>
      <w:r w:rsidR="005C053F">
        <w:rPr>
          <w:rFonts w:ascii="Times New Roman" w:eastAsia="Times New Roman" w:hAnsi="Times New Roman" w:cs="Times New Roman"/>
          <w:i/>
          <w:iCs/>
          <w:sz w:val="20"/>
          <w:szCs w:val="16"/>
          <w:lang w:val="fr-BE" w:eastAsia="en-IE"/>
        </w:rPr>
        <w:t>.</w:t>
      </w:r>
      <w:r w:rsidRPr="001F7B82">
        <w:rPr>
          <w:rFonts w:ascii="Times New Roman" w:eastAsia="Times New Roman" w:hAnsi="Times New Roman" w:cs="Times New Roman"/>
          <w:i/>
          <w:iCs/>
          <w:sz w:val="20"/>
          <w:szCs w:val="16"/>
          <w:lang w:val="fr-BE" w:eastAsia="en-IE"/>
        </w:rPr>
        <w:t> Il s’ensuit que, dans l’hypothèse où la notification à la Commission de l’article 9 du décret (1988:539) comportait effectivement la date du 1</w:t>
      </w:r>
      <w:r w:rsidRPr="001F7B82">
        <w:rPr>
          <w:rFonts w:ascii="Times New Roman" w:eastAsia="Times New Roman" w:hAnsi="Times New Roman" w:cs="Times New Roman"/>
          <w:i/>
          <w:iCs/>
          <w:sz w:val="20"/>
          <w:szCs w:val="16"/>
          <w:vertAlign w:val="superscript"/>
          <w:lang w:val="fr-BE" w:eastAsia="en-IE"/>
        </w:rPr>
        <w:t>er</w:t>
      </w:r>
      <w:r w:rsidRPr="001F7B82">
        <w:rPr>
          <w:rFonts w:ascii="Times New Roman" w:eastAsia="Times New Roman" w:hAnsi="Times New Roman" w:cs="Times New Roman"/>
          <w:i/>
          <w:iCs/>
          <w:sz w:val="20"/>
          <w:szCs w:val="16"/>
          <w:lang w:val="fr-BE" w:eastAsia="en-IE"/>
        </w:rPr>
        <w:t> mai 2003 comme date d’entrée en vigueur et que le raccourcissement de son calendrier d’application au 15 avril de la même année revêtait un caractère significatif, l’absence de nouvelle communication de ladite disposition nationale à la Commission rendait celle-ci inopposable aux défendeurs au principal.</w:t>
      </w:r>
    </w:p>
    <w:p w14:paraId="710F5834" w14:textId="77777777" w:rsidR="007925D9" w:rsidRPr="001F7B82" w:rsidRDefault="007925D9" w:rsidP="00AA4F20">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3AB0452" w14:textId="1FCC9D36" w:rsidR="00DC2D31" w:rsidRPr="001F7B82" w:rsidRDefault="007925D9" w:rsidP="009752CD">
      <w:pPr>
        <w:widowControl w:val="0"/>
        <w:tabs>
          <w:tab w:val="left" w:pos="396"/>
          <w:tab w:val="left" w:pos="407"/>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85" w:name="point50"/>
      <w:r w:rsidRPr="001F7B82">
        <w:rPr>
          <w:rFonts w:ascii="Times New Roman" w:eastAsia="Times New Roman" w:hAnsi="Times New Roman" w:cs="Times New Roman"/>
          <w:i/>
          <w:iCs/>
          <w:sz w:val="20"/>
          <w:szCs w:val="16"/>
          <w:lang w:val="fr-BE" w:eastAsia="en-IE"/>
        </w:rPr>
        <w:t>50</w:t>
      </w:r>
      <w:bookmarkEnd w:id="85"/>
      <w:r w:rsidR="005C053F">
        <w:rPr>
          <w:rFonts w:ascii="Times New Roman" w:eastAsia="Times New Roman" w:hAnsi="Times New Roman" w:cs="Times New Roman"/>
          <w:i/>
          <w:iCs/>
          <w:sz w:val="20"/>
          <w:szCs w:val="16"/>
          <w:lang w:val="fr-BE" w:eastAsia="en-IE"/>
        </w:rPr>
        <w:t xml:space="preserve">. </w:t>
      </w:r>
      <w:r w:rsidRPr="001F7B82">
        <w:rPr>
          <w:rFonts w:ascii="Times New Roman" w:eastAsia="Times New Roman" w:hAnsi="Times New Roman" w:cs="Times New Roman"/>
          <w:i/>
          <w:iCs/>
          <w:sz w:val="20"/>
          <w:szCs w:val="16"/>
          <w:lang w:val="fr-BE" w:eastAsia="en-IE"/>
        </w:rPr>
        <w:t>Il convient par conséquent de répondre à la seconde question que, dans l’hypothèse où le raccourcissement du calendrier d’application d’une règle technique nationale se trouve soumis à l’obligation de communication à la Commission, telle que prévue à l’article 8, paragraphe 1, troisième alinéa, de la directive 98/34, l’omission de procéder à une telle notification entraîne l’inapplicabilité de ladite mesure nationale, de telle sorte que celle-ci ne peut être opposée aux particuliers. »</w:t>
      </w:r>
    </w:p>
    <w:p w14:paraId="5BAF695F" w14:textId="151541DB" w:rsidR="004F549F" w:rsidRPr="00F13B3B" w:rsidRDefault="004F549F">
      <w:pPr>
        <w:spacing w:line="278" w:lineRule="auto"/>
        <w:rPr>
          <w:rFonts w:ascii="Times New Roman" w:eastAsia="Times New Roman" w:hAnsi="Times New Roman" w:cs="Times New Roman"/>
          <w:sz w:val="20"/>
          <w:szCs w:val="16"/>
          <w:lang w:val="fr-BE" w:eastAsia="en-IE"/>
        </w:rPr>
      </w:pPr>
      <w:r>
        <w:rPr>
          <w:rFonts w:ascii="Times New Roman" w:hAnsi="Times New Roman" w:cs="Times New Roman"/>
          <w:i/>
          <w:iCs/>
          <w:sz w:val="20"/>
          <w:szCs w:val="20"/>
          <w:lang w:val="fr-FR"/>
        </w:rPr>
        <w:br w:type="page"/>
      </w:r>
    </w:p>
    <w:p w14:paraId="6577BC49" w14:textId="6065BC36" w:rsidR="000F7DA5" w:rsidRPr="00745699" w:rsidRDefault="009A64A8" w:rsidP="002C17AE">
      <w:pPr>
        <w:pStyle w:val="Heading1"/>
        <w:spacing w:before="0" w:after="0"/>
        <w:jc w:val="center"/>
        <w:rPr>
          <w:color w:val="auto"/>
          <w:sz w:val="20"/>
          <w:szCs w:val="20"/>
          <w:lang w:val="fr-FR"/>
        </w:rPr>
      </w:pPr>
      <w:bookmarkStart w:id="86" w:name="_Ref195517367"/>
      <w:bookmarkStart w:id="87" w:name="_Toc203035391"/>
      <w:r>
        <w:rPr>
          <w:color w:val="auto"/>
          <w:lang w:val="fr-FR"/>
        </w:rPr>
        <w:lastRenderedPageBreak/>
        <w:t xml:space="preserve">III. </w:t>
      </w:r>
      <w:r w:rsidR="000F7DA5" w:rsidRPr="00745699">
        <w:rPr>
          <w:color w:val="auto"/>
          <w:lang w:val="fr-FR"/>
        </w:rPr>
        <w:t>Exception</w:t>
      </w:r>
      <w:r w:rsidR="00E00CFA" w:rsidRPr="00745699">
        <w:rPr>
          <w:color w:val="auto"/>
          <w:lang w:val="fr-FR"/>
        </w:rPr>
        <w:t>s</w:t>
      </w:r>
      <w:r w:rsidR="000F7DA5" w:rsidRPr="00745699">
        <w:rPr>
          <w:color w:val="auto"/>
          <w:lang w:val="fr-FR"/>
        </w:rPr>
        <w:t xml:space="preserve"> à l’obligation de notification</w:t>
      </w:r>
      <w:bookmarkEnd w:id="86"/>
      <w:bookmarkEnd w:id="87"/>
    </w:p>
    <w:p w14:paraId="5859FE06" w14:textId="77777777" w:rsidR="000F7DA5" w:rsidRDefault="000F7DA5" w:rsidP="002C17AE">
      <w:pPr>
        <w:spacing w:after="0" w:line="240" w:lineRule="auto"/>
        <w:rPr>
          <w:rFonts w:ascii="Times New Roman" w:hAnsi="Times New Roman" w:cs="Times New Roman"/>
          <w:sz w:val="20"/>
          <w:szCs w:val="20"/>
          <w:lang w:val="fr-FR"/>
        </w:rPr>
      </w:pPr>
    </w:p>
    <w:p w14:paraId="0F730AF8" w14:textId="34AC2C63" w:rsidR="000F7DA5" w:rsidRPr="00DC2D31" w:rsidRDefault="009A64A8" w:rsidP="002C17AE">
      <w:pPr>
        <w:pStyle w:val="Heading2"/>
        <w:spacing w:before="0" w:after="0"/>
        <w:jc w:val="center"/>
        <w:rPr>
          <w:color w:val="auto"/>
          <w:lang w:val="fr-BE"/>
        </w:rPr>
      </w:pPr>
      <w:bookmarkStart w:id="88" w:name="_Ref194484715"/>
      <w:bookmarkStart w:id="89" w:name="_Ref194942600"/>
      <w:bookmarkStart w:id="90" w:name="_Toc198648994"/>
      <w:bookmarkStart w:id="91" w:name="_Toc203035392"/>
      <w:r w:rsidRPr="00DC2D31">
        <w:rPr>
          <w:color w:val="auto"/>
          <w:lang w:val="fr-BE"/>
        </w:rPr>
        <w:t xml:space="preserve">a. </w:t>
      </w:r>
      <w:r w:rsidR="00E00CFA" w:rsidRPr="00DC2D31">
        <w:rPr>
          <w:color w:val="auto"/>
          <w:lang w:val="fr-BE"/>
        </w:rPr>
        <w:t>T</w:t>
      </w:r>
      <w:r w:rsidR="000F7DA5" w:rsidRPr="00DC2D31">
        <w:rPr>
          <w:color w:val="auto"/>
          <w:lang w:val="fr-BE"/>
        </w:rPr>
        <w:t>ransposition d’acte européen</w:t>
      </w:r>
      <w:bookmarkEnd w:id="88"/>
      <w:bookmarkEnd w:id="89"/>
      <w:bookmarkEnd w:id="90"/>
      <w:bookmarkEnd w:id="91"/>
    </w:p>
    <w:p w14:paraId="4B7876F4" w14:textId="77777777" w:rsidR="000F7DA5" w:rsidRDefault="000F7DA5" w:rsidP="002C17AE">
      <w:pPr>
        <w:pStyle w:val="BodyText"/>
        <w:rPr>
          <w:b/>
          <w:bCs/>
        </w:rPr>
      </w:pPr>
    </w:p>
    <w:p w14:paraId="67784495" w14:textId="16966D7B" w:rsidR="000F7DA5" w:rsidRPr="009C2491" w:rsidRDefault="000F7DA5" w:rsidP="000F7DA5">
      <w:pPr>
        <w:pStyle w:val="BodyText"/>
        <w:ind w:left="567"/>
        <w:rPr>
          <w:i/>
          <w:iCs/>
          <w:lang w:val="fr-BE"/>
        </w:rPr>
      </w:pPr>
      <w:r w:rsidRPr="007C75A4">
        <w:rPr>
          <w:i/>
          <w:iCs/>
        </w:rPr>
        <w:t>« </w:t>
      </w:r>
      <w:r w:rsidRPr="009C2491">
        <w:rPr>
          <w:i/>
          <w:iCs/>
          <w:lang w:val="fr-BE"/>
        </w:rPr>
        <w:t xml:space="preserve">Les articles 5 et 6 </w:t>
      </w:r>
      <w:r w:rsidR="00C14379" w:rsidRPr="00C14379">
        <w:rPr>
          <w:lang w:val="fr-BE"/>
        </w:rPr>
        <w:t>[relatifs à l’obligation de notification et de période de statu quo]</w:t>
      </w:r>
      <w:r w:rsidR="00C14379">
        <w:rPr>
          <w:i/>
          <w:iCs/>
          <w:lang w:val="fr-BE"/>
        </w:rPr>
        <w:t xml:space="preserve"> </w:t>
      </w:r>
      <w:r w:rsidRPr="009C2491">
        <w:rPr>
          <w:i/>
          <w:iCs/>
          <w:lang w:val="fr-BE"/>
        </w:rPr>
        <w:t xml:space="preserve">ne s'appliquent pas aux dispositions législatives, réglementaires et administratives des États membres ou aux accords volontaires par lesquels ces derniers: </w:t>
      </w:r>
    </w:p>
    <w:p w14:paraId="753FC221" w14:textId="3FFD6A22" w:rsidR="000F7DA5" w:rsidRPr="000F7DA5" w:rsidRDefault="000F7DA5" w:rsidP="000F7DA5">
      <w:pPr>
        <w:pStyle w:val="BodyText"/>
        <w:ind w:left="1440"/>
        <w:rPr>
          <w:i/>
          <w:iCs/>
          <w:lang w:val="fr-BE"/>
        </w:rPr>
      </w:pPr>
      <w:r w:rsidRPr="009C2491">
        <w:rPr>
          <w:i/>
          <w:iCs/>
          <w:lang w:val="fr-BE"/>
        </w:rPr>
        <w:t>a) se conforment aux actes contraignants de l'Union qui ont pour effet l'adoption de spécifications techniques ou de règles relatives aux services;</w:t>
      </w:r>
      <w:r>
        <w:rPr>
          <w:i/>
          <w:iCs/>
          <w:lang w:val="fr-BE"/>
        </w:rPr>
        <w:t> »</w:t>
      </w:r>
    </w:p>
    <w:p w14:paraId="2A077376" w14:textId="77777777" w:rsidR="000F7DA5" w:rsidRPr="007C75A4" w:rsidRDefault="000F7DA5" w:rsidP="000F7DA5">
      <w:pPr>
        <w:pStyle w:val="BodyText"/>
        <w:ind w:left="567"/>
        <w:rPr>
          <w:i/>
          <w:iCs/>
        </w:rPr>
      </w:pPr>
    </w:p>
    <w:p w14:paraId="7AE538ED" w14:textId="7F0B6C0E" w:rsidR="000F7DA5" w:rsidRPr="007C75A4" w:rsidRDefault="000F7DA5" w:rsidP="000F7DA5">
      <w:pPr>
        <w:pStyle w:val="BodyText"/>
        <w:jc w:val="right"/>
      </w:pPr>
      <w:r w:rsidRPr="007C75A4">
        <w:t xml:space="preserve">(article </w:t>
      </w:r>
      <w:r>
        <w:t>7</w:t>
      </w:r>
      <w:r w:rsidRPr="007C75A4">
        <w:t xml:space="preserve">, paragraphe 1, </w:t>
      </w:r>
      <w:r w:rsidR="001305B4">
        <w:t>point</w:t>
      </w:r>
      <w:r>
        <w:t xml:space="preserve"> a), </w:t>
      </w:r>
      <w:r w:rsidRPr="007C75A4">
        <w:t xml:space="preserve">de la directive </w:t>
      </w:r>
      <w:r w:rsidR="006C60E5">
        <w:t xml:space="preserve">(UE) </w:t>
      </w:r>
      <w:r w:rsidRPr="007C75A4">
        <w:t>2015/1535)</w:t>
      </w:r>
    </w:p>
    <w:p w14:paraId="7807BF71" w14:textId="77777777" w:rsidR="000F7DA5" w:rsidRDefault="000F7DA5" w:rsidP="000F7DA5">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5C483B06" w14:textId="06D80FA1" w:rsidR="000F7DA5" w:rsidRPr="00242F65"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7" w:history="1">
        <w:r w:rsidR="000F7DA5" w:rsidRPr="00242F65">
          <w:rPr>
            <w:rFonts w:ascii="Times New Roman" w:eastAsia="Times New Roman" w:hAnsi="Times New Roman" w:cs="Times New Roman"/>
            <w:b/>
            <w:i/>
            <w:color w:val="0000FF"/>
            <w:szCs w:val="20"/>
            <w:u w:val="single"/>
            <w:lang w:val="fr" w:eastAsia="en-IE"/>
          </w:rPr>
          <w:t>Arrêt du 17 septembre 1996</w:t>
        </w:r>
      </w:hyperlink>
      <w:r w:rsidR="000F7DA5" w:rsidRPr="00242F65">
        <w:rPr>
          <w:rFonts w:ascii="Times New Roman" w:eastAsia="Times New Roman" w:hAnsi="Times New Roman" w:cs="Times New Roman"/>
          <w:b/>
          <w:i/>
          <w:szCs w:val="20"/>
          <w:lang w:val="fr" w:eastAsia="en-IE"/>
        </w:rPr>
        <w:t xml:space="preserve">, </w:t>
      </w:r>
      <w:r w:rsidR="00745699" w:rsidRPr="00242F65">
        <w:rPr>
          <w:rFonts w:ascii="Times New Roman" w:eastAsia="Times New Roman" w:hAnsi="Times New Roman" w:cs="Times New Roman"/>
          <w:b/>
          <w:i/>
          <w:szCs w:val="20"/>
          <w:lang w:val="fr" w:eastAsia="en-IE"/>
        </w:rPr>
        <w:t xml:space="preserve">Commission/Italie, </w:t>
      </w:r>
      <w:r w:rsidR="000F7DA5" w:rsidRPr="00242F65">
        <w:rPr>
          <w:rFonts w:ascii="Times New Roman" w:eastAsia="Times New Roman" w:hAnsi="Times New Roman" w:cs="Times New Roman"/>
          <w:b/>
          <w:i/>
          <w:szCs w:val="20"/>
          <w:lang w:val="fr" w:eastAsia="en-IE"/>
        </w:rPr>
        <w:t xml:space="preserve">C-289/94, </w:t>
      </w:r>
      <w:r w:rsidR="000F7DA5" w:rsidRPr="007140D1">
        <w:rPr>
          <w:rFonts w:ascii="Times New Roman" w:eastAsia="Times New Roman" w:hAnsi="Times New Roman" w:cs="Times New Roman"/>
          <w:b/>
          <w:i/>
          <w:szCs w:val="20"/>
          <w:lang w:val="fr-BE" w:eastAsia="en-IE"/>
        </w:rPr>
        <w:t>EU:C:1996:330</w:t>
      </w:r>
      <w:r w:rsidR="000F7DA5">
        <w:rPr>
          <w:rFonts w:ascii="Times New Roman" w:eastAsia="Times New Roman" w:hAnsi="Times New Roman" w:cs="Times New Roman"/>
          <w:b/>
          <w:i/>
          <w:szCs w:val="20"/>
          <w:lang w:val="fr-BE" w:eastAsia="en-IE"/>
        </w:rPr>
        <w:t xml:space="preserve">, </w:t>
      </w:r>
      <w:r w:rsidR="000F7DA5" w:rsidRPr="00242F65">
        <w:rPr>
          <w:rFonts w:ascii="Times New Roman" w:eastAsia="Times New Roman" w:hAnsi="Times New Roman" w:cs="Times New Roman"/>
          <w:b/>
          <w:i/>
          <w:szCs w:val="20"/>
          <w:lang w:val="fr" w:eastAsia="en-IE"/>
        </w:rPr>
        <w:t xml:space="preserve">points </w:t>
      </w:r>
      <w:r w:rsidR="000F7DA5">
        <w:rPr>
          <w:rFonts w:ascii="Times New Roman" w:eastAsia="Times New Roman" w:hAnsi="Times New Roman" w:cs="Times New Roman"/>
          <w:b/>
          <w:i/>
          <w:szCs w:val="20"/>
          <w:lang w:val="fr" w:eastAsia="en-IE"/>
        </w:rPr>
        <w:t>43 à 45</w:t>
      </w:r>
    </w:p>
    <w:p w14:paraId="5A0D4173" w14:textId="77777777" w:rsidR="000F7DA5" w:rsidRPr="00242F65" w:rsidRDefault="000F7DA5" w:rsidP="000F7DA5">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lang w:val="fr" w:eastAsia="en-IE"/>
        </w:rPr>
      </w:pPr>
    </w:p>
    <w:p w14:paraId="4994C4AC" w14:textId="06B0EF04" w:rsidR="000F7DA5" w:rsidRPr="00242F65" w:rsidRDefault="000F7DA5" w:rsidP="000F7DA5">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lang w:val="fr" w:eastAsia="en-IE"/>
        </w:rPr>
      </w:pPr>
      <w:r w:rsidRPr="00242F65">
        <w:rPr>
          <w:rFonts w:ascii="Times New Roman" w:eastAsia="Times New Roman" w:hAnsi="Times New Roman" w:cs="Times New Roman"/>
          <w:szCs w:val="20"/>
          <w:lang w:val="fr" w:eastAsia="en-IE"/>
        </w:rPr>
        <w:t xml:space="preserve">Pour qu’une mesure nationale soit considérée comme une mesure </w:t>
      </w:r>
      <w:r w:rsidR="00C14379">
        <w:rPr>
          <w:rFonts w:ascii="Times New Roman" w:eastAsia="Times New Roman" w:hAnsi="Times New Roman" w:cs="Times New Roman"/>
          <w:szCs w:val="20"/>
          <w:lang w:val="fr" w:eastAsia="en-IE"/>
        </w:rPr>
        <w:t>de transposition</w:t>
      </w:r>
      <w:r w:rsidRPr="00242F65">
        <w:rPr>
          <w:rFonts w:ascii="Times New Roman" w:eastAsia="Times New Roman" w:hAnsi="Times New Roman" w:cs="Times New Roman"/>
          <w:szCs w:val="20"/>
          <w:lang w:val="fr" w:eastAsia="en-IE"/>
        </w:rPr>
        <w:t xml:space="preserve"> dispensée de notification, un lien direct avec un acte communautaire contraignant doit être établi. </w:t>
      </w:r>
    </w:p>
    <w:p w14:paraId="6B49E9E7" w14:textId="77777777" w:rsidR="000F7DA5" w:rsidRPr="00242F65" w:rsidRDefault="000F7DA5" w:rsidP="000F7DA5">
      <w:pPr>
        <w:widowControl w:val="0"/>
        <w:tabs>
          <w:tab w:val="left" w:pos="393"/>
          <w:tab w:val="left" w:pos="396"/>
        </w:tabs>
        <w:autoSpaceDE w:val="0"/>
        <w:autoSpaceDN w:val="0"/>
        <w:spacing w:after="0" w:line="240" w:lineRule="auto"/>
        <w:jc w:val="both"/>
        <w:rPr>
          <w:rFonts w:ascii="Times New Roman" w:eastAsia="Times New Roman" w:hAnsi="Times New Roman" w:cs="Times New Roman"/>
          <w:i/>
          <w:iCs/>
          <w:sz w:val="20"/>
          <w:szCs w:val="16"/>
          <w:lang w:val="fr" w:eastAsia="en-IE"/>
        </w:rPr>
      </w:pPr>
    </w:p>
    <w:p w14:paraId="0D9F2095" w14:textId="2ABEAA4F" w:rsidR="000F7DA5" w:rsidRPr="00242F65" w:rsidRDefault="000F7DA5" w:rsidP="000F7DA5">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42F65">
        <w:rPr>
          <w:rFonts w:ascii="Times New Roman" w:eastAsia="Times New Roman" w:hAnsi="Times New Roman" w:cs="Times New Roman"/>
          <w:i/>
          <w:iCs/>
          <w:sz w:val="20"/>
          <w:szCs w:val="16"/>
          <w:lang w:val="fr" w:eastAsia="en-IE"/>
        </w:rPr>
        <w:t>« 43</w:t>
      </w:r>
      <w:r w:rsidR="005C053F">
        <w:rPr>
          <w:rFonts w:ascii="Times New Roman" w:eastAsia="Times New Roman" w:hAnsi="Times New Roman" w:cs="Times New Roman"/>
          <w:i/>
          <w:iCs/>
          <w:sz w:val="20"/>
          <w:szCs w:val="16"/>
          <w:lang w:val="fr" w:eastAsia="en-IE"/>
        </w:rPr>
        <w:t>.</w:t>
      </w:r>
      <w:r w:rsidRPr="00242F65">
        <w:rPr>
          <w:rFonts w:ascii="Times New Roman" w:eastAsia="Times New Roman" w:hAnsi="Times New Roman" w:cs="Times New Roman"/>
          <w:i/>
          <w:iCs/>
          <w:sz w:val="20"/>
          <w:szCs w:val="16"/>
          <w:lang w:val="fr" w:eastAsia="en-IE"/>
        </w:rPr>
        <w:t xml:space="preserve"> </w:t>
      </w:r>
      <w:r>
        <w:rPr>
          <w:rFonts w:ascii="Times New Roman" w:eastAsia="Times New Roman" w:hAnsi="Times New Roman" w:cs="Times New Roman"/>
          <w:i/>
          <w:iCs/>
          <w:sz w:val="20"/>
          <w:szCs w:val="16"/>
          <w:lang w:val="fr" w:eastAsia="en-IE"/>
        </w:rPr>
        <w:t>[…]</w:t>
      </w:r>
      <w:r w:rsidRPr="00242F65">
        <w:rPr>
          <w:rFonts w:ascii="Times New Roman" w:eastAsia="Times New Roman" w:hAnsi="Times New Roman" w:cs="Times New Roman"/>
          <w:i/>
          <w:iCs/>
          <w:sz w:val="20"/>
          <w:szCs w:val="16"/>
          <w:lang w:val="fr" w:eastAsia="en-IE"/>
        </w:rPr>
        <w:t xml:space="preserve"> la directive 91/492 contient des dispositions beaucoup plus larges sur la commercialisation non seulement des mollusques bivalves, mais aussi des gastéropodes marins, des tuniciers et des échinodermes. Elle fixe en effet de nouvelles exigences pour tous les stades de la récolte, de la manipulation, de l'entreposage, du transport et de la distribution des mollusques; elle instaure également un système d'enregistrement et de marquage permettant d'identifier, à des fins sanitaires, l'origine de chaque lot. </w:t>
      </w:r>
    </w:p>
    <w:p w14:paraId="2CB1A9B4" w14:textId="77777777" w:rsidR="000F7DA5" w:rsidRPr="00242F65" w:rsidRDefault="000F7DA5" w:rsidP="000F7DA5">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36C8335C" w14:textId="6F985790" w:rsidR="000F7DA5" w:rsidRPr="00242F65" w:rsidRDefault="000F7DA5" w:rsidP="000F7DA5">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42F65">
        <w:rPr>
          <w:rFonts w:ascii="Times New Roman" w:eastAsia="Times New Roman" w:hAnsi="Times New Roman" w:cs="Times New Roman"/>
          <w:i/>
          <w:iCs/>
          <w:sz w:val="20"/>
          <w:szCs w:val="16"/>
          <w:lang w:val="fr" w:eastAsia="en-IE"/>
        </w:rPr>
        <w:t>44</w:t>
      </w:r>
      <w:r w:rsidR="005C053F">
        <w:rPr>
          <w:rFonts w:ascii="Times New Roman" w:eastAsia="Times New Roman" w:hAnsi="Times New Roman" w:cs="Times New Roman"/>
          <w:i/>
          <w:iCs/>
          <w:sz w:val="20"/>
          <w:szCs w:val="16"/>
          <w:lang w:val="fr" w:eastAsia="en-IE"/>
        </w:rPr>
        <w:t>.</w:t>
      </w:r>
      <w:r w:rsidRPr="00242F65">
        <w:rPr>
          <w:rFonts w:ascii="Times New Roman" w:eastAsia="Times New Roman" w:hAnsi="Times New Roman" w:cs="Times New Roman"/>
          <w:i/>
          <w:iCs/>
          <w:sz w:val="20"/>
          <w:szCs w:val="16"/>
          <w:lang w:val="fr" w:eastAsia="en-IE"/>
        </w:rPr>
        <w:t xml:space="preserve"> De plus, l'absence de lien direct entre la directive 91/492 et les deux décrets en question est corroborée par l'affirmation du gouvernement italien selon laquelle ladite directive a été transposée en droit italien au moyen du décret législatif n° 530 du 30 décembre 1992, précité, qui, selon ses propres affirmations, constitue le texte unique de mise en œuvre de la directive 91/492 et pour lequel la Commission a envoyé, le 27 janvier 1993, un avis circonstancié critiquant ce décret en ce qu'il s'appliquait à une troisième toxine (NSP) non prévue par la directive 91/492. </w:t>
      </w:r>
    </w:p>
    <w:p w14:paraId="39672983" w14:textId="77777777" w:rsidR="000F7DA5" w:rsidRPr="00242F65" w:rsidRDefault="000F7DA5" w:rsidP="000F7DA5">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45B05F4E" w14:textId="4264185D" w:rsidR="000F7DA5" w:rsidRDefault="000F7DA5" w:rsidP="000F7DA5">
      <w:pPr>
        <w:widowControl w:val="0"/>
        <w:tabs>
          <w:tab w:val="left" w:pos="393"/>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242F65">
        <w:rPr>
          <w:rFonts w:ascii="Times New Roman" w:eastAsia="Times New Roman" w:hAnsi="Times New Roman" w:cs="Times New Roman"/>
          <w:i/>
          <w:iCs/>
          <w:sz w:val="20"/>
          <w:szCs w:val="16"/>
          <w:lang w:val="fr" w:eastAsia="en-IE"/>
        </w:rPr>
        <w:t>45</w:t>
      </w:r>
      <w:r w:rsidR="005C053F">
        <w:rPr>
          <w:rFonts w:ascii="Times New Roman" w:eastAsia="Times New Roman" w:hAnsi="Times New Roman" w:cs="Times New Roman"/>
          <w:i/>
          <w:iCs/>
          <w:sz w:val="20"/>
          <w:szCs w:val="16"/>
          <w:lang w:val="fr" w:eastAsia="en-IE"/>
        </w:rPr>
        <w:t>.</w:t>
      </w:r>
      <w:r w:rsidRPr="00242F65">
        <w:rPr>
          <w:rFonts w:ascii="Times New Roman" w:eastAsia="Times New Roman" w:hAnsi="Times New Roman" w:cs="Times New Roman"/>
          <w:i/>
          <w:iCs/>
          <w:sz w:val="20"/>
          <w:szCs w:val="16"/>
          <w:lang w:val="fr" w:eastAsia="en-IE"/>
        </w:rPr>
        <w:t xml:space="preserve"> Ne constituant pas des mesures de transposition de la directive 91/492 susceptibles de justifier l'application de l'article 10 de la directive 83/189, le décret n° 257 du 1 e r août 1990 et le décret du 1e r septembre 1990 devaient être notifiés à la Commission conformément à l'article 8 de cette dernière directive. »</w:t>
      </w:r>
    </w:p>
    <w:p w14:paraId="1A450F93" w14:textId="77777777" w:rsidR="000F7DA5" w:rsidRDefault="000F7DA5" w:rsidP="000F7DA5">
      <w:pPr>
        <w:widowControl w:val="0"/>
        <w:autoSpaceDE w:val="0"/>
        <w:autoSpaceDN w:val="0"/>
        <w:spacing w:after="0" w:line="240" w:lineRule="auto"/>
        <w:jc w:val="both"/>
        <w:rPr>
          <w:rFonts w:ascii="Times New Roman" w:eastAsia="Times New Roman" w:hAnsi="Times New Roman" w:cs="Times New Roman"/>
          <w:i/>
          <w:iCs/>
          <w:sz w:val="20"/>
          <w:szCs w:val="16"/>
          <w:lang w:val="fr" w:eastAsia="en-IE"/>
        </w:rPr>
      </w:pPr>
    </w:p>
    <w:p w14:paraId="667344E1" w14:textId="09100F95" w:rsidR="000F7DA5" w:rsidRPr="009C168D"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8" w:history="1">
        <w:r w:rsidR="000F7DA5" w:rsidRPr="009C168D">
          <w:rPr>
            <w:rFonts w:ascii="Times New Roman" w:eastAsia="Times New Roman" w:hAnsi="Times New Roman" w:cs="Times New Roman"/>
            <w:b/>
            <w:i/>
            <w:color w:val="0000FF"/>
            <w:szCs w:val="20"/>
            <w:u w:val="single"/>
            <w:lang w:val="fr" w:eastAsia="en-IE"/>
          </w:rPr>
          <w:t>Arrêt du 26 septembre 2000</w:t>
        </w:r>
      </w:hyperlink>
      <w:r w:rsidR="000F7DA5" w:rsidRPr="009C168D">
        <w:rPr>
          <w:rFonts w:ascii="Times New Roman" w:eastAsia="Times New Roman" w:hAnsi="Times New Roman" w:cs="Times New Roman"/>
          <w:b/>
          <w:i/>
          <w:szCs w:val="20"/>
          <w:lang w:val="fr" w:eastAsia="en-IE"/>
        </w:rPr>
        <w:t xml:space="preserve">, </w:t>
      </w:r>
      <w:r w:rsidR="00745699" w:rsidRPr="009C168D">
        <w:rPr>
          <w:rFonts w:ascii="Times New Roman" w:eastAsia="Times New Roman" w:hAnsi="Times New Roman" w:cs="Times New Roman"/>
          <w:b/>
          <w:i/>
          <w:szCs w:val="20"/>
          <w:lang w:val="fr" w:eastAsia="en-IE"/>
        </w:rPr>
        <w:t>Unilever</w:t>
      </w:r>
      <w:r w:rsidR="00745699">
        <w:rPr>
          <w:rFonts w:ascii="Times New Roman" w:eastAsia="Times New Roman" w:hAnsi="Times New Roman" w:cs="Times New Roman"/>
          <w:b/>
          <w:i/>
          <w:szCs w:val="20"/>
          <w:lang w:val="fr" w:eastAsia="en-IE"/>
        </w:rPr>
        <w:t xml:space="preserve"> Italia</w:t>
      </w:r>
      <w:r w:rsidR="00745699" w:rsidRPr="009C168D">
        <w:rPr>
          <w:rFonts w:ascii="Times New Roman" w:eastAsia="Times New Roman" w:hAnsi="Times New Roman" w:cs="Times New Roman"/>
          <w:b/>
          <w:i/>
          <w:szCs w:val="20"/>
          <w:lang w:val="fr" w:eastAsia="en-IE"/>
        </w:rPr>
        <w:t xml:space="preserve">, </w:t>
      </w:r>
      <w:r w:rsidR="000F7DA5" w:rsidRPr="009C168D">
        <w:rPr>
          <w:rFonts w:ascii="Times New Roman" w:eastAsia="Times New Roman" w:hAnsi="Times New Roman" w:cs="Times New Roman"/>
          <w:b/>
          <w:i/>
          <w:szCs w:val="20"/>
          <w:lang w:val="fr" w:eastAsia="en-IE"/>
        </w:rPr>
        <w:t xml:space="preserve">C-443/98, EU:C:2000:496, points </w:t>
      </w:r>
      <w:r w:rsidR="000F7DA5">
        <w:rPr>
          <w:rFonts w:ascii="Times New Roman" w:eastAsia="Times New Roman" w:hAnsi="Times New Roman" w:cs="Times New Roman"/>
          <w:b/>
          <w:i/>
          <w:szCs w:val="20"/>
          <w:lang w:val="fr" w:eastAsia="en-IE"/>
        </w:rPr>
        <w:t>28 et 29</w:t>
      </w:r>
    </w:p>
    <w:p w14:paraId="6F265AB4" w14:textId="77777777" w:rsidR="000F7DA5" w:rsidRPr="009C168D" w:rsidRDefault="000F7DA5"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2D72ABF8" w14:textId="77777777" w:rsidR="000F7DA5" w:rsidRPr="009C168D" w:rsidRDefault="000F7DA5" w:rsidP="000F7DA5">
      <w:pPr>
        <w:widowControl w:val="0"/>
        <w:autoSpaceDE w:val="0"/>
        <w:autoSpaceDN w:val="0"/>
        <w:spacing w:after="0" w:line="240" w:lineRule="auto"/>
        <w:jc w:val="both"/>
        <w:rPr>
          <w:rFonts w:ascii="Times New Roman" w:eastAsia="Times New Roman" w:hAnsi="Times New Roman" w:cs="Times New Roman"/>
          <w:szCs w:val="20"/>
          <w:lang w:val="fr" w:eastAsia="en-IE"/>
        </w:rPr>
      </w:pPr>
      <w:r w:rsidRPr="009C168D">
        <w:rPr>
          <w:rFonts w:ascii="Times New Roman" w:eastAsia="Times New Roman" w:hAnsi="Times New Roman" w:cs="Times New Roman"/>
          <w:szCs w:val="20"/>
          <w:lang w:val="fr" w:eastAsia="en-IE"/>
        </w:rPr>
        <w:t>Lorsque les États membres disposent d’une</w:t>
      </w:r>
      <w:r>
        <w:rPr>
          <w:rFonts w:ascii="Times New Roman" w:eastAsia="Times New Roman" w:hAnsi="Times New Roman" w:cs="Times New Roman"/>
          <w:szCs w:val="20"/>
          <w:lang w:val="fr" w:eastAsia="en-IE"/>
        </w:rPr>
        <w:t xml:space="preserve"> large</w:t>
      </w:r>
      <w:r w:rsidRPr="009C168D">
        <w:rPr>
          <w:rFonts w:ascii="Times New Roman" w:eastAsia="Times New Roman" w:hAnsi="Times New Roman" w:cs="Times New Roman"/>
          <w:szCs w:val="20"/>
          <w:lang w:val="fr" w:eastAsia="en-IE"/>
        </w:rPr>
        <w:t xml:space="preserve"> marge de manœuvre dans </w:t>
      </w:r>
      <w:r>
        <w:rPr>
          <w:rFonts w:ascii="Times New Roman" w:eastAsia="Times New Roman" w:hAnsi="Times New Roman" w:cs="Times New Roman"/>
          <w:szCs w:val="20"/>
          <w:lang w:val="fr" w:eastAsia="en-IE"/>
        </w:rPr>
        <w:t>la transposition</w:t>
      </w:r>
      <w:r w:rsidRPr="009C168D">
        <w:rPr>
          <w:rFonts w:ascii="Times New Roman" w:eastAsia="Times New Roman" w:hAnsi="Times New Roman" w:cs="Times New Roman"/>
          <w:szCs w:val="20"/>
          <w:lang w:val="fr" w:eastAsia="en-IE"/>
        </w:rPr>
        <w:t xml:space="preserve"> d’une directive de l’Union, les mesures nationales adoptées en ce sens ne peuvent être considérées comme des dispositions nationales </w:t>
      </w:r>
      <w:r>
        <w:rPr>
          <w:rFonts w:ascii="Times New Roman" w:eastAsia="Times New Roman" w:hAnsi="Times New Roman" w:cs="Times New Roman"/>
          <w:szCs w:val="20"/>
          <w:lang w:val="fr" w:eastAsia="en-IE"/>
        </w:rPr>
        <w:t>se « </w:t>
      </w:r>
      <w:proofErr w:type="spellStart"/>
      <w:r w:rsidRPr="009C168D">
        <w:rPr>
          <w:rFonts w:ascii="Times New Roman" w:eastAsia="Times New Roman" w:hAnsi="Times New Roman" w:cs="Times New Roman"/>
          <w:szCs w:val="20"/>
          <w:lang w:val="fr" w:eastAsia="en-IE"/>
        </w:rPr>
        <w:t>conform</w:t>
      </w:r>
      <w:proofErr w:type="spellEnd"/>
      <w:r>
        <w:rPr>
          <w:rFonts w:ascii="Times New Roman" w:eastAsia="Times New Roman" w:hAnsi="Times New Roman" w:cs="Times New Roman"/>
          <w:szCs w:val="20"/>
          <w:lang w:val="fr" w:eastAsia="en-IE"/>
        </w:rPr>
        <w:t>[</w:t>
      </w:r>
      <w:proofErr w:type="spellStart"/>
      <w:r>
        <w:rPr>
          <w:rFonts w:ascii="Times New Roman" w:eastAsia="Times New Roman" w:hAnsi="Times New Roman" w:cs="Times New Roman"/>
          <w:szCs w:val="20"/>
          <w:lang w:val="fr" w:eastAsia="en-IE"/>
        </w:rPr>
        <w:t>ant</w:t>
      </w:r>
      <w:proofErr w:type="spellEnd"/>
      <w:r>
        <w:rPr>
          <w:rFonts w:ascii="Times New Roman" w:eastAsia="Times New Roman" w:hAnsi="Times New Roman" w:cs="Times New Roman"/>
          <w:szCs w:val="20"/>
          <w:lang w:val="fr" w:eastAsia="en-IE"/>
        </w:rPr>
        <w:t>]</w:t>
      </w:r>
      <w:r w:rsidRPr="009C168D">
        <w:rPr>
          <w:rFonts w:ascii="Times New Roman" w:eastAsia="Times New Roman" w:hAnsi="Times New Roman" w:cs="Times New Roman"/>
          <w:szCs w:val="20"/>
          <w:lang w:val="fr" w:eastAsia="en-IE"/>
        </w:rPr>
        <w:t xml:space="preserve"> à un acte communautaire contraignant</w:t>
      </w:r>
      <w:r>
        <w:rPr>
          <w:rFonts w:ascii="Times New Roman" w:eastAsia="Times New Roman" w:hAnsi="Times New Roman" w:cs="Times New Roman"/>
          <w:szCs w:val="20"/>
          <w:lang w:val="fr" w:eastAsia="en-IE"/>
        </w:rPr>
        <w:t> ».</w:t>
      </w:r>
    </w:p>
    <w:p w14:paraId="233C173F" w14:textId="77777777" w:rsidR="000F7DA5" w:rsidRPr="009C168D" w:rsidRDefault="000F7DA5" w:rsidP="000F7DA5">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535490AC" w14:textId="77777777" w:rsidR="000F7DA5" w:rsidRPr="009C168D" w:rsidRDefault="000F7DA5" w:rsidP="000F7DA5">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9C168D">
        <w:rPr>
          <w:rFonts w:ascii="Times New Roman" w:eastAsia="Times New Roman" w:hAnsi="Times New Roman" w:cs="Times New Roman"/>
          <w:i/>
          <w:iCs/>
          <w:sz w:val="20"/>
          <w:szCs w:val="16"/>
          <w:lang w:val="fr" w:eastAsia="en-IE"/>
        </w:rPr>
        <w:t>« </w:t>
      </w:r>
      <w:r w:rsidRPr="009C168D">
        <w:rPr>
          <w:rFonts w:ascii="Times New Roman" w:eastAsia="Times New Roman" w:hAnsi="Times New Roman" w:cs="Times New Roman"/>
          <w:i/>
          <w:iCs/>
          <w:sz w:val="20"/>
          <w:szCs w:val="16"/>
          <w:lang w:val="fr-BE" w:eastAsia="en-IE"/>
        </w:rPr>
        <w:t xml:space="preserve">28. </w:t>
      </w:r>
      <w:r>
        <w:rPr>
          <w:rFonts w:ascii="Times New Roman" w:eastAsia="Times New Roman" w:hAnsi="Times New Roman" w:cs="Times New Roman"/>
          <w:i/>
          <w:iCs/>
          <w:sz w:val="20"/>
          <w:szCs w:val="16"/>
          <w:lang w:val="fr-BE" w:eastAsia="en-IE"/>
        </w:rPr>
        <w:t>[…]</w:t>
      </w:r>
      <w:r w:rsidRPr="009C168D">
        <w:rPr>
          <w:rFonts w:ascii="Times New Roman" w:eastAsia="Times New Roman" w:hAnsi="Times New Roman" w:cs="Times New Roman"/>
          <w:i/>
          <w:iCs/>
          <w:sz w:val="20"/>
          <w:szCs w:val="16"/>
          <w:lang w:val="fr-BE" w:eastAsia="en-IE"/>
        </w:rPr>
        <w:t xml:space="preserve"> le gouvernement italien fait valoir que la loi litigieuse était exemptée de notification en vertu de l'article 10 de la directive 83/189, étant donné qu'elle a été adoptée conformément à la directive 79/112/CEE du Conseil, du 18 décembre 1978, relative au rapprochement des législations des États membres concernant l'étiquetage et la présentation des denrées alimentaires destinées au consommateur final ainsi que la publicité faite à leur égard (JO 1979, L 33, p. 1), qui, dans son article 3, paragraphe 1, point 7, impose d'indiquer sur l'étiquette le lieu d'origine ou de provenance du produit dans le cas où l'omission de cette mention serait susceptible d'induire le consommateur en erreur sur l'origine ou la provenance réelle de la denrée alimentaire.</w:t>
      </w:r>
    </w:p>
    <w:p w14:paraId="6E3EE695" w14:textId="77777777" w:rsidR="000F7DA5" w:rsidRPr="009C168D" w:rsidRDefault="000F7DA5" w:rsidP="000F7DA5">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E20C2A2" w14:textId="77777777" w:rsidR="000F7DA5" w:rsidRPr="009C168D" w:rsidRDefault="000F7DA5" w:rsidP="000F7DA5">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9C168D">
        <w:rPr>
          <w:rFonts w:ascii="Times New Roman" w:eastAsia="Times New Roman" w:hAnsi="Times New Roman" w:cs="Times New Roman"/>
          <w:i/>
          <w:iCs/>
          <w:sz w:val="20"/>
          <w:szCs w:val="16"/>
          <w:lang w:val="fr-BE" w:eastAsia="en-IE"/>
        </w:rPr>
        <w:t xml:space="preserve">29. Ce point de vue ne saurait être accueilli. Comme l'a relevé la Commission, cette disposition de la directive 79/112, rédigée en termes généraux, laisse aux États membres une marge de manœuvre suffisamment importante pour qu'il soit exclu que des règles nationales sur l'étiquetage relatif à l'origine telles que celles adoptées par la loi litigieuse puissent être qualifiées de dispositions nationales se conformant à un acte communautaire contraignant, au sens de l'article 10, paragraphe 1, premier tiret, </w:t>
      </w:r>
      <w:r w:rsidRPr="009C168D">
        <w:rPr>
          <w:rFonts w:ascii="Times New Roman" w:eastAsia="Times New Roman" w:hAnsi="Times New Roman" w:cs="Times New Roman"/>
          <w:i/>
          <w:iCs/>
          <w:sz w:val="20"/>
          <w:szCs w:val="16"/>
          <w:lang w:val="fr-BE" w:eastAsia="en-IE"/>
        </w:rPr>
        <w:lastRenderedPageBreak/>
        <w:t>de la directive 83/189. »</w:t>
      </w:r>
    </w:p>
    <w:p w14:paraId="49D7BF41" w14:textId="77777777" w:rsidR="000F7DA5" w:rsidRDefault="000F7DA5" w:rsidP="000F7DA5">
      <w:pPr>
        <w:widowControl w:val="0"/>
        <w:autoSpaceDE w:val="0"/>
        <w:autoSpaceDN w:val="0"/>
        <w:spacing w:after="0" w:line="240" w:lineRule="auto"/>
        <w:jc w:val="both"/>
        <w:rPr>
          <w:rFonts w:ascii="Times New Roman" w:eastAsia="Times New Roman" w:hAnsi="Times New Roman" w:cs="Times New Roman"/>
          <w:i/>
          <w:iCs/>
          <w:sz w:val="20"/>
          <w:szCs w:val="16"/>
          <w:lang w:val="fr-BE" w:eastAsia="en-IE"/>
        </w:rPr>
      </w:pPr>
    </w:p>
    <w:p w14:paraId="74D10AEF" w14:textId="3CBAD4D0" w:rsidR="000F7DA5" w:rsidRPr="00AA5695"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89" w:history="1">
        <w:r w:rsidR="000F7DA5" w:rsidRPr="00AA5695">
          <w:rPr>
            <w:rFonts w:ascii="Times New Roman" w:eastAsia="Times New Roman" w:hAnsi="Times New Roman" w:cs="Times New Roman"/>
            <w:b/>
            <w:i/>
            <w:color w:val="0000FF"/>
            <w:szCs w:val="20"/>
            <w:u w:val="single"/>
            <w:lang w:val="fr" w:eastAsia="en-IE"/>
          </w:rPr>
          <w:t>Arrêt du 22 janvier 2000</w:t>
        </w:r>
      </w:hyperlink>
      <w:r w:rsidR="000F7DA5" w:rsidRPr="00AA5695">
        <w:rPr>
          <w:rFonts w:ascii="Times New Roman" w:eastAsia="Times New Roman" w:hAnsi="Times New Roman" w:cs="Times New Roman"/>
          <w:b/>
          <w:i/>
          <w:szCs w:val="20"/>
          <w:lang w:val="fr" w:eastAsia="en-IE"/>
        </w:rPr>
        <w:t xml:space="preserve">, </w:t>
      </w:r>
      <w:r w:rsidR="00745699" w:rsidRPr="00AA5695">
        <w:rPr>
          <w:rFonts w:ascii="Times New Roman" w:eastAsia="Times New Roman" w:hAnsi="Times New Roman" w:cs="Times New Roman"/>
          <w:b/>
          <w:i/>
          <w:szCs w:val="20"/>
          <w:lang w:val="fr" w:eastAsia="en-IE"/>
        </w:rPr>
        <w:t xml:space="preserve">Canal </w:t>
      </w:r>
      <w:proofErr w:type="spellStart"/>
      <w:r w:rsidR="00745699" w:rsidRPr="00AA5695">
        <w:rPr>
          <w:rFonts w:ascii="Times New Roman" w:eastAsia="Times New Roman" w:hAnsi="Times New Roman" w:cs="Times New Roman"/>
          <w:b/>
          <w:i/>
          <w:szCs w:val="20"/>
          <w:lang w:val="fr" w:eastAsia="en-IE"/>
        </w:rPr>
        <w:t>Satélite</w:t>
      </w:r>
      <w:proofErr w:type="spellEnd"/>
      <w:r w:rsidR="00745699" w:rsidRPr="00AA5695">
        <w:rPr>
          <w:rFonts w:ascii="Times New Roman" w:eastAsia="Times New Roman" w:hAnsi="Times New Roman" w:cs="Times New Roman"/>
          <w:b/>
          <w:i/>
          <w:szCs w:val="20"/>
          <w:lang w:val="fr" w:eastAsia="en-IE"/>
        </w:rPr>
        <w:t xml:space="preserve"> Digital, </w:t>
      </w:r>
      <w:r w:rsidR="000F7DA5" w:rsidRPr="00AA5695">
        <w:rPr>
          <w:rFonts w:ascii="Times New Roman" w:eastAsia="Times New Roman" w:hAnsi="Times New Roman" w:cs="Times New Roman"/>
          <w:b/>
          <w:i/>
          <w:szCs w:val="20"/>
          <w:lang w:val="fr" w:eastAsia="en-IE"/>
        </w:rPr>
        <w:t xml:space="preserve">C-390/99, </w:t>
      </w:r>
      <w:r w:rsidR="00745699" w:rsidRPr="00745699">
        <w:rPr>
          <w:rFonts w:ascii="Times New Roman" w:eastAsia="Times New Roman" w:hAnsi="Times New Roman" w:cs="Times New Roman"/>
          <w:b/>
          <w:i/>
          <w:szCs w:val="20"/>
          <w:lang w:val="fr-BE" w:eastAsia="en-IE"/>
        </w:rPr>
        <w:t>EU:C:2002:34</w:t>
      </w:r>
      <w:r w:rsidR="00745699">
        <w:rPr>
          <w:rFonts w:ascii="Times New Roman" w:eastAsia="Times New Roman" w:hAnsi="Times New Roman" w:cs="Times New Roman"/>
          <w:b/>
          <w:i/>
          <w:szCs w:val="20"/>
          <w:lang w:val="fr-BE" w:eastAsia="en-IE"/>
        </w:rPr>
        <w:t xml:space="preserve">, </w:t>
      </w:r>
      <w:r w:rsidR="000F7DA5" w:rsidRPr="00AA5695">
        <w:rPr>
          <w:rFonts w:ascii="Times New Roman" w:eastAsia="Times New Roman" w:hAnsi="Times New Roman" w:cs="Times New Roman"/>
          <w:b/>
          <w:i/>
          <w:szCs w:val="20"/>
          <w:lang w:val="fr" w:eastAsia="en-IE"/>
        </w:rPr>
        <w:t>point 48</w:t>
      </w:r>
    </w:p>
    <w:p w14:paraId="129D695D" w14:textId="77777777" w:rsidR="000F7DA5" w:rsidRPr="00AA5695" w:rsidRDefault="000F7DA5"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3BDFD60C" w14:textId="77777777" w:rsidR="000F7DA5" w:rsidRPr="00AA5695" w:rsidRDefault="000F7DA5" w:rsidP="000F7D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w:t>
      </w:r>
      <w:r w:rsidRPr="00AA5695">
        <w:rPr>
          <w:rFonts w:ascii="Times New Roman" w:eastAsia="Times New Roman" w:hAnsi="Times New Roman" w:cs="Times New Roman"/>
          <w:szCs w:val="20"/>
          <w:lang w:val="fr" w:eastAsia="en-IE"/>
        </w:rPr>
        <w:t xml:space="preserve">es dispositions nationales transposant des mesures communautaires contraignantes contenant des </w:t>
      </w:r>
      <w:r>
        <w:rPr>
          <w:rFonts w:ascii="Times New Roman" w:eastAsia="Times New Roman" w:hAnsi="Times New Roman" w:cs="Times New Roman"/>
          <w:szCs w:val="20"/>
          <w:lang w:val="fr" w:eastAsia="en-IE"/>
        </w:rPr>
        <w:t>« </w:t>
      </w:r>
      <w:r w:rsidRPr="00AA5695">
        <w:rPr>
          <w:rFonts w:ascii="Times New Roman" w:eastAsia="Times New Roman" w:hAnsi="Times New Roman" w:cs="Times New Roman"/>
          <w:szCs w:val="20"/>
          <w:lang w:val="fr" w:eastAsia="en-IE"/>
        </w:rPr>
        <w:t>spécifications techniques</w:t>
      </w:r>
      <w:r>
        <w:rPr>
          <w:rFonts w:ascii="Times New Roman" w:eastAsia="Times New Roman" w:hAnsi="Times New Roman" w:cs="Times New Roman"/>
          <w:szCs w:val="20"/>
          <w:lang w:val="fr" w:eastAsia="en-IE"/>
        </w:rPr>
        <w:t> »</w:t>
      </w:r>
      <w:r w:rsidRPr="00AA5695">
        <w:rPr>
          <w:rFonts w:ascii="Times New Roman" w:eastAsia="Times New Roman" w:hAnsi="Times New Roman" w:cs="Times New Roman"/>
          <w:szCs w:val="20"/>
          <w:lang w:val="fr" w:eastAsia="en-IE"/>
        </w:rPr>
        <w:t xml:space="preserve"> ne sont pas soumises à l’obligation de notification, à condition qu’elles se limitent strictement à cette transposition.</w:t>
      </w:r>
    </w:p>
    <w:p w14:paraId="15236C38" w14:textId="77777777" w:rsidR="000F7DA5" w:rsidRPr="00AA5695" w:rsidRDefault="000F7DA5" w:rsidP="000F7DA5">
      <w:pPr>
        <w:widowControl w:val="0"/>
        <w:tabs>
          <w:tab w:val="left" w:pos="396"/>
          <w:tab w:val="left" w:pos="405"/>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AA5695">
        <w:rPr>
          <w:rFonts w:ascii="Times New Roman" w:eastAsia="Times New Roman" w:hAnsi="Times New Roman" w:cs="Times New Roman"/>
          <w:i/>
          <w:iCs/>
          <w:sz w:val="20"/>
          <w:szCs w:val="16"/>
          <w:lang w:val="fr-BE" w:eastAsia="en-IE"/>
        </w:rPr>
        <w:t>    </w:t>
      </w:r>
    </w:p>
    <w:p w14:paraId="6015C260" w14:textId="3DCEC95F" w:rsidR="0054357E" w:rsidRDefault="000F7DA5" w:rsidP="0054357E">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w:t>
      </w:r>
      <w:r w:rsidRPr="00AA5695">
        <w:rPr>
          <w:rFonts w:ascii="Times New Roman" w:eastAsia="Times New Roman" w:hAnsi="Times New Roman" w:cs="Times New Roman"/>
          <w:i/>
          <w:iCs/>
          <w:sz w:val="20"/>
          <w:szCs w:val="16"/>
          <w:lang w:val="fr-BE" w:eastAsia="en-IE"/>
        </w:rPr>
        <w:t>48. S'agissant de la seconde partie de la troisième question, qui a trait à l'obligation de notification prévue à l'article 8 de la directive 83/189, il ressort de l'article 10 de celle-ci que ses articles 8 et 9 ne sont pas applicables aux dispositions législatives, réglementaires ou administratives des États membres ou aux accords volontaires par lesquels ces derniers se conforment aux actes communautaires contraignants qui ont pour effet l'adoption de spécifications techniques. Dans la mesure où la réglementation nationale en cause au principal transposerait la directive 95/47, et uniquement dans cette mesure, il n'y aurait donc pas d'obligation de notification au titre de la directive 83/189.» </w:t>
      </w:r>
    </w:p>
    <w:p w14:paraId="0E6C95FC" w14:textId="77777777" w:rsidR="0054357E" w:rsidRDefault="0054357E" w:rsidP="0054357E">
      <w:pPr>
        <w:widowControl w:val="0"/>
        <w:tabs>
          <w:tab w:val="left" w:pos="396"/>
          <w:tab w:val="left" w:pos="40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6306D56B" w14:textId="73516F21" w:rsidR="0054357E" w:rsidRPr="00EE5EBC" w:rsidRDefault="00B3389F" w:rsidP="0054357E">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90" w:history="1">
        <w:r w:rsidR="0054357E" w:rsidRPr="00EE5EBC">
          <w:rPr>
            <w:rFonts w:ascii="Times New Roman" w:eastAsia="Times New Roman" w:hAnsi="Times New Roman" w:cs="Times New Roman"/>
            <w:b/>
            <w:i/>
            <w:color w:val="0000FF"/>
            <w:szCs w:val="20"/>
            <w:u w:val="single"/>
            <w:lang w:val="fr-FR" w:eastAsia="en-IE"/>
          </w:rPr>
          <w:t>Arrêt du 8 septembre 2005</w:t>
        </w:r>
      </w:hyperlink>
      <w:r w:rsidR="0054357E"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 xml:space="preserve">Commission/Portugal, </w:t>
      </w:r>
      <w:r w:rsidR="0054357E" w:rsidRPr="00EE5EBC">
        <w:rPr>
          <w:rFonts w:ascii="Times New Roman" w:eastAsia="Times New Roman" w:hAnsi="Times New Roman" w:cs="Times New Roman"/>
          <w:b/>
          <w:i/>
          <w:szCs w:val="20"/>
          <w:lang w:val="fr-FR" w:eastAsia="en-IE"/>
        </w:rPr>
        <w:t xml:space="preserve">C-500/03, EU:C:2005:515, points </w:t>
      </w:r>
      <w:r w:rsidR="00AA5C41">
        <w:rPr>
          <w:rFonts w:ascii="Times New Roman" w:eastAsia="Times New Roman" w:hAnsi="Times New Roman" w:cs="Times New Roman"/>
          <w:b/>
          <w:i/>
          <w:szCs w:val="20"/>
          <w:lang w:val="fr-FR" w:eastAsia="en-IE"/>
        </w:rPr>
        <w:t>34 et 35</w:t>
      </w:r>
    </w:p>
    <w:p w14:paraId="183658EB" w14:textId="77777777" w:rsidR="0054357E" w:rsidRDefault="0054357E" w:rsidP="0054357E">
      <w:pPr>
        <w:widowControl w:val="0"/>
        <w:tabs>
          <w:tab w:val="left" w:pos="467"/>
        </w:tabs>
        <w:autoSpaceDE w:val="0"/>
        <w:autoSpaceDN w:val="0"/>
        <w:spacing w:after="0" w:line="240" w:lineRule="auto"/>
        <w:jc w:val="both"/>
        <w:rPr>
          <w:rFonts w:ascii="Times New Roman" w:eastAsia="Times New Roman" w:hAnsi="Times New Roman" w:cs="Times New Roman"/>
          <w:b/>
          <w:i/>
          <w:szCs w:val="20"/>
          <w:lang w:val="fr-FR" w:eastAsia="en-IE"/>
        </w:rPr>
      </w:pPr>
    </w:p>
    <w:p w14:paraId="77FDEA30" w14:textId="79845D9D" w:rsidR="0054357E" w:rsidRPr="00AA5C41" w:rsidRDefault="0054357E" w:rsidP="0054357E">
      <w:pPr>
        <w:widowControl w:val="0"/>
        <w:tabs>
          <w:tab w:val="left" w:pos="467"/>
        </w:tabs>
        <w:autoSpaceDE w:val="0"/>
        <w:autoSpaceDN w:val="0"/>
        <w:spacing w:after="0" w:line="240" w:lineRule="auto"/>
        <w:jc w:val="both"/>
        <w:rPr>
          <w:rFonts w:ascii="Times New Roman" w:eastAsia="Times New Roman" w:hAnsi="Times New Roman" w:cs="Times New Roman"/>
          <w:szCs w:val="20"/>
          <w:lang w:val="fr-BE" w:eastAsia="en-IE"/>
        </w:rPr>
      </w:pPr>
      <w:r w:rsidRPr="00701DE2">
        <w:rPr>
          <w:rFonts w:ascii="Times New Roman" w:eastAsia="Times New Roman" w:hAnsi="Times New Roman" w:cs="Times New Roman"/>
          <w:szCs w:val="20"/>
          <w:lang w:val="fr-FR" w:eastAsia="en-IE"/>
        </w:rPr>
        <w:t xml:space="preserve">Des </w:t>
      </w:r>
      <w:r>
        <w:rPr>
          <w:rFonts w:ascii="Times New Roman" w:eastAsia="Times New Roman" w:hAnsi="Times New Roman" w:cs="Times New Roman"/>
          <w:szCs w:val="20"/>
          <w:lang w:val="fr-FR" w:eastAsia="en-IE"/>
        </w:rPr>
        <w:t xml:space="preserve">dispositions nationales déterminant les caractéristiques de bateaux de plaisance </w:t>
      </w:r>
      <w:r w:rsidRPr="00701DE2">
        <w:rPr>
          <w:rFonts w:ascii="Times New Roman" w:eastAsia="Times New Roman" w:hAnsi="Times New Roman" w:cs="Times New Roman"/>
          <w:szCs w:val="20"/>
          <w:lang w:val="fr-FR" w:eastAsia="en-IE"/>
        </w:rPr>
        <w:t xml:space="preserve">ne peuvent bénéficier de l’exemption de notification </w:t>
      </w:r>
      <w:r>
        <w:rPr>
          <w:rFonts w:ascii="Times New Roman" w:eastAsia="Times New Roman" w:hAnsi="Times New Roman" w:cs="Times New Roman"/>
          <w:szCs w:val="20"/>
          <w:lang w:val="fr-FR" w:eastAsia="en-IE"/>
        </w:rPr>
        <w:t>réservées</w:t>
      </w:r>
      <w:r w:rsidRPr="00701DE2">
        <w:rPr>
          <w:rFonts w:ascii="Times New Roman" w:eastAsia="Times New Roman" w:hAnsi="Times New Roman" w:cs="Times New Roman"/>
          <w:szCs w:val="20"/>
          <w:lang w:val="fr-FR" w:eastAsia="en-IE"/>
        </w:rPr>
        <w:t xml:space="preserve"> au</w:t>
      </w:r>
      <w:r>
        <w:rPr>
          <w:rFonts w:ascii="Times New Roman" w:eastAsia="Times New Roman" w:hAnsi="Times New Roman" w:cs="Times New Roman"/>
          <w:szCs w:val="20"/>
          <w:lang w:val="fr-FR" w:eastAsia="en-IE"/>
        </w:rPr>
        <w:t xml:space="preserve">x </w:t>
      </w:r>
      <w:r w:rsidR="00AA5C41">
        <w:rPr>
          <w:rFonts w:ascii="Times New Roman" w:eastAsia="Times New Roman" w:hAnsi="Times New Roman" w:cs="Times New Roman"/>
          <w:szCs w:val="20"/>
          <w:lang w:val="fr-FR" w:eastAsia="en-IE"/>
        </w:rPr>
        <w:t>transpositions</w:t>
      </w:r>
      <w:r>
        <w:rPr>
          <w:rFonts w:ascii="Times New Roman" w:eastAsia="Times New Roman" w:hAnsi="Times New Roman" w:cs="Times New Roman"/>
          <w:szCs w:val="20"/>
          <w:lang w:val="fr-FR" w:eastAsia="en-IE"/>
        </w:rPr>
        <w:t xml:space="preserve"> lorsque la </w:t>
      </w:r>
      <w:r w:rsidR="00AA5C41">
        <w:rPr>
          <w:rFonts w:ascii="Times New Roman" w:eastAsia="Times New Roman" w:hAnsi="Times New Roman" w:cs="Times New Roman"/>
          <w:szCs w:val="20"/>
          <w:lang w:val="fr-FR" w:eastAsia="en-IE"/>
        </w:rPr>
        <w:t>directive</w:t>
      </w:r>
      <w:r>
        <w:rPr>
          <w:rFonts w:ascii="Times New Roman" w:eastAsia="Times New Roman" w:hAnsi="Times New Roman" w:cs="Times New Roman"/>
          <w:szCs w:val="20"/>
          <w:lang w:val="fr-FR" w:eastAsia="en-IE"/>
        </w:rPr>
        <w:t xml:space="preserve"> invoquée </w:t>
      </w:r>
      <w:r w:rsidR="00AA5C41">
        <w:rPr>
          <w:rFonts w:ascii="Times New Roman" w:eastAsia="Times New Roman" w:hAnsi="Times New Roman" w:cs="Times New Roman"/>
          <w:szCs w:val="20"/>
          <w:lang w:val="fr-FR" w:eastAsia="en-IE"/>
        </w:rPr>
        <w:t xml:space="preserve">à cet égard se borne à </w:t>
      </w:r>
      <w:r>
        <w:rPr>
          <w:rFonts w:ascii="Times New Roman" w:eastAsia="Times New Roman" w:hAnsi="Times New Roman" w:cs="Times New Roman"/>
          <w:szCs w:val="20"/>
          <w:lang w:val="fr-FR" w:eastAsia="en-IE"/>
        </w:rPr>
        <w:t>laisse</w:t>
      </w:r>
      <w:r w:rsidR="00AA5C41">
        <w:rPr>
          <w:rFonts w:ascii="Times New Roman" w:eastAsia="Times New Roman" w:hAnsi="Times New Roman" w:cs="Times New Roman"/>
          <w:szCs w:val="20"/>
          <w:lang w:val="fr-FR" w:eastAsia="en-IE"/>
        </w:rPr>
        <w:t>r</w:t>
      </w:r>
      <w:r>
        <w:rPr>
          <w:rFonts w:ascii="Times New Roman" w:eastAsia="Times New Roman" w:hAnsi="Times New Roman" w:cs="Times New Roman"/>
          <w:szCs w:val="20"/>
          <w:lang w:val="fr-FR" w:eastAsia="en-IE"/>
        </w:rPr>
        <w:t xml:space="preserve"> aux </w:t>
      </w:r>
      <w:r w:rsidR="00AA5C41">
        <w:rPr>
          <w:rFonts w:ascii="Times New Roman" w:eastAsia="Times New Roman" w:hAnsi="Times New Roman" w:cs="Times New Roman"/>
          <w:szCs w:val="20"/>
          <w:lang w:val="fr-FR" w:eastAsia="en-IE"/>
        </w:rPr>
        <w:t>États membres la liberté d</w:t>
      </w:r>
      <w:r w:rsidR="00AA5C41" w:rsidRPr="00AA5C41">
        <w:rPr>
          <w:rFonts w:ascii="Times New Roman" w:eastAsia="Times New Roman" w:hAnsi="Times New Roman" w:cs="Times New Roman"/>
          <w:szCs w:val="20"/>
          <w:lang w:val="fr-BE" w:eastAsia="en-IE"/>
        </w:rPr>
        <w:t>e définir</w:t>
      </w:r>
      <w:r w:rsidR="00AA5C41">
        <w:rPr>
          <w:rFonts w:ascii="Times New Roman" w:eastAsia="Times New Roman" w:hAnsi="Times New Roman" w:cs="Times New Roman"/>
          <w:szCs w:val="20"/>
          <w:lang w:val="fr-BE" w:eastAsia="en-IE"/>
        </w:rPr>
        <w:t xml:space="preserve"> </w:t>
      </w:r>
      <w:r w:rsidR="00AA5C41" w:rsidRPr="00AA5C41">
        <w:rPr>
          <w:rFonts w:ascii="Times New Roman" w:eastAsia="Times New Roman" w:hAnsi="Times New Roman" w:cs="Times New Roman"/>
          <w:szCs w:val="20"/>
          <w:lang w:val="fr-BE" w:eastAsia="en-IE"/>
        </w:rPr>
        <w:t>les conditions qu’ils estiment nécessaires en afin de protéger l’environnement</w:t>
      </w:r>
      <w:r w:rsidR="00AA5C41">
        <w:rPr>
          <w:rFonts w:ascii="Times New Roman" w:eastAsia="Times New Roman" w:hAnsi="Times New Roman" w:cs="Times New Roman"/>
          <w:szCs w:val="20"/>
          <w:lang w:val="fr-BE" w:eastAsia="en-IE"/>
        </w:rPr>
        <w:t xml:space="preserve">, </w:t>
      </w:r>
      <w:r w:rsidR="00AA5C41" w:rsidRPr="00AA5C41">
        <w:rPr>
          <w:rFonts w:ascii="Times New Roman" w:eastAsia="Times New Roman" w:hAnsi="Times New Roman" w:cs="Times New Roman"/>
          <w:szCs w:val="20"/>
          <w:lang w:val="fr-BE" w:eastAsia="en-IE"/>
        </w:rPr>
        <w:t>la configuration</w:t>
      </w:r>
      <w:r w:rsidR="00AA5C41">
        <w:rPr>
          <w:rFonts w:ascii="Times New Roman" w:eastAsia="Times New Roman" w:hAnsi="Times New Roman" w:cs="Times New Roman"/>
          <w:szCs w:val="20"/>
          <w:lang w:val="fr-BE" w:eastAsia="en-IE"/>
        </w:rPr>
        <w:t xml:space="preserve"> et la sécurité</w:t>
      </w:r>
      <w:r w:rsidR="00AA5C41" w:rsidRPr="00AA5C41">
        <w:rPr>
          <w:rFonts w:ascii="Times New Roman" w:eastAsia="Times New Roman" w:hAnsi="Times New Roman" w:cs="Times New Roman"/>
          <w:szCs w:val="20"/>
          <w:lang w:val="fr-BE" w:eastAsia="en-IE"/>
        </w:rPr>
        <w:t xml:space="preserve"> des voies navigables</w:t>
      </w:r>
      <w:r w:rsidR="00AA5C41">
        <w:rPr>
          <w:rFonts w:ascii="Times New Roman" w:eastAsia="Times New Roman" w:hAnsi="Times New Roman" w:cs="Times New Roman"/>
          <w:szCs w:val="20"/>
          <w:lang w:val="fr-BE" w:eastAsia="en-IE"/>
        </w:rPr>
        <w:t>.</w:t>
      </w:r>
    </w:p>
    <w:p w14:paraId="630E23D4" w14:textId="77777777" w:rsidR="0054357E" w:rsidRPr="00EE5EBC" w:rsidRDefault="0054357E" w:rsidP="0054357E">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lang w:val="fr-FR" w:eastAsia="en-IE"/>
        </w:rPr>
      </w:pPr>
    </w:p>
    <w:p w14:paraId="747BC5AF" w14:textId="227D4E4F" w:rsidR="0054357E" w:rsidRPr="00657D92" w:rsidRDefault="0054357E" w:rsidP="0054357E">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lang w:val="fr-BE"/>
        </w:rPr>
      </w:pPr>
      <w:r w:rsidRPr="00657D92">
        <w:rPr>
          <w:rFonts w:ascii="Times New Roman" w:hAnsi="Times New Roman" w:cs="Times New Roman"/>
          <w:i/>
          <w:iCs/>
          <w:sz w:val="20"/>
          <w:szCs w:val="16"/>
          <w:lang w:val="fr-FR"/>
        </w:rPr>
        <w:t>« </w:t>
      </w:r>
      <w:r w:rsidRPr="00657D92">
        <w:rPr>
          <w:rFonts w:ascii="Times New Roman" w:hAnsi="Times New Roman" w:cs="Times New Roman"/>
          <w:i/>
          <w:iCs/>
          <w:sz w:val="20"/>
          <w:szCs w:val="16"/>
          <w:lang w:val="fr-BE"/>
        </w:rPr>
        <w:t>34</w:t>
      </w:r>
      <w:r w:rsidR="005C053F">
        <w:rPr>
          <w:rFonts w:ascii="Times New Roman" w:hAnsi="Times New Roman" w:cs="Times New Roman"/>
          <w:i/>
          <w:iCs/>
          <w:sz w:val="20"/>
          <w:szCs w:val="16"/>
          <w:lang w:val="fr-BE"/>
        </w:rPr>
        <w:t xml:space="preserve">. </w:t>
      </w:r>
      <w:r w:rsidRPr="00657D92">
        <w:rPr>
          <w:rFonts w:ascii="Times New Roman" w:hAnsi="Times New Roman" w:cs="Times New Roman"/>
          <w:i/>
          <w:iCs/>
          <w:sz w:val="20"/>
          <w:szCs w:val="16"/>
          <w:lang w:val="fr-BE"/>
        </w:rPr>
        <w:t>En premier lieu, les États membres disposent, certes, du droit, prévu à l’article 2, paragraphe 2, de la directive 94/25, de définir, au niveau national, les conditions qu’ils estiment nécessaires en matière de navigation dans certaines eaux afin de protéger l’environnement et la configuration des voies navigables et afin d’assurer la sécurité sur celles-ci. Toutefois, ces dispositions de la réglementation nationale ne peuvent en aucun cas être considérées comme étant adoptées aux fins de la mise en conformité avec un acte communautaire contraignant.</w:t>
      </w:r>
    </w:p>
    <w:p w14:paraId="4B5BC30F" w14:textId="77777777" w:rsidR="0054357E" w:rsidRPr="00657D92" w:rsidRDefault="0054357E" w:rsidP="0054357E">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lang w:val="fr-BE"/>
        </w:rPr>
      </w:pPr>
    </w:p>
    <w:p w14:paraId="68132237" w14:textId="6E8B8238" w:rsidR="000F7DA5" w:rsidRDefault="0054357E" w:rsidP="0010597E">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657D92">
        <w:rPr>
          <w:rFonts w:ascii="Times New Roman" w:hAnsi="Times New Roman" w:cs="Times New Roman"/>
          <w:i/>
          <w:iCs/>
          <w:sz w:val="20"/>
          <w:szCs w:val="16"/>
          <w:lang w:val="fr-BE"/>
        </w:rPr>
        <w:t>35</w:t>
      </w:r>
      <w:r w:rsidR="005C053F">
        <w:rPr>
          <w:rFonts w:ascii="Times New Roman" w:hAnsi="Times New Roman" w:cs="Times New Roman"/>
          <w:i/>
          <w:iCs/>
          <w:sz w:val="20"/>
          <w:szCs w:val="16"/>
          <w:lang w:val="fr-BE"/>
        </w:rPr>
        <w:t xml:space="preserve">. </w:t>
      </w:r>
      <w:r w:rsidRPr="00657D92">
        <w:rPr>
          <w:rFonts w:ascii="Times New Roman" w:hAnsi="Times New Roman" w:cs="Times New Roman"/>
          <w:i/>
          <w:iCs/>
          <w:sz w:val="20"/>
          <w:szCs w:val="16"/>
          <w:lang w:val="fr-BE"/>
        </w:rPr>
        <w:t>Il s’ensuit que le règlement sur la navigation dans les lagunes qui introduit des limites techniques pour les bateaux de plaisance, en application de l’article 2, paragraphe 2, de la directive 94/25, n’entre pas dans le champ d’application de l’article 10, paragraphe 1, premier tiret, de la directive 98/34. »</w:t>
      </w:r>
    </w:p>
    <w:p w14:paraId="2130908C" w14:textId="77777777" w:rsidR="0010597E" w:rsidRDefault="0010597E" w:rsidP="0010597E">
      <w:pPr>
        <w:widowControl w:val="0"/>
        <w:tabs>
          <w:tab w:val="left" w:pos="396"/>
          <w:tab w:val="left" w:pos="40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30C094CF" w14:textId="77777777" w:rsidR="0010597E" w:rsidRPr="00C54456" w:rsidRDefault="00B3389F" w:rsidP="0010597E">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91" w:history="1">
        <w:r w:rsidR="0010597E" w:rsidRPr="00C14379">
          <w:rPr>
            <w:rStyle w:val="Hyperlink"/>
            <w:rFonts w:ascii="Times New Roman" w:eastAsia="Times New Roman" w:hAnsi="Times New Roman" w:cs="Times New Roman"/>
            <w:b/>
            <w:i/>
            <w:color w:val="0000FF"/>
            <w:szCs w:val="20"/>
            <w:lang w:val="fr" w:eastAsia="en-IE"/>
          </w:rPr>
          <w:t>Arrêt du 9 mars 2023</w:t>
        </w:r>
      </w:hyperlink>
      <w:r w:rsidR="0010597E" w:rsidRPr="00C54456">
        <w:rPr>
          <w:rFonts w:ascii="Times New Roman" w:eastAsia="Times New Roman" w:hAnsi="Times New Roman" w:cs="Times New Roman"/>
          <w:b/>
          <w:i/>
          <w:szCs w:val="20"/>
          <w:lang w:val="fr" w:eastAsia="en-IE"/>
        </w:rPr>
        <w:t xml:space="preserve">, </w:t>
      </w:r>
      <w:r w:rsidR="0010597E">
        <w:rPr>
          <w:rFonts w:ascii="Times New Roman" w:eastAsia="Times New Roman" w:hAnsi="Times New Roman" w:cs="Times New Roman"/>
          <w:b/>
          <w:i/>
          <w:szCs w:val="20"/>
          <w:lang w:val="fr" w:eastAsia="en-IE"/>
        </w:rPr>
        <w:t>Vapo Atlantic</w:t>
      </w:r>
      <w:r w:rsidR="0010597E" w:rsidRPr="00C54456">
        <w:rPr>
          <w:rFonts w:ascii="Times New Roman" w:eastAsia="Times New Roman" w:hAnsi="Times New Roman" w:cs="Times New Roman"/>
          <w:b/>
          <w:i/>
          <w:szCs w:val="20"/>
          <w:lang w:val="fr" w:eastAsia="en-IE"/>
        </w:rPr>
        <w:t xml:space="preserve">, </w:t>
      </w:r>
      <w:r w:rsidR="0010597E" w:rsidRPr="000E2243">
        <w:rPr>
          <w:rFonts w:ascii="Times New Roman" w:eastAsia="Times New Roman" w:hAnsi="Times New Roman" w:cs="Times New Roman"/>
          <w:b/>
          <w:i/>
          <w:szCs w:val="20"/>
          <w:lang w:val="fr-BE" w:eastAsia="en-IE"/>
        </w:rPr>
        <w:t>C</w:t>
      </w:r>
      <w:r w:rsidR="0010597E" w:rsidRPr="000E2243">
        <w:rPr>
          <w:rFonts w:ascii="Times New Roman" w:eastAsia="Times New Roman" w:hAnsi="Times New Roman" w:cs="Times New Roman"/>
          <w:b/>
          <w:i/>
          <w:szCs w:val="20"/>
          <w:lang w:val="fr-BE" w:eastAsia="en-IE"/>
        </w:rPr>
        <w:noBreakHyphen/>
        <w:t>604/21</w:t>
      </w:r>
      <w:r w:rsidR="0010597E" w:rsidRPr="00C54456">
        <w:rPr>
          <w:rFonts w:ascii="Times New Roman" w:eastAsia="Times New Roman" w:hAnsi="Times New Roman" w:cs="Times New Roman"/>
          <w:b/>
          <w:i/>
          <w:szCs w:val="20"/>
          <w:lang w:val="fr" w:eastAsia="en-IE"/>
        </w:rPr>
        <w:t xml:space="preserve">, </w:t>
      </w:r>
      <w:r w:rsidR="0010597E" w:rsidRPr="000E2243">
        <w:rPr>
          <w:rFonts w:ascii="Times New Roman" w:eastAsia="Times New Roman" w:hAnsi="Times New Roman" w:cs="Times New Roman"/>
          <w:b/>
          <w:i/>
          <w:szCs w:val="20"/>
          <w:lang w:val="fr-BE" w:eastAsia="en-IE"/>
        </w:rPr>
        <w:t>EU:C:2023:175</w:t>
      </w:r>
      <w:r w:rsidR="0010597E" w:rsidRPr="00C54456">
        <w:rPr>
          <w:rFonts w:ascii="Times New Roman" w:eastAsia="Times New Roman" w:hAnsi="Times New Roman" w:cs="Times New Roman"/>
          <w:b/>
          <w:i/>
          <w:szCs w:val="20"/>
          <w:lang w:val="fr" w:eastAsia="en-IE"/>
        </w:rPr>
        <w:t xml:space="preserve">, points </w:t>
      </w:r>
      <w:r w:rsidR="0010597E">
        <w:rPr>
          <w:rFonts w:ascii="Times New Roman" w:eastAsia="Times New Roman" w:hAnsi="Times New Roman" w:cs="Times New Roman"/>
          <w:b/>
          <w:i/>
          <w:szCs w:val="20"/>
          <w:lang w:val="fr" w:eastAsia="en-IE"/>
        </w:rPr>
        <w:t>46 à 50</w:t>
      </w:r>
    </w:p>
    <w:p w14:paraId="671998C5" w14:textId="77777777" w:rsidR="0010597E" w:rsidRPr="00C54456" w:rsidRDefault="0010597E" w:rsidP="0010597E">
      <w:pPr>
        <w:widowControl w:val="0"/>
        <w:autoSpaceDE w:val="0"/>
        <w:autoSpaceDN w:val="0"/>
        <w:spacing w:after="0" w:line="240" w:lineRule="auto"/>
        <w:jc w:val="both"/>
        <w:rPr>
          <w:rFonts w:ascii="Times New Roman" w:eastAsia="Times New Roman" w:hAnsi="Times New Roman" w:cs="Times New Roman"/>
          <w:szCs w:val="20"/>
          <w:lang w:val="fr" w:eastAsia="en-IE"/>
        </w:rPr>
      </w:pPr>
    </w:p>
    <w:p w14:paraId="5C06BA05" w14:textId="550D3F5D" w:rsidR="0010597E" w:rsidRPr="006A21E5" w:rsidRDefault="0010597E" w:rsidP="0010597E">
      <w:pPr>
        <w:widowControl w:val="0"/>
        <w:autoSpaceDE w:val="0"/>
        <w:autoSpaceDN w:val="0"/>
        <w:spacing w:after="0" w:line="240" w:lineRule="auto"/>
        <w:jc w:val="both"/>
        <w:outlineLvl w:val="1"/>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 xml:space="preserve">Une législation nationale </w:t>
      </w:r>
      <w:r w:rsidRPr="000E2243">
        <w:rPr>
          <w:rFonts w:ascii="Times New Roman" w:eastAsia="Times New Roman" w:hAnsi="Times New Roman" w:cs="Times New Roman"/>
          <w:szCs w:val="20"/>
          <w:lang w:val="fr" w:eastAsia="en-IE"/>
        </w:rPr>
        <w:t>qui exige de</w:t>
      </w:r>
      <w:r>
        <w:rPr>
          <w:rFonts w:ascii="Times New Roman" w:eastAsia="Times New Roman" w:hAnsi="Times New Roman" w:cs="Times New Roman"/>
          <w:szCs w:val="20"/>
          <w:lang w:val="fr" w:eastAsia="en-IE"/>
        </w:rPr>
        <w:t xml:space="preserve">s </w:t>
      </w:r>
      <w:r w:rsidRPr="000E2243">
        <w:rPr>
          <w:rFonts w:ascii="Times New Roman" w:eastAsia="Times New Roman" w:hAnsi="Times New Roman" w:cs="Times New Roman"/>
          <w:szCs w:val="20"/>
          <w:lang w:val="fr" w:eastAsia="en-IE"/>
        </w:rPr>
        <w:t>opérateurs économiques</w:t>
      </w:r>
      <w:r>
        <w:rPr>
          <w:rFonts w:ascii="Times New Roman" w:eastAsia="Times New Roman" w:hAnsi="Times New Roman" w:cs="Times New Roman"/>
          <w:szCs w:val="20"/>
          <w:lang w:val="fr" w:eastAsia="en-IE"/>
        </w:rPr>
        <w:t xml:space="preserve"> mettant du carburant routier à la consommation</w:t>
      </w:r>
      <w:r w:rsidRPr="000E2243">
        <w:rPr>
          <w:rFonts w:ascii="Times New Roman" w:eastAsia="Times New Roman" w:hAnsi="Times New Roman" w:cs="Times New Roman"/>
          <w:szCs w:val="20"/>
          <w:lang w:val="fr" w:eastAsia="en-IE"/>
        </w:rPr>
        <w:t xml:space="preserve"> qu’ils contribuent au respect des objectifs d’incorporation de biocarburants dans les carburants routiers </w:t>
      </w:r>
      <w:r>
        <w:rPr>
          <w:rFonts w:ascii="Times New Roman" w:eastAsia="Times New Roman" w:hAnsi="Times New Roman" w:cs="Times New Roman"/>
          <w:szCs w:val="20"/>
          <w:lang w:val="fr" w:eastAsia="en-IE"/>
        </w:rPr>
        <w:t xml:space="preserve">ne transpose pas des dispositions européennes visant la réduction d’utilisation de certains carburant. Effectivement, une norme européenne </w:t>
      </w:r>
    </w:p>
    <w:p w14:paraId="091B46B5" w14:textId="77777777" w:rsidR="0010597E" w:rsidRPr="006A21E5" w:rsidRDefault="0010597E" w:rsidP="0010597E">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76744F03" w14:textId="660600D4"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A21E5">
        <w:rPr>
          <w:rFonts w:ascii="Times New Roman" w:hAnsi="Times New Roman" w:cs="Times New Roman"/>
          <w:i/>
          <w:iCs/>
          <w:sz w:val="20"/>
          <w:szCs w:val="20"/>
          <w:lang w:val="fr-BE"/>
        </w:rPr>
        <w:t>« 46</w:t>
      </w:r>
      <w:r w:rsidR="005C053F">
        <w:rPr>
          <w:rFonts w:ascii="Times New Roman" w:hAnsi="Times New Roman" w:cs="Times New Roman"/>
          <w:i/>
          <w:iCs/>
          <w:sz w:val="20"/>
          <w:szCs w:val="20"/>
          <w:lang w:val="fr-BE"/>
        </w:rPr>
        <w:t>.</w:t>
      </w:r>
      <w:r w:rsidRPr="006A21E5">
        <w:rPr>
          <w:rFonts w:ascii="Times New Roman" w:hAnsi="Times New Roman" w:cs="Times New Roman"/>
          <w:i/>
          <w:iCs/>
          <w:sz w:val="20"/>
          <w:szCs w:val="20"/>
          <w:lang w:val="fr-BE"/>
        </w:rPr>
        <w:t xml:space="preserve"> </w:t>
      </w:r>
      <w:r>
        <w:rPr>
          <w:rFonts w:ascii="Times New Roman" w:hAnsi="Times New Roman" w:cs="Times New Roman"/>
          <w:i/>
          <w:iCs/>
          <w:sz w:val="20"/>
          <w:szCs w:val="20"/>
          <w:lang w:val="fr-BE"/>
        </w:rPr>
        <w:t>[…]</w:t>
      </w:r>
      <w:r w:rsidRPr="006A21E5">
        <w:rPr>
          <w:rFonts w:ascii="Times New Roman" w:hAnsi="Times New Roman" w:cs="Times New Roman"/>
          <w:i/>
          <w:iCs/>
          <w:sz w:val="20"/>
          <w:szCs w:val="20"/>
          <w:lang w:val="fr-BE"/>
        </w:rPr>
        <w:t xml:space="preserve"> conformément à l’article 1er, point 6, de la directive 98/34, constitue une « norme », au sens de cette directive, une spécification technique approuvée par un organisme reconnu à activité normative dont l’observation n’est pas obligatoire et qui relève de la catégorie des normes internationales, de celle des normes européennes ou de celle des normes nationales. La « norme européenne » est définie par cette disposition comme étant celle qui est adoptée par un organisme européen de normalisation et qui est mise à la disposition du public.</w:t>
      </w:r>
    </w:p>
    <w:p w14:paraId="67082E4F" w14:textId="77777777"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3FE56F3B" w14:textId="0ED54280"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A21E5">
        <w:rPr>
          <w:rFonts w:ascii="Times New Roman" w:hAnsi="Times New Roman" w:cs="Times New Roman"/>
          <w:i/>
          <w:iCs/>
          <w:sz w:val="20"/>
          <w:szCs w:val="20"/>
          <w:lang w:val="fr-BE"/>
        </w:rPr>
        <w:t>47</w:t>
      </w:r>
      <w:r w:rsidR="005C053F">
        <w:rPr>
          <w:rFonts w:ascii="Times New Roman" w:hAnsi="Times New Roman" w:cs="Times New Roman"/>
          <w:i/>
          <w:iCs/>
          <w:sz w:val="20"/>
          <w:szCs w:val="20"/>
          <w:lang w:val="fr-BE"/>
        </w:rPr>
        <w:t xml:space="preserve">. </w:t>
      </w:r>
      <w:r w:rsidRPr="006A21E5">
        <w:rPr>
          <w:rFonts w:ascii="Times New Roman" w:hAnsi="Times New Roman" w:cs="Times New Roman"/>
          <w:i/>
          <w:iCs/>
          <w:sz w:val="20"/>
          <w:szCs w:val="20"/>
          <w:lang w:val="fr-BE"/>
        </w:rPr>
        <w:t>Il découle ainsi de ces définitions que la notion de « norme européenne » entendue dans le contexte des règles techniques, et plus spécifiquement de la directive 98/34, a un champ limité aux normes adoptées par un organisme européen de normalisation.</w:t>
      </w:r>
    </w:p>
    <w:p w14:paraId="5FE8FECD" w14:textId="77777777"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0883EC8C" w14:textId="4EE41869"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A21E5">
        <w:rPr>
          <w:rFonts w:ascii="Times New Roman" w:hAnsi="Times New Roman" w:cs="Times New Roman"/>
          <w:i/>
          <w:iCs/>
          <w:sz w:val="20"/>
          <w:szCs w:val="20"/>
          <w:lang w:val="fr-BE"/>
        </w:rPr>
        <w:t>48</w:t>
      </w:r>
      <w:r w:rsidR="005C053F">
        <w:rPr>
          <w:rFonts w:ascii="Times New Roman" w:hAnsi="Times New Roman" w:cs="Times New Roman"/>
          <w:i/>
          <w:iCs/>
          <w:sz w:val="20"/>
          <w:szCs w:val="20"/>
          <w:lang w:val="fr-BE"/>
        </w:rPr>
        <w:t xml:space="preserve">. </w:t>
      </w:r>
      <w:r w:rsidRPr="006A21E5">
        <w:rPr>
          <w:rFonts w:ascii="Times New Roman" w:hAnsi="Times New Roman" w:cs="Times New Roman"/>
          <w:i/>
          <w:iCs/>
          <w:sz w:val="20"/>
          <w:szCs w:val="20"/>
          <w:lang w:val="fr-BE"/>
        </w:rPr>
        <w:t>Or, il ne ressort ni de l’article 3, paragraphe 4, de la directive 2009/28 ni de l’article 7 bis, paragraphe 2, de la directive 98/70 que le législateur de l’Union a adopté, au moyen de ces dispositions, des « normes européennes » au sens de l’article 1er, point 6, de la directive 98/34.</w:t>
      </w:r>
    </w:p>
    <w:p w14:paraId="481663D1" w14:textId="77777777"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1E00222B" w14:textId="72D2A9DA"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A21E5">
        <w:rPr>
          <w:rFonts w:ascii="Times New Roman" w:hAnsi="Times New Roman" w:cs="Times New Roman"/>
          <w:i/>
          <w:iCs/>
          <w:sz w:val="20"/>
          <w:szCs w:val="20"/>
          <w:lang w:val="fr-BE"/>
        </w:rPr>
        <w:t>49</w:t>
      </w:r>
      <w:r w:rsidR="005C053F">
        <w:rPr>
          <w:rFonts w:ascii="Times New Roman" w:hAnsi="Times New Roman" w:cs="Times New Roman"/>
          <w:i/>
          <w:iCs/>
          <w:sz w:val="20"/>
          <w:szCs w:val="20"/>
          <w:lang w:val="fr-BE"/>
        </w:rPr>
        <w:t xml:space="preserve">. </w:t>
      </w:r>
      <w:r w:rsidRPr="006A21E5">
        <w:rPr>
          <w:rFonts w:ascii="Times New Roman" w:hAnsi="Times New Roman" w:cs="Times New Roman"/>
          <w:i/>
          <w:iCs/>
          <w:sz w:val="20"/>
          <w:szCs w:val="20"/>
          <w:lang w:val="fr-BE"/>
        </w:rPr>
        <w:t xml:space="preserve">En effet, d’une part, l’article 3, paragraphe 4, de la directive 2009/28, lu à la lumière des considérants 8 et 9 ainsi que de l’article 1er de celle-ci, se borne à fixer des objectifs contraignants selon lesquels la </w:t>
      </w:r>
      <w:r w:rsidRPr="006A21E5">
        <w:rPr>
          <w:rFonts w:ascii="Times New Roman" w:hAnsi="Times New Roman" w:cs="Times New Roman"/>
          <w:i/>
          <w:iCs/>
          <w:sz w:val="20"/>
          <w:szCs w:val="20"/>
          <w:lang w:val="fr-BE"/>
        </w:rPr>
        <w:lastRenderedPageBreak/>
        <w:t>part de l’énergie produite à partir de sources renouvelables dans toutes les formes de transport en 2020 soit au moins égale à 10 % de la consommation finale d’énergie dans le secteur des transports dans chaque État membre, tout en laissant aux États membres une marge d’appréciation quant aux mesures qu’ils estiment appropriées pour atteindre ces objectifs.</w:t>
      </w:r>
    </w:p>
    <w:p w14:paraId="062B8BEA" w14:textId="77777777" w:rsidR="0010597E" w:rsidRPr="006A21E5"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p>
    <w:p w14:paraId="4FA33DA3" w14:textId="79F0DE4D" w:rsidR="0010597E" w:rsidRDefault="0010597E" w:rsidP="0010597E">
      <w:pPr>
        <w:widowControl w:val="0"/>
        <w:autoSpaceDE w:val="0"/>
        <w:autoSpaceDN w:val="0"/>
        <w:spacing w:after="0" w:line="240" w:lineRule="auto"/>
        <w:ind w:left="567"/>
        <w:jc w:val="both"/>
        <w:outlineLvl w:val="1"/>
        <w:rPr>
          <w:rFonts w:ascii="Times New Roman" w:hAnsi="Times New Roman" w:cs="Times New Roman"/>
          <w:i/>
          <w:iCs/>
          <w:sz w:val="20"/>
          <w:szCs w:val="20"/>
          <w:lang w:val="fr-BE"/>
        </w:rPr>
      </w:pPr>
      <w:r w:rsidRPr="006A21E5">
        <w:rPr>
          <w:rFonts w:ascii="Times New Roman" w:hAnsi="Times New Roman" w:cs="Times New Roman"/>
          <w:i/>
          <w:iCs/>
          <w:sz w:val="20"/>
          <w:szCs w:val="20"/>
          <w:lang w:val="fr-BE"/>
        </w:rPr>
        <w:t>50</w:t>
      </w:r>
      <w:r w:rsidR="005C053F">
        <w:rPr>
          <w:rFonts w:ascii="Times New Roman" w:hAnsi="Times New Roman" w:cs="Times New Roman"/>
          <w:i/>
          <w:iCs/>
          <w:sz w:val="20"/>
          <w:szCs w:val="20"/>
          <w:lang w:val="fr-BE"/>
        </w:rPr>
        <w:t xml:space="preserve">. </w:t>
      </w:r>
      <w:r w:rsidRPr="006A21E5">
        <w:rPr>
          <w:rFonts w:ascii="Times New Roman" w:hAnsi="Times New Roman" w:cs="Times New Roman"/>
          <w:i/>
          <w:iCs/>
          <w:sz w:val="20"/>
          <w:szCs w:val="20"/>
          <w:lang w:val="fr-BE"/>
        </w:rPr>
        <w:t>D’autre part, l’article 7 bis, paragraphe 2, de la directive 98/70 concrétise la volonté du législateur de l’Union de réduire les émissions de gaz à effet de serre produites sur l’ensemble du cycle de vie du carburant ou de l’énergie fournis, par unité d’énergie, à hauteur de 10 %. Toutefois, ainsi que cela ressort de cette disposition, lue en combinaison avec les considérants 8 et 9 de la directive 2009/30, les États membres conservent une marge d’appréciation pour parvenir à cette réduction, grâce à l’utilisation de biocarburants ou de carburants de substitution ou encore grâce à la réduction des opérations de brûlage à la torche. »</w:t>
      </w:r>
    </w:p>
    <w:p w14:paraId="50CBAD34" w14:textId="77777777" w:rsidR="0010597E" w:rsidRDefault="0010597E" w:rsidP="0010597E">
      <w:pPr>
        <w:widowControl w:val="0"/>
        <w:tabs>
          <w:tab w:val="left" w:pos="396"/>
          <w:tab w:val="left" w:pos="405"/>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398D48AB" w14:textId="7C0003A3" w:rsidR="003F4602" w:rsidRPr="00AA3D94" w:rsidRDefault="000F7DA5" w:rsidP="00AA3D94">
      <w:pPr>
        <w:spacing w:after="0" w:line="240" w:lineRule="auto"/>
        <w:rPr>
          <w:rFonts w:ascii="Times New Roman" w:hAnsi="Times New Roman" w:cs="Times New Roman"/>
          <w:i/>
          <w:iCs/>
          <w:sz w:val="20"/>
          <w:szCs w:val="20"/>
          <w:lang w:val="fr-BE"/>
        </w:rPr>
      </w:pPr>
      <w:r>
        <w:rPr>
          <w:rFonts w:ascii="Times New Roman" w:hAnsi="Times New Roman" w:cs="Times New Roman"/>
          <w:i/>
          <w:iCs/>
          <w:sz w:val="20"/>
          <w:szCs w:val="20"/>
          <w:lang w:val="fr-BE"/>
        </w:rPr>
        <w:br w:type="page"/>
      </w:r>
      <w:bookmarkStart w:id="92" w:name="_Ref195517548"/>
    </w:p>
    <w:p w14:paraId="17D9CF1D" w14:textId="065BC568" w:rsidR="000F7DA5" w:rsidRPr="009A64A8" w:rsidRDefault="009A64A8" w:rsidP="002C17AE">
      <w:pPr>
        <w:pStyle w:val="Heading2"/>
        <w:spacing w:after="0"/>
        <w:jc w:val="center"/>
        <w:rPr>
          <w:color w:val="auto"/>
          <w:lang w:val="fr-BE"/>
        </w:rPr>
      </w:pPr>
      <w:bookmarkStart w:id="93" w:name="_Toc203035393"/>
      <w:r w:rsidRPr="009A64A8">
        <w:rPr>
          <w:color w:val="auto"/>
          <w:lang w:val="fr-BE"/>
        </w:rPr>
        <w:lastRenderedPageBreak/>
        <w:t xml:space="preserve">b. </w:t>
      </w:r>
      <w:r w:rsidR="00E00CFA" w:rsidRPr="009A64A8">
        <w:rPr>
          <w:color w:val="auto"/>
          <w:lang w:val="fr-BE"/>
        </w:rPr>
        <w:t>Utilisation d’une c</w:t>
      </w:r>
      <w:r w:rsidR="000F7DA5" w:rsidRPr="009A64A8">
        <w:rPr>
          <w:color w:val="auto"/>
          <w:lang w:val="fr-BE"/>
        </w:rPr>
        <w:t>lause de sauvegarde</w:t>
      </w:r>
      <w:bookmarkEnd w:id="92"/>
      <w:bookmarkEnd w:id="93"/>
    </w:p>
    <w:p w14:paraId="19EB441C" w14:textId="77777777" w:rsidR="000F7DA5" w:rsidRDefault="000F7DA5" w:rsidP="002C17AE">
      <w:pPr>
        <w:pStyle w:val="BodyText"/>
        <w:ind w:left="567"/>
        <w:rPr>
          <w:lang w:val="fr-BE"/>
        </w:rPr>
      </w:pPr>
    </w:p>
    <w:p w14:paraId="71A09EF7" w14:textId="63AD5D32" w:rsidR="000F7DA5" w:rsidRPr="009C2491" w:rsidRDefault="000F7DA5" w:rsidP="000F7DA5">
      <w:pPr>
        <w:pStyle w:val="BodyText"/>
        <w:ind w:left="567"/>
        <w:rPr>
          <w:i/>
          <w:iCs/>
          <w:lang w:val="fr-BE"/>
        </w:rPr>
      </w:pPr>
      <w:r>
        <w:rPr>
          <w:i/>
          <w:iCs/>
          <w:lang w:val="fr-BE"/>
        </w:rPr>
        <w:t>« </w:t>
      </w:r>
      <w:r w:rsidRPr="009C2491">
        <w:rPr>
          <w:i/>
          <w:iCs/>
          <w:lang w:val="fr-BE"/>
        </w:rPr>
        <w:t xml:space="preserve">Les articles 5 et 6 </w:t>
      </w:r>
      <w:r w:rsidR="00C14379" w:rsidRPr="00C14379">
        <w:rPr>
          <w:lang w:val="fr-BE"/>
        </w:rPr>
        <w:t>[relatifs à l’obligation de notification et de période de statu quo]</w:t>
      </w:r>
      <w:r w:rsidR="00C14379">
        <w:rPr>
          <w:lang w:val="fr-BE"/>
        </w:rPr>
        <w:t xml:space="preserve"> </w:t>
      </w:r>
      <w:r w:rsidRPr="009C2491">
        <w:rPr>
          <w:i/>
          <w:iCs/>
          <w:lang w:val="fr-BE"/>
        </w:rPr>
        <w:t xml:space="preserve">ne s'appliquent pas aux dispositions législatives, réglementaires et administratives des États membres ou aux accords volontaires par lesquels ces derniers: </w:t>
      </w:r>
    </w:p>
    <w:p w14:paraId="39FF5DCC" w14:textId="77777777" w:rsidR="000F7DA5" w:rsidRPr="009C2491" w:rsidRDefault="000F7DA5" w:rsidP="000F7DA5">
      <w:pPr>
        <w:pStyle w:val="BodyText"/>
        <w:ind w:left="1440"/>
        <w:rPr>
          <w:i/>
          <w:iCs/>
          <w:lang w:val="fr-BE"/>
        </w:rPr>
      </w:pPr>
      <w:r>
        <w:rPr>
          <w:i/>
          <w:iCs/>
          <w:lang w:val="fr-BE"/>
        </w:rPr>
        <w:t>[…]</w:t>
      </w:r>
    </w:p>
    <w:p w14:paraId="5C590A1C" w14:textId="77777777" w:rsidR="000F7DA5" w:rsidRPr="009C2491" w:rsidRDefault="000F7DA5" w:rsidP="000F7DA5">
      <w:pPr>
        <w:pStyle w:val="BodyText"/>
        <w:ind w:left="1440"/>
        <w:rPr>
          <w:i/>
          <w:iCs/>
          <w:lang w:val="fr-BE"/>
        </w:rPr>
      </w:pPr>
      <w:r w:rsidRPr="009C2491">
        <w:rPr>
          <w:i/>
          <w:iCs/>
          <w:lang w:val="fr-BE"/>
        </w:rPr>
        <w:t xml:space="preserve">c) font usage des clauses de sauvegarde prévues dans des actes contraignants de l'Union; </w:t>
      </w:r>
    </w:p>
    <w:p w14:paraId="6099E717" w14:textId="2E15C9B9" w:rsidR="000F7DA5" w:rsidRDefault="000F7DA5" w:rsidP="000F7DA5">
      <w:pPr>
        <w:pStyle w:val="BodyText"/>
        <w:jc w:val="right"/>
      </w:pPr>
      <w:r>
        <w:t xml:space="preserve">(article 7, paragraphe 1, </w:t>
      </w:r>
      <w:r w:rsidR="001305B4">
        <w:t>point</w:t>
      </w:r>
      <w:r>
        <w:t xml:space="preserve"> c), </w:t>
      </w:r>
      <w:r w:rsidRPr="007C75A4">
        <w:t xml:space="preserve">de la directive </w:t>
      </w:r>
      <w:r w:rsidR="006C60E5">
        <w:t xml:space="preserve">(UE) </w:t>
      </w:r>
      <w:r w:rsidRPr="007C75A4">
        <w:t>2015/1535</w:t>
      </w:r>
      <w:r>
        <w:t>)</w:t>
      </w:r>
    </w:p>
    <w:p w14:paraId="0B43480F" w14:textId="77777777" w:rsidR="000F7DA5" w:rsidRDefault="000F7DA5" w:rsidP="000F7DA5">
      <w:pPr>
        <w:pStyle w:val="BodyText"/>
        <w:jc w:val="right"/>
      </w:pPr>
    </w:p>
    <w:p w14:paraId="2F300DBD" w14:textId="77777777" w:rsidR="000F7DA5" w:rsidRPr="009C2491" w:rsidRDefault="000F7DA5" w:rsidP="000F7DA5">
      <w:pPr>
        <w:pStyle w:val="BodyText"/>
        <w:ind w:left="567"/>
        <w:rPr>
          <w:i/>
          <w:iCs/>
          <w:lang w:val="fr-BE"/>
        </w:rPr>
      </w:pPr>
      <w:r w:rsidRPr="009C2491">
        <w:rPr>
          <w:i/>
          <w:iCs/>
        </w:rPr>
        <w:t>« </w:t>
      </w:r>
      <w:r w:rsidRPr="009C2491">
        <w:rPr>
          <w:i/>
          <w:iCs/>
          <w:lang w:val="fr-BE"/>
        </w:rPr>
        <w:t>Les mesures d'harmonisation visées ci-dessus comportent, dans les cas appropriés, une clause de sauvegarde autorisant les États membres à prendre, pour une ou plusieurs des raisons non économiques visées à l'article 36, des mesures provisoires soumises à une procédure de contrôle de l'Union. »</w:t>
      </w:r>
    </w:p>
    <w:p w14:paraId="618BDE87" w14:textId="77777777" w:rsidR="000F7DA5" w:rsidRDefault="000F7DA5" w:rsidP="000F7DA5">
      <w:pPr>
        <w:pStyle w:val="BodyText"/>
        <w:jc w:val="right"/>
        <w:rPr>
          <w:lang w:val="fr-BE"/>
        </w:rPr>
      </w:pPr>
    </w:p>
    <w:p w14:paraId="4DE4DD33" w14:textId="77777777" w:rsidR="000F7DA5" w:rsidRDefault="000F7DA5" w:rsidP="000F7DA5">
      <w:pPr>
        <w:pStyle w:val="BodyText"/>
        <w:jc w:val="right"/>
        <w:rPr>
          <w:lang w:val="fr-BE"/>
        </w:rPr>
      </w:pPr>
      <w:r>
        <w:rPr>
          <w:lang w:val="fr-BE"/>
        </w:rPr>
        <w:t>(article 114, paragraphe 10, du Traité sur le fonctionnement de l’Union européenne)</w:t>
      </w:r>
    </w:p>
    <w:p w14:paraId="1738F0ED" w14:textId="77777777" w:rsidR="00701DE2" w:rsidRPr="005B5418" w:rsidRDefault="00701DE2" w:rsidP="000F7DA5">
      <w:pPr>
        <w:widowControl w:val="0"/>
        <w:autoSpaceDE w:val="0"/>
        <w:autoSpaceDN w:val="0"/>
        <w:spacing w:after="0" w:line="240" w:lineRule="auto"/>
        <w:jc w:val="both"/>
        <w:outlineLvl w:val="1"/>
        <w:rPr>
          <w:lang w:val="fr-BE"/>
        </w:rPr>
      </w:pPr>
    </w:p>
    <w:p w14:paraId="2737E53E" w14:textId="0944F5A6" w:rsidR="000F7DA5" w:rsidRPr="00EE5EBC"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92" w:history="1">
        <w:r w:rsidR="000F7DA5" w:rsidRPr="00EE5EBC">
          <w:rPr>
            <w:rFonts w:ascii="Times New Roman" w:eastAsia="Times New Roman" w:hAnsi="Times New Roman" w:cs="Times New Roman"/>
            <w:b/>
            <w:i/>
            <w:color w:val="0000FF"/>
            <w:szCs w:val="20"/>
            <w:u w:val="single"/>
            <w:lang w:val="fr-FR" w:eastAsia="en-IE"/>
          </w:rPr>
          <w:t>Arrêt du 8 septembre 2005</w:t>
        </w:r>
      </w:hyperlink>
      <w:r w:rsidR="000F7DA5"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 xml:space="preserve">Commission/Portugal, </w:t>
      </w:r>
      <w:r w:rsidR="000F7DA5" w:rsidRPr="00EE5EBC">
        <w:rPr>
          <w:rFonts w:ascii="Times New Roman" w:eastAsia="Times New Roman" w:hAnsi="Times New Roman" w:cs="Times New Roman"/>
          <w:b/>
          <w:i/>
          <w:szCs w:val="20"/>
          <w:lang w:val="fr-FR" w:eastAsia="en-IE"/>
        </w:rPr>
        <w:t xml:space="preserve">C-500/03, EU:C:2005:515, points 39 </w:t>
      </w:r>
      <w:r w:rsidR="00701DE2">
        <w:rPr>
          <w:rFonts w:ascii="Times New Roman" w:eastAsia="Times New Roman" w:hAnsi="Times New Roman" w:cs="Times New Roman"/>
          <w:b/>
          <w:i/>
          <w:szCs w:val="20"/>
          <w:lang w:val="fr-FR" w:eastAsia="en-IE"/>
        </w:rPr>
        <w:t>et 40</w:t>
      </w:r>
    </w:p>
    <w:p w14:paraId="77F1CCDE" w14:textId="77777777" w:rsidR="00701DE2" w:rsidRDefault="00701DE2" w:rsidP="00701DE2">
      <w:pPr>
        <w:widowControl w:val="0"/>
        <w:tabs>
          <w:tab w:val="left" w:pos="467"/>
        </w:tabs>
        <w:autoSpaceDE w:val="0"/>
        <w:autoSpaceDN w:val="0"/>
        <w:spacing w:after="0" w:line="240" w:lineRule="auto"/>
        <w:jc w:val="both"/>
        <w:rPr>
          <w:rFonts w:ascii="Times New Roman" w:eastAsia="Times New Roman" w:hAnsi="Times New Roman" w:cs="Times New Roman"/>
          <w:b/>
          <w:i/>
          <w:szCs w:val="20"/>
          <w:lang w:val="fr-FR" w:eastAsia="en-IE"/>
        </w:rPr>
      </w:pPr>
    </w:p>
    <w:p w14:paraId="707B841A" w14:textId="0CDD2966" w:rsidR="000F7DA5" w:rsidRDefault="00701DE2" w:rsidP="00701DE2">
      <w:pPr>
        <w:widowControl w:val="0"/>
        <w:tabs>
          <w:tab w:val="left" w:pos="467"/>
        </w:tabs>
        <w:autoSpaceDE w:val="0"/>
        <w:autoSpaceDN w:val="0"/>
        <w:spacing w:after="0" w:line="240" w:lineRule="auto"/>
        <w:jc w:val="both"/>
        <w:rPr>
          <w:rFonts w:ascii="Times New Roman" w:eastAsia="Times New Roman" w:hAnsi="Times New Roman" w:cs="Times New Roman"/>
          <w:szCs w:val="20"/>
          <w:lang w:val="fr-FR" w:eastAsia="en-IE"/>
        </w:rPr>
      </w:pPr>
      <w:r w:rsidRPr="00701DE2">
        <w:rPr>
          <w:rFonts w:ascii="Times New Roman" w:eastAsia="Times New Roman" w:hAnsi="Times New Roman" w:cs="Times New Roman"/>
          <w:szCs w:val="20"/>
          <w:lang w:val="fr-FR" w:eastAsia="en-IE"/>
        </w:rPr>
        <w:t xml:space="preserve">Des </w:t>
      </w:r>
      <w:r>
        <w:rPr>
          <w:rFonts w:ascii="Times New Roman" w:eastAsia="Times New Roman" w:hAnsi="Times New Roman" w:cs="Times New Roman"/>
          <w:szCs w:val="20"/>
          <w:lang w:val="fr-FR" w:eastAsia="en-IE"/>
        </w:rPr>
        <w:t xml:space="preserve">dispositions nationales créant des </w:t>
      </w:r>
      <w:r w:rsidRPr="00701DE2">
        <w:rPr>
          <w:rFonts w:ascii="Times New Roman" w:eastAsia="Times New Roman" w:hAnsi="Times New Roman" w:cs="Times New Roman"/>
          <w:szCs w:val="20"/>
          <w:lang w:val="fr-FR" w:eastAsia="en-IE"/>
        </w:rPr>
        <w:t xml:space="preserve">mesures pérennes ne peuvent bénéficier de l’exemption de notification </w:t>
      </w:r>
      <w:r>
        <w:rPr>
          <w:rFonts w:ascii="Times New Roman" w:eastAsia="Times New Roman" w:hAnsi="Times New Roman" w:cs="Times New Roman"/>
          <w:szCs w:val="20"/>
          <w:lang w:val="fr-FR" w:eastAsia="en-IE"/>
        </w:rPr>
        <w:t>réservée</w:t>
      </w:r>
      <w:r w:rsidRPr="00701DE2">
        <w:rPr>
          <w:rFonts w:ascii="Times New Roman" w:eastAsia="Times New Roman" w:hAnsi="Times New Roman" w:cs="Times New Roman"/>
          <w:szCs w:val="20"/>
          <w:lang w:val="fr-FR" w:eastAsia="en-IE"/>
        </w:rPr>
        <w:t xml:space="preserve"> au</w:t>
      </w:r>
      <w:r>
        <w:rPr>
          <w:rFonts w:ascii="Times New Roman" w:eastAsia="Times New Roman" w:hAnsi="Times New Roman" w:cs="Times New Roman"/>
          <w:szCs w:val="20"/>
          <w:lang w:val="fr-FR" w:eastAsia="en-IE"/>
        </w:rPr>
        <w:t xml:space="preserve">x </w:t>
      </w:r>
      <w:r w:rsidRPr="00701DE2">
        <w:rPr>
          <w:rFonts w:ascii="Times New Roman" w:eastAsia="Times New Roman" w:hAnsi="Times New Roman" w:cs="Times New Roman"/>
          <w:szCs w:val="20"/>
          <w:lang w:val="fr-FR" w:eastAsia="en-IE"/>
        </w:rPr>
        <w:t>clauses de sauvegardes car, par définition, ces dernières ne comprennent que des mesures</w:t>
      </w:r>
      <w:r>
        <w:rPr>
          <w:rFonts w:ascii="Times New Roman" w:eastAsia="Times New Roman" w:hAnsi="Times New Roman" w:cs="Times New Roman"/>
          <w:szCs w:val="20"/>
          <w:lang w:val="fr-FR" w:eastAsia="en-IE"/>
        </w:rPr>
        <w:t xml:space="preserve"> </w:t>
      </w:r>
      <w:r w:rsidRPr="00701DE2">
        <w:rPr>
          <w:rFonts w:ascii="Times New Roman" w:eastAsia="Times New Roman" w:hAnsi="Times New Roman" w:cs="Times New Roman"/>
          <w:szCs w:val="20"/>
          <w:lang w:val="fr-FR" w:eastAsia="en-IE"/>
        </w:rPr>
        <w:t>provisoires.</w:t>
      </w:r>
    </w:p>
    <w:p w14:paraId="3BBB6CDB" w14:textId="77777777" w:rsidR="00701DE2" w:rsidRPr="00EE5EBC" w:rsidRDefault="00701DE2" w:rsidP="00701DE2">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lang w:val="fr-FR" w:eastAsia="en-IE"/>
        </w:rPr>
      </w:pPr>
    </w:p>
    <w:p w14:paraId="5FBF5694" w14:textId="47C3AB08" w:rsidR="00701DE2" w:rsidRPr="00701DE2" w:rsidRDefault="000F7DA5" w:rsidP="00701DE2">
      <w:pPr>
        <w:pStyle w:val="BodyText"/>
        <w:ind w:left="567"/>
        <w:rPr>
          <w:i/>
          <w:iCs/>
          <w:sz w:val="20"/>
          <w:szCs w:val="16"/>
          <w:lang w:val="fr-BE"/>
        </w:rPr>
      </w:pPr>
      <w:r w:rsidRPr="00EE5EBC">
        <w:rPr>
          <w:i/>
          <w:iCs/>
          <w:sz w:val="20"/>
          <w:szCs w:val="16"/>
          <w:lang w:val="fr-FR"/>
        </w:rPr>
        <w:t>« </w:t>
      </w:r>
      <w:r w:rsidR="00701DE2" w:rsidRPr="00701DE2">
        <w:rPr>
          <w:i/>
          <w:iCs/>
          <w:sz w:val="20"/>
          <w:szCs w:val="16"/>
          <w:lang w:val="fr-BE"/>
        </w:rPr>
        <w:t>39</w:t>
      </w:r>
      <w:r w:rsidR="005C053F">
        <w:rPr>
          <w:i/>
          <w:iCs/>
          <w:sz w:val="20"/>
          <w:szCs w:val="16"/>
          <w:lang w:val="fr-BE"/>
        </w:rPr>
        <w:t>.</w:t>
      </w:r>
      <w:r w:rsidR="00701DE2" w:rsidRPr="00701DE2">
        <w:rPr>
          <w:i/>
          <w:iCs/>
          <w:sz w:val="20"/>
          <w:szCs w:val="16"/>
          <w:lang w:val="fr-BE"/>
        </w:rPr>
        <w:t xml:space="preserve"> Le présent recours en manquement se limitant à la demande de constatation du non-respect de la procédure formelle de notification préalable, il suffit de rappeler, sans qu’il soit nécessaire de répondre aux autres arguments des parties, que la Cour a déjà jugé que l’article 8, paragraphe 1, de la directive 98/34 oblige les États membres à communiquer immédiatement à la Commission tout projet de règle technique (voir notamment, en ce sens, s’agissant de dispositions similaires à celles de cette directive, arrêts du 2 août 1993, Commission/Italie, C‑139/92, Rec. p. I‑4707, point 3, et du 11 janvier 1996, Commission/Pays-Bas, C‑273/94, Rec. p. I-31, point 15).</w:t>
      </w:r>
    </w:p>
    <w:p w14:paraId="4A696586" w14:textId="77777777" w:rsidR="00701DE2" w:rsidRPr="00701DE2" w:rsidRDefault="00701DE2" w:rsidP="00701DE2">
      <w:pPr>
        <w:pStyle w:val="BodyText"/>
        <w:ind w:left="567"/>
        <w:rPr>
          <w:i/>
          <w:iCs/>
          <w:sz w:val="20"/>
          <w:szCs w:val="16"/>
          <w:lang w:val="fr-BE"/>
        </w:rPr>
      </w:pPr>
    </w:p>
    <w:p w14:paraId="7FC8797C" w14:textId="48CFC022" w:rsidR="000F7DA5" w:rsidRDefault="00701DE2" w:rsidP="00701DE2">
      <w:pPr>
        <w:pStyle w:val="BodyText"/>
        <w:ind w:left="567"/>
        <w:jc w:val="left"/>
        <w:rPr>
          <w:lang w:val="fr-BE"/>
        </w:rPr>
      </w:pPr>
      <w:r w:rsidRPr="00701DE2">
        <w:rPr>
          <w:i/>
          <w:iCs/>
          <w:sz w:val="20"/>
          <w:szCs w:val="16"/>
          <w:lang w:val="fr-BE"/>
        </w:rPr>
        <w:t>40</w:t>
      </w:r>
      <w:r w:rsidR="005C053F">
        <w:rPr>
          <w:i/>
          <w:iCs/>
          <w:sz w:val="20"/>
          <w:szCs w:val="16"/>
          <w:lang w:val="fr-BE"/>
        </w:rPr>
        <w:t xml:space="preserve">. </w:t>
      </w:r>
      <w:r w:rsidRPr="00701DE2">
        <w:rPr>
          <w:i/>
          <w:iCs/>
          <w:sz w:val="20"/>
          <w:szCs w:val="16"/>
          <w:lang w:val="fr-BE"/>
        </w:rPr>
        <w:t>Les dispositions concernées de l’arrêté n° 783/98 constituant des règles techniques au sens de la directive 98/34, ainsi que cela a été dit au point 31 du présent arrêt, la République portugaise était tenue de procéder à leur notification sous la forme de projet en application de l’article 8, paragraphe 1, de la directive 98/34 (voir notamment, en ce sens, s’agissant de dispositions similaires à celles de la directive 98/34, arrêts du 7 mai 1998, Commission/Belgique, C‑145/97, Rec. p. I‑2643, point 13, et du 21 avril 2005, Lindberg, C‑267/03, non encore publié au Recueil, point 43).</w:t>
      </w:r>
      <w:r>
        <w:rPr>
          <w:i/>
          <w:iCs/>
          <w:sz w:val="20"/>
          <w:szCs w:val="16"/>
          <w:lang w:val="fr-BE"/>
        </w:rPr>
        <w:t>»</w:t>
      </w:r>
    </w:p>
    <w:p w14:paraId="4127997B" w14:textId="77777777" w:rsidR="000F7DA5" w:rsidRDefault="000F7DA5" w:rsidP="000F7DA5">
      <w:pPr>
        <w:pStyle w:val="BodyText"/>
        <w:jc w:val="left"/>
        <w:rPr>
          <w:lang w:val="fr-BE"/>
        </w:rPr>
      </w:pPr>
    </w:p>
    <w:p w14:paraId="4EFFE1E6" w14:textId="36AAB4B4" w:rsidR="00701DE2" w:rsidRPr="00EE5EBC" w:rsidRDefault="00B3389F" w:rsidP="00701DE2">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93" w:history="1">
        <w:r w:rsidR="00701DE2" w:rsidRPr="00EE5EBC">
          <w:rPr>
            <w:rFonts w:ascii="Times New Roman" w:eastAsia="Times New Roman" w:hAnsi="Times New Roman" w:cs="Times New Roman"/>
            <w:b/>
            <w:i/>
            <w:color w:val="0000FF"/>
            <w:szCs w:val="20"/>
            <w:u w:val="single"/>
            <w:lang w:val="fr-FR" w:eastAsia="en-IE"/>
          </w:rPr>
          <w:t>Arrêt du 8 octobre 2020</w:t>
        </w:r>
      </w:hyperlink>
      <w:r w:rsidR="00701DE2"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Union des industries de la protection des plantes</w:t>
      </w:r>
      <w:r w:rsidR="00745699">
        <w:rPr>
          <w:rFonts w:ascii="Times New Roman" w:eastAsia="Times New Roman" w:hAnsi="Times New Roman" w:cs="Times New Roman"/>
          <w:b/>
          <w:i/>
          <w:szCs w:val="20"/>
          <w:lang w:val="fr-FR" w:eastAsia="en-IE"/>
        </w:rPr>
        <w:t>,</w:t>
      </w:r>
      <w:r w:rsidR="00745699" w:rsidRPr="00EE5EBC">
        <w:rPr>
          <w:rFonts w:ascii="Times New Roman" w:eastAsia="Times New Roman" w:hAnsi="Times New Roman" w:cs="Times New Roman"/>
          <w:b/>
          <w:i/>
          <w:szCs w:val="20"/>
          <w:lang w:val="fr-FR" w:eastAsia="en-IE"/>
        </w:rPr>
        <w:t xml:space="preserve"> </w:t>
      </w:r>
      <w:r w:rsidR="00701DE2" w:rsidRPr="00EE5EBC">
        <w:rPr>
          <w:rFonts w:ascii="Times New Roman" w:eastAsia="Times New Roman" w:hAnsi="Times New Roman" w:cs="Times New Roman"/>
          <w:b/>
          <w:i/>
          <w:szCs w:val="20"/>
          <w:lang w:val="fr-FR" w:eastAsia="en-IE"/>
        </w:rPr>
        <w:t>C-514/19, EU:C:2020:803, point</w:t>
      </w:r>
      <w:r w:rsidR="005A7E2B">
        <w:rPr>
          <w:rFonts w:ascii="Times New Roman" w:eastAsia="Times New Roman" w:hAnsi="Times New Roman" w:cs="Times New Roman"/>
          <w:b/>
          <w:i/>
          <w:szCs w:val="20"/>
          <w:lang w:val="fr-FR" w:eastAsia="en-IE"/>
        </w:rPr>
        <w:t>s</w:t>
      </w:r>
      <w:r w:rsidR="00701DE2">
        <w:rPr>
          <w:rFonts w:ascii="Times New Roman" w:eastAsia="Times New Roman" w:hAnsi="Times New Roman" w:cs="Times New Roman"/>
          <w:b/>
          <w:i/>
          <w:szCs w:val="20"/>
          <w:lang w:val="fr-FR" w:eastAsia="en-IE"/>
        </w:rPr>
        <w:t xml:space="preserve"> 46</w:t>
      </w:r>
      <w:r w:rsidR="005A7E2B">
        <w:rPr>
          <w:rFonts w:ascii="Times New Roman" w:eastAsia="Times New Roman" w:hAnsi="Times New Roman" w:cs="Times New Roman"/>
          <w:b/>
          <w:i/>
          <w:szCs w:val="20"/>
          <w:lang w:val="fr-FR" w:eastAsia="en-IE"/>
        </w:rPr>
        <w:t xml:space="preserve"> et 47</w:t>
      </w:r>
      <w:r w:rsidR="00701DE2">
        <w:rPr>
          <w:rFonts w:ascii="Times New Roman" w:eastAsia="Times New Roman" w:hAnsi="Times New Roman" w:cs="Times New Roman"/>
          <w:b/>
          <w:i/>
          <w:szCs w:val="20"/>
          <w:lang w:val="fr-FR" w:eastAsia="en-IE"/>
        </w:rPr>
        <w:t xml:space="preserve"> (renvoyant aux </w:t>
      </w:r>
      <w:hyperlink r:id="rId94" w:history="1">
        <w:r w:rsidR="00701DE2" w:rsidRPr="00C14379">
          <w:rPr>
            <w:rStyle w:val="Hyperlink"/>
            <w:rFonts w:ascii="Times New Roman" w:eastAsia="Times New Roman" w:hAnsi="Times New Roman" w:cs="Times New Roman"/>
            <w:b/>
            <w:i/>
            <w:color w:val="0000FF"/>
            <w:szCs w:val="20"/>
            <w:lang w:val="fr-FR" w:eastAsia="en-IE"/>
          </w:rPr>
          <w:t>conclusions de l’Avocate générale</w:t>
        </w:r>
      </w:hyperlink>
      <w:r w:rsidR="002C65E2">
        <w:rPr>
          <w:rStyle w:val="Hyperlink"/>
          <w:rFonts w:ascii="Times New Roman" w:eastAsia="Times New Roman" w:hAnsi="Times New Roman" w:cs="Times New Roman"/>
          <w:b/>
          <w:i/>
          <w:color w:val="0000FF"/>
          <w:szCs w:val="20"/>
          <w:lang w:val="fr-FR" w:eastAsia="en-IE"/>
        </w:rPr>
        <w:t xml:space="preserve"> </w:t>
      </w:r>
      <w:proofErr w:type="spellStart"/>
      <w:r w:rsidR="002C65E2">
        <w:rPr>
          <w:rStyle w:val="Hyperlink"/>
          <w:rFonts w:ascii="Times New Roman" w:eastAsia="Times New Roman" w:hAnsi="Times New Roman" w:cs="Times New Roman"/>
          <w:b/>
          <w:i/>
          <w:color w:val="0000FF"/>
          <w:szCs w:val="20"/>
          <w:lang w:val="fr-FR" w:eastAsia="en-IE"/>
        </w:rPr>
        <w:t>Kokott</w:t>
      </w:r>
      <w:proofErr w:type="spellEnd"/>
      <w:r w:rsidR="00701DE2">
        <w:rPr>
          <w:rFonts w:ascii="Times New Roman" w:eastAsia="Times New Roman" w:hAnsi="Times New Roman" w:cs="Times New Roman"/>
          <w:b/>
          <w:i/>
          <w:szCs w:val="20"/>
          <w:lang w:val="fr-FR" w:eastAsia="en-IE"/>
        </w:rPr>
        <w:t>,</w:t>
      </w:r>
      <w:r w:rsidR="00C14379">
        <w:rPr>
          <w:rFonts w:ascii="Times New Roman" w:eastAsia="Times New Roman" w:hAnsi="Times New Roman" w:cs="Times New Roman"/>
          <w:b/>
          <w:i/>
          <w:szCs w:val="20"/>
          <w:lang w:val="fr-FR" w:eastAsia="en-IE"/>
        </w:rPr>
        <w:t xml:space="preserve"> </w:t>
      </w:r>
      <w:r w:rsidR="00C14379" w:rsidRPr="00C14379">
        <w:rPr>
          <w:rFonts w:ascii="Times New Roman" w:eastAsia="Times New Roman" w:hAnsi="Times New Roman" w:cs="Times New Roman"/>
          <w:b/>
          <w:i/>
          <w:szCs w:val="20"/>
          <w:lang w:val="fr-BE" w:eastAsia="en-IE"/>
        </w:rPr>
        <w:t>EU:C:2020:422,</w:t>
      </w:r>
      <w:r w:rsidR="00701DE2">
        <w:rPr>
          <w:rFonts w:ascii="Times New Roman" w:eastAsia="Times New Roman" w:hAnsi="Times New Roman" w:cs="Times New Roman"/>
          <w:b/>
          <w:i/>
          <w:szCs w:val="20"/>
          <w:lang w:val="fr-FR" w:eastAsia="en-IE"/>
        </w:rPr>
        <w:t xml:space="preserve"> point 58)</w:t>
      </w:r>
    </w:p>
    <w:p w14:paraId="498A15D0" w14:textId="77777777" w:rsidR="00701DE2" w:rsidRPr="00EE5EBC" w:rsidRDefault="00701DE2" w:rsidP="00701DE2">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5B705E59" w14:textId="281B1207" w:rsidR="00701DE2" w:rsidRDefault="005A7E2B" w:rsidP="005A7E2B">
      <w:pPr>
        <w:widowControl w:val="0"/>
        <w:autoSpaceDE w:val="0"/>
        <w:autoSpaceDN w:val="0"/>
        <w:spacing w:after="0" w:line="240" w:lineRule="auto"/>
        <w:jc w:val="both"/>
        <w:rPr>
          <w:rFonts w:ascii="Times New Roman" w:eastAsia="Times New Roman" w:hAnsi="Times New Roman" w:cs="Times New Roman"/>
          <w:szCs w:val="20"/>
          <w:lang w:val="fr-FR" w:eastAsia="en-IE"/>
        </w:rPr>
      </w:pPr>
      <w:r w:rsidRPr="005A7E2B">
        <w:rPr>
          <w:rFonts w:ascii="Times New Roman" w:eastAsia="Times New Roman" w:hAnsi="Times New Roman" w:cs="Times New Roman"/>
          <w:szCs w:val="20"/>
          <w:lang w:val="fr-FR" w:eastAsia="en-IE"/>
        </w:rPr>
        <w:t xml:space="preserve">Une clause correspondant à la définition de l’article 114 </w:t>
      </w:r>
      <w:r>
        <w:rPr>
          <w:rFonts w:ascii="Times New Roman" w:eastAsia="Times New Roman" w:hAnsi="Times New Roman" w:cs="Times New Roman"/>
          <w:szCs w:val="20"/>
          <w:lang w:val="fr-FR" w:eastAsia="en-IE"/>
        </w:rPr>
        <w:t xml:space="preserve">du Traité sur le fonctionnement de l’Union européenne </w:t>
      </w:r>
      <w:r w:rsidRPr="005A7E2B">
        <w:rPr>
          <w:rFonts w:ascii="Times New Roman" w:eastAsia="Times New Roman" w:hAnsi="Times New Roman" w:cs="Times New Roman"/>
          <w:szCs w:val="20"/>
          <w:lang w:val="fr-FR" w:eastAsia="en-IE"/>
        </w:rPr>
        <w:t>est une clause de sauvegarde, même si elle</w:t>
      </w:r>
      <w:r>
        <w:rPr>
          <w:rFonts w:ascii="Times New Roman" w:eastAsia="Times New Roman" w:hAnsi="Times New Roman" w:cs="Times New Roman"/>
          <w:szCs w:val="20"/>
          <w:lang w:val="fr-FR" w:eastAsia="en-IE"/>
        </w:rPr>
        <w:t xml:space="preserve"> </w:t>
      </w:r>
      <w:r w:rsidRPr="005A7E2B">
        <w:rPr>
          <w:rFonts w:ascii="Times New Roman" w:eastAsia="Times New Roman" w:hAnsi="Times New Roman" w:cs="Times New Roman"/>
          <w:szCs w:val="20"/>
          <w:lang w:val="fr-FR" w:eastAsia="en-IE"/>
        </w:rPr>
        <w:t>n’est pas nommée ainsi par l’acte la prévoyant.</w:t>
      </w:r>
      <w:r>
        <w:rPr>
          <w:rFonts w:ascii="Times New Roman" w:eastAsia="Times New Roman" w:hAnsi="Times New Roman" w:cs="Times New Roman"/>
          <w:szCs w:val="20"/>
          <w:lang w:val="fr-FR" w:eastAsia="en-IE"/>
        </w:rPr>
        <w:t xml:space="preserve"> Dès lors, cette clause de sauvegarde bénéficie d’une exemption à l’obligation de notification.</w:t>
      </w:r>
    </w:p>
    <w:p w14:paraId="1CAE009C" w14:textId="77777777" w:rsidR="005A7E2B" w:rsidRPr="00EE5EBC" w:rsidRDefault="005A7E2B" w:rsidP="005A7E2B">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663358A5" w14:textId="164322CF" w:rsidR="005A7E2B" w:rsidRDefault="00701DE2" w:rsidP="00701DE2">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r w:rsidRPr="005A7E2B">
        <w:rPr>
          <w:rFonts w:ascii="Times New Roman" w:eastAsia="Times New Roman" w:hAnsi="Times New Roman" w:cs="Times New Roman"/>
          <w:sz w:val="20"/>
          <w:szCs w:val="20"/>
          <w:lang w:val="fr-FR" w:eastAsia="en-IE"/>
        </w:rPr>
        <w:t>(arrêt de la Cour)</w:t>
      </w:r>
      <w:r>
        <w:rPr>
          <w:rFonts w:ascii="Times New Roman" w:eastAsia="Times New Roman" w:hAnsi="Times New Roman" w:cs="Times New Roman"/>
          <w:i/>
          <w:iCs/>
          <w:sz w:val="20"/>
          <w:szCs w:val="20"/>
          <w:lang w:val="fr-FR" w:eastAsia="en-IE"/>
        </w:rPr>
        <w:t xml:space="preserve"> </w:t>
      </w:r>
      <w:r w:rsidRPr="00EE5EBC">
        <w:rPr>
          <w:rFonts w:ascii="Times New Roman" w:eastAsia="Times New Roman" w:hAnsi="Times New Roman" w:cs="Times New Roman"/>
          <w:i/>
          <w:iCs/>
          <w:sz w:val="20"/>
          <w:szCs w:val="20"/>
          <w:lang w:val="fr-FR" w:eastAsia="en-IE"/>
        </w:rPr>
        <w:t>« </w:t>
      </w:r>
      <w:r w:rsidRPr="00701DE2">
        <w:rPr>
          <w:rFonts w:ascii="Times New Roman" w:eastAsia="Times New Roman" w:hAnsi="Times New Roman" w:cs="Times New Roman"/>
          <w:i/>
          <w:iCs/>
          <w:sz w:val="20"/>
          <w:szCs w:val="20"/>
          <w:lang w:val="fr-BE" w:eastAsia="en-IE"/>
        </w:rPr>
        <w:t>46</w:t>
      </w:r>
      <w:r w:rsidR="005C053F">
        <w:rPr>
          <w:rFonts w:ascii="Times New Roman" w:eastAsia="Times New Roman" w:hAnsi="Times New Roman" w:cs="Times New Roman"/>
          <w:i/>
          <w:iCs/>
          <w:sz w:val="20"/>
          <w:szCs w:val="20"/>
          <w:lang w:val="fr-BE" w:eastAsia="en-IE"/>
        </w:rPr>
        <w:t xml:space="preserve">. </w:t>
      </w:r>
      <w:r w:rsidRPr="00701DE2">
        <w:rPr>
          <w:rFonts w:ascii="Times New Roman" w:eastAsia="Times New Roman" w:hAnsi="Times New Roman" w:cs="Times New Roman"/>
          <w:i/>
          <w:iCs/>
          <w:sz w:val="20"/>
          <w:szCs w:val="20"/>
          <w:lang w:val="fr-BE" w:eastAsia="en-IE"/>
        </w:rPr>
        <w:t>En quatrième lieu, il y a lieu de relever que l’article 71, paragraphe 1, de ce règlement doit être assimilé, ainsi que M</w:t>
      </w:r>
      <w:r w:rsidRPr="00701DE2">
        <w:rPr>
          <w:rFonts w:ascii="Times New Roman" w:eastAsia="Times New Roman" w:hAnsi="Times New Roman" w:cs="Times New Roman"/>
          <w:i/>
          <w:iCs/>
          <w:sz w:val="20"/>
          <w:szCs w:val="20"/>
          <w:vertAlign w:val="superscript"/>
          <w:lang w:val="fr-BE" w:eastAsia="en-IE"/>
        </w:rPr>
        <w:t>me</w:t>
      </w:r>
      <w:r w:rsidRPr="00701DE2">
        <w:rPr>
          <w:rFonts w:ascii="Times New Roman" w:eastAsia="Times New Roman" w:hAnsi="Times New Roman" w:cs="Times New Roman"/>
          <w:i/>
          <w:iCs/>
          <w:sz w:val="20"/>
          <w:szCs w:val="20"/>
          <w:lang w:val="fr-BE" w:eastAsia="en-IE"/>
        </w:rPr>
        <w:t> l’avocate générale l’a relevé au point 58 de ses conclusions, à une clause de sauvegarde.</w:t>
      </w:r>
      <w:r>
        <w:rPr>
          <w:rFonts w:ascii="Times New Roman" w:eastAsia="Times New Roman" w:hAnsi="Times New Roman" w:cs="Times New Roman"/>
          <w:i/>
          <w:iCs/>
          <w:sz w:val="20"/>
          <w:szCs w:val="20"/>
          <w:lang w:val="fr-BE" w:eastAsia="en-IE"/>
        </w:rPr>
        <w:t> </w:t>
      </w:r>
    </w:p>
    <w:p w14:paraId="5A8F21F5" w14:textId="77777777" w:rsidR="005A7E2B" w:rsidRDefault="005A7E2B" w:rsidP="00701DE2">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p>
    <w:p w14:paraId="00E06FA7" w14:textId="2DA381C8" w:rsidR="00701DE2" w:rsidRDefault="005A7E2B" w:rsidP="00701DE2">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r w:rsidRPr="005A7E2B">
        <w:rPr>
          <w:rFonts w:ascii="Times New Roman" w:eastAsia="Times New Roman" w:hAnsi="Times New Roman" w:cs="Times New Roman"/>
          <w:i/>
          <w:iCs/>
          <w:sz w:val="20"/>
          <w:szCs w:val="20"/>
          <w:lang w:val="fr-BE" w:eastAsia="en-IE"/>
        </w:rPr>
        <w:t>47</w:t>
      </w:r>
      <w:r w:rsidR="005C053F">
        <w:rPr>
          <w:rFonts w:ascii="Times New Roman" w:eastAsia="Times New Roman" w:hAnsi="Times New Roman" w:cs="Times New Roman"/>
          <w:i/>
          <w:iCs/>
          <w:sz w:val="20"/>
          <w:szCs w:val="20"/>
          <w:lang w:val="fr-BE" w:eastAsia="en-IE"/>
        </w:rPr>
        <w:t xml:space="preserve">. </w:t>
      </w:r>
      <w:r w:rsidRPr="005A7E2B">
        <w:rPr>
          <w:rFonts w:ascii="Times New Roman" w:eastAsia="Times New Roman" w:hAnsi="Times New Roman" w:cs="Times New Roman"/>
          <w:i/>
          <w:iCs/>
          <w:sz w:val="20"/>
          <w:szCs w:val="20"/>
          <w:lang w:val="fr-BE" w:eastAsia="en-IE"/>
        </w:rPr>
        <w:t>La distinction des procédures prévues respectivement à l’article 5 de ladite directive et à l’article 71 dudit règlement est dès lors confirmée par l’article 7, paragraphe 1, sous c), de la même directive, lequel prévoit que les articles 5 et 6 de celle-ci ne s’appliquent pas aux dispositions des États membres par lesquelles ces derniers font usage des clauses de sauvegarde prévues dans des actes contraignants de l’Union</w:t>
      </w:r>
      <w:r>
        <w:rPr>
          <w:rFonts w:ascii="Times New Roman" w:eastAsia="Times New Roman" w:hAnsi="Times New Roman" w:cs="Times New Roman"/>
          <w:i/>
          <w:iCs/>
          <w:sz w:val="20"/>
          <w:szCs w:val="20"/>
          <w:lang w:val="fr-BE" w:eastAsia="en-IE"/>
        </w:rPr>
        <w:t xml:space="preserve">. </w:t>
      </w:r>
      <w:r w:rsidR="00701DE2">
        <w:rPr>
          <w:rFonts w:ascii="Times New Roman" w:eastAsia="Times New Roman" w:hAnsi="Times New Roman" w:cs="Times New Roman"/>
          <w:i/>
          <w:iCs/>
          <w:sz w:val="20"/>
          <w:szCs w:val="20"/>
          <w:lang w:val="fr-BE" w:eastAsia="en-IE"/>
        </w:rPr>
        <w:t>»</w:t>
      </w:r>
    </w:p>
    <w:p w14:paraId="42FB846B" w14:textId="77777777" w:rsidR="00701DE2" w:rsidRDefault="00701DE2" w:rsidP="00701DE2">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p>
    <w:p w14:paraId="7FF60EBF" w14:textId="6CC67330" w:rsidR="00701DE2" w:rsidRPr="00701DE2" w:rsidRDefault="00701DE2" w:rsidP="00701DE2">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r w:rsidRPr="005A7E2B">
        <w:rPr>
          <w:rFonts w:ascii="Times New Roman" w:eastAsia="Times New Roman" w:hAnsi="Times New Roman" w:cs="Times New Roman"/>
          <w:sz w:val="20"/>
          <w:szCs w:val="20"/>
          <w:lang w:val="fr-BE" w:eastAsia="en-IE"/>
        </w:rPr>
        <w:lastRenderedPageBreak/>
        <w:t>(conclusions de l’Avocate générale)</w:t>
      </w:r>
      <w:r>
        <w:rPr>
          <w:rFonts w:ascii="Times New Roman" w:eastAsia="Times New Roman" w:hAnsi="Times New Roman" w:cs="Times New Roman"/>
          <w:i/>
          <w:iCs/>
          <w:sz w:val="20"/>
          <w:szCs w:val="20"/>
          <w:lang w:val="fr-BE" w:eastAsia="en-IE"/>
        </w:rPr>
        <w:t xml:space="preserve"> « </w:t>
      </w:r>
      <w:bookmarkStart w:id="94" w:name="point58"/>
      <w:r w:rsidRPr="00701DE2">
        <w:rPr>
          <w:rFonts w:ascii="Times New Roman" w:eastAsia="Times New Roman" w:hAnsi="Times New Roman" w:cs="Times New Roman"/>
          <w:i/>
          <w:iCs/>
          <w:sz w:val="20"/>
          <w:szCs w:val="20"/>
          <w:lang w:val="fr-BE" w:eastAsia="en-IE"/>
        </w:rPr>
        <w:t>58.</w:t>
      </w:r>
      <w:bookmarkEnd w:id="94"/>
      <w:r w:rsidR="005C053F" w:rsidRPr="00701DE2">
        <w:rPr>
          <w:rFonts w:ascii="Times New Roman" w:eastAsia="Times New Roman" w:hAnsi="Times New Roman" w:cs="Times New Roman"/>
          <w:i/>
          <w:iCs/>
          <w:sz w:val="20"/>
          <w:szCs w:val="20"/>
          <w:lang w:val="fr-BE" w:eastAsia="en-IE"/>
        </w:rPr>
        <w:t xml:space="preserve"> </w:t>
      </w:r>
      <w:r w:rsidRPr="00701DE2">
        <w:rPr>
          <w:rFonts w:ascii="Times New Roman" w:eastAsia="Times New Roman" w:hAnsi="Times New Roman" w:cs="Times New Roman"/>
          <w:i/>
          <w:iCs/>
          <w:sz w:val="20"/>
          <w:szCs w:val="20"/>
          <w:lang w:val="fr-BE" w:eastAsia="en-IE"/>
        </w:rPr>
        <w:t>Contrairement à de nombreux textes analogues, l’article 71 du règlement relatif aux produits phytopharmaceutiques n’est certes pas intitulé « clause de sauvegarde », mais, dans le fond, cette disposition répond à la définition que donne l’article 114, paragraphe 10, TFUE des clauses de sauvegarde. Elle doit dès lors être assimilée à une clause de sauvegarde également aux fins de l’article 7, paragraphe 1, sous c), de la directive notification</w:t>
      </w:r>
      <w:r>
        <w:rPr>
          <w:rFonts w:ascii="Times New Roman" w:eastAsia="Times New Roman" w:hAnsi="Times New Roman" w:cs="Times New Roman"/>
          <w:i/>
          <w:iCs/>
          <w:sz w:val="20"/>
          <w:szCs w:val="20"/>
          <w:lang w:val="fr-BE" w:eastAsia="en-IE"/>
        </w:rPr>
        <w:t>. »</w:t>
      </w:r>
    </w:p>
    <w:p w14:paraId="12FF84E6" w14:textId="18A9A21E" w:rsidR="000F7DA5" w:rsidRPr="005A7E2B" w:rsidRDefault="000F7DA5" w:rsidP="005A7E2B">
      <w:pPr>
        <w:spacing w:after="0" w:line="240" w:lineRule="auto"/>
        <w:rPr>
          <w:rFonts w:ascii="Times New Roman" w:hAnsi="Times New Roman" w:cs="Times New Roman"/>
          <w:sz w:val="20"/>
          <w:szCs w:val="20"/>
          <w:lang w:val="fr-FR"/>
        </w:rPr>
      </w:pPr>
      <w:r w:rsidRPr="000F7DA5">
        <w:rPr>
          <w:rFonts w:ascii="Times New Roman" w:hAnsi="Times New Roman" w:cs="Times New Roman"/>
          <w:sz w:val="20"/>
          <w:szCs w:val="20"/>
          <w:lang w:val="fr-FR"/>
        </w:rPr>
        <w:br w:type="page"/>
      </w:r>
    </w:p>
    <w:p w14:paraId="6087D716" w14:textId="0672713B" w:rsidR="000F7DA5" w:rsidRPr="00745699" w:rsidRDefault="009A64A8" w:rsidP="002C17AE">
      <w:pPr>
        <w:pStyle w:val="Heading2"/>
        <w:spacing w:after="0"/>
        <w:jc w:val="center"/>
        <w:rPr>
          <w:color w:val="auto"/>
          <w:lang w:val="fr-BE"/>
        </w:rPr>
      </w:pPr>
      <w:bookmarkStart w:id="95" w:name="_Ref195517564"/>
      <w:bookmarkStart w:id="96" w:name="_Toc203035394"/>
      <w:r>
        <w:rPr>
          <w:color w:val="auto"/>
          <w:lang w:val="fr-BE"/>
        </w:rPr>
        <w:lastRenderedPageBreak/>
        <w:t xml:space="preserve">c. </w:t>
      </w:r>
      <w:r w:rsidR="000F7DA5" w:rsidRPr="00745699">
        <w:rPr>
          <w:color w:val="auto"/>
          <w:lang w:val="fr-BE"/>
        </w:rPr>
        <w:t xml:space="preserve">Modification </w:t>
      </w:r>
      <w:bookmarkEnd w:id="95"/>
      <w:r w:rsidR="0095288B" w:rsidRPr="00745699">
        <w:rPr>
          <w:color w:val="auto"/>
          <w:lang w:val="fr-BE"/>
        </w:rPr>
        <w:t>conformément à une demande de la Commission</w:t>
      </w:r>
      <w:bookmarkEnd w:id="96"/>
    </w:p>
    <w:p w14:paraId="049085CF" w14:textId="77777777" w:rsidR="000F7DA5" w:rsidRDefault="000F7DA5" w:rsidP="002C17AE">
      <w:pPr>
        <w:pStyle w:val="BodyText"/>
        <w:jc w:val="left"/>
        <w:rPr>
          <w:lang w:val="fr-BE"/>
        </w:rPr>
      </w:pPr>
    </w:p>
    <w:p w14:paraId="5A5AEBEF" w14:textId="17F2C393" w:rsidR="000F7DA5" w:rsidRPr="009C2491" w:rsidRDefault="000F7DA5" w:rsidP="000F7DA5">
      <w:pPr>
        <w:pStyle w:val="BodyText"/>
        <w:ind w:left="567"/>
        <w:rPr>
          <w:i/>
          <w:iCs/>
          <w:lang w:val="fr-BE"/>
        </w:rPr>
      </w:pPr>
      <w:r>
        <w:rPr>
          <w:i/>
          <w:iCs/>
          <w:lang w:val="fr-BE"/>
        </w:rPr>
        <w:t>« </w:t>
      </w:r>
      <w:r w:rsidRPr="009C2491">
        <w:rPr>
          <w:i/>
          <w:iCs/>
          <w:lang w:val="fr-BE"/>
        </w:rPr>
        <w:t>Les articles 5 et 6</w:t>
      </w:r>
      <w:r w:rsidR="00C14379">
        <w:rPr>
          <w:i/>
          <w:iCs/>
          <w:lang w:val="fr-BE"/>
        </w:rPr>
        <w:t xml:space="preserve"> </w:t>
      </w:r>
      <w:r w:rsidR="00C14379" w:rsidRPr="00C14379">
        <w:rPr>
          <w:lang w:val="fr-BE"/>
        </w:rPr>
        <w:t>[relatifs à l’obligation de notification et de période de statu quo]</w:t>
      </w:r>
      <w:r w:rsidRPr="009C2491">
        <w:rPr>
          <w:i/>
          <w:iCs/>
          <w:lang w:val="fr-BE"/>
        </w:rPr>
        <w:t xml:space="preserve"> ne s'appliquent pas aux dispositions législatives, réglementaires et administratives des États membres ou aux accords volontaires par lesquels ces derniers: </w:t>
      </w:r>
    </w:p>
    <w:p w14:paraId="6D1A137A" w14:textId="77777777" w:rsidR="000F7DA5" w:rsidRPr="009C2491" w:rsidRDefault="000F7DA5" w:rsidP="000F7DA5">
      <w:pPr>
        <w:pStyle w:val="BodyText"/>
        <w:ind w:left="1440"/>
        <w:rPr>
          <w:i/>
          <w:iCs/>
          <w:lang w:val="fr-BE"/>
        </w:rPr>
      </w:pPr>
      <w:r>
        <w:rPr>
          <w:i/>
          <w:iCs/>
          <w:lang w:val="fr-BE"/>
        </w:rPr>
        <w:t>[…]</w:t>
      </w:r>
    </w:p>
    <w:p w14:paraId="7ACC2564" w14:textId="5074660D" w:rsidR="000F7DA5" w:rsidRPr="009C2491" w:rsidRDefault="000F7DA5" w:rsidP="000F7DA5">
      <w:pPr>
        <w:pStyle w:val="BodyText"/>
        <w:ind w:left="1440"/>
        <w:rPr>
          <w:i/>
          <w:iCs/>
          <w:lang w:val="fr-BE"/>
        </w:rPr>
      </w:pPr>
      <w:r w:rsidRPr="009C2491">
        <w:rPr>
          <w:i/>
          <w:iCs/>
          <w:lang w:val="fr-BE"/>
        </w:rPr>
        <w:t xml:space="preserve">f) se limitent à modifier une règle technique au sens de l'article 1er, paragraphe 1, point f), conformément à une demande de la Commission en vue d'éliminer une entrave aux échanges ou, pour les règles relatives aux services, à la libre circulation des services ou à la liberté d'établissement des opérateurs de services. </w:t>
      </w:r>
    </w:p>
    <w:p w14:paraId="21F03EA5" w14:textId="77777777" w:rsidR="000F7DA5" w:rsidRPr="000F7DA5" w:rsidRDefault="000F7DA5" w:rsidP="000F7DA5">
      <w:pPr>
        <w:pStyle w:val="BodyText"/>
        <w:jc w:val="right"/>
        <w:rPr>
          <w:lang w:val="fr-BE"/>
        </w:rPr>
      </w:pPr>
    </w:p>
    <w:p w14:paraId="7883B4B7" w14:textId="62376CA9" w:rsidR="000F7DA5" w:rsidRPr="000F7DA5" w:rsidRDefault="000F7DA5" w:rsidP="000F7DA5">
      <w:pPr>
        <w:pStyle w:val="BodyText"/>
        <w:jc w:val="right"/>
      </w:pPr>
      <w:r>
        <w:t xml:space="preserve">(article 7, paragraphe 1, </w:t>
      </w:r>
      <w:r w:rsidR="001305B4">
        <w:t>point</w:t>
      </w:r>
      <w:r>
        <w:t xml:space="preserve"> f), </w:t>
      </w:r>
      <w:r w:rsidRPr="007C75A4">
        <w:t xml:space="preserve">de la directive </w:t>
      </w:r>
      <w:r w:rsidR="00BB4018">
        <w:t xml:space="preserve">(UE) </w:t>
      </w:r>
      <w:r w:rsidRPr="007C75A4">
        <w:t>2015/1535</w:t>
      </w:r>
      <w:r>
        <w:t>)</w:t>
      </w:r>
    </w:p>
    <w:p w14:paraId="21BFE903" w14:textId="77777777" w:rsidR="000F7DA5" w:rsidRDefault="000F7DA5" w:rsidP="000F7DA5">
      <w:pPr>
        <w:pStyle w:val="BodyText"/>
        <w:jc w:val="left"/>
        <w:rPr>
          <w:lang w:val="fr-BE"/>
        </w:rPr>
      </w:pPr>
    </w:p>
    <w:p w14:paraId="46B1E740" w14:textId="14CDFCFB" w:rsidR="005A7E2B" w:rsidRPr="001F7B82" w:rsidRDefault="00B3389F" w:rsidP="005A7E2B">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95" w:history="1">
        <w:r w:rsidR="005A7E2B" w:rsidRPr="001F7B82">
          <w:rPr>
            <w:rFonts w:ascii="Times New Roman" w:eastAsia="Times New Roman" w:hAnsi="Times New Roman" w:cs="Times New Roman"/>
            <w:b/>
            <w:i/>
            <w:color w:val="0000FF"/>
            <w:szCs w:val="20"/>
            <w:u w:val="single"/>
            <w:lang w:val="fr" w:eastAsia="en-IE"/>
          </w:rPr>
          <w:t>Arrêt du 31 janvier 2013</w:t>
        </w:r>
      </w:hyperlink>
      <w:r w:rsidR="005A7E2B" w:rsidRPr="001F7B82">
        <w:rPr>
          <w:rFonts w:ascii="Times New Roman" w:eastAsia="Times New Roman" w:hAnsi="Times New Roman" w:cs="Times New Roman"/>
          <w:b/>
          <w:i/>
          <w:szCs w:val="20"/>
          <w:lang w:val="fr" w:eastAsia="en-IE"/>
        </w:rPr>
        <w:t xml:space="preserve">, </w:t>
      </w:r>
      <w:proofErr w:type="spellStart"/>
      <w:r w:rsidR="00745699" w:rsidRPr="001F7B82">
        <w:rPr>
          <w:rFonts w:ascii="Times New Roman" w:eastAsia="Times New Roman" w:hAnsi="Times New Roman" w:cs="Times New Roman"/>
          <w:b/>
          <w:i/>
          <w:szCs w:val="20"/>
          <w:lang w:val="fr" w:eastAsia="en-IE"/>
        </w:rPr>
        <w:t>Belgische</w:t>
      </w:r>
      <w:proofErr w:type="spellEnd"/>
      <w:r w:rsidR="00745699" w:rsidRPr="001F7B82">
        <w:rPr>
          <w:rFonts w:ascii="Times New Roman" w:eastAsia="Times New Roman" w:hAnsi="Times New Roman" w:cs="Times New Roman"/>
          <w:b/>
          <w:i/>
          <w:szCs w:val="20"/>
          <w:lang w:val="fr" w:eastAsia="en-IE"/>
        </w:rPr>
        <w:t xml:space="preserve"> Petroleum Unie e.a., </w:t>
      </w:r>
      <w:r w:rsidR="005A7E2B" w:rsidRPr="001F7B82">
        <w:rPr>
          <w:rFonts w:ascii="Times New Roman" w:eastAsia="Times New Roman" w:hAnsi="Times New Roman" w:cs="Times New Roman"/>
          <w:b/>
          <w:i/>
          <w:szCs w:val="20"/>
          <w:lang w:val="fr" w:eastAsia="en-IE"/>
        </w:rPr>
        <w:t>C-26/11, EU:C:2013:44, points 56 et 57</w:t>
      </w:r>
    </w:p>
    <w:p w14:paraId="320154D2" w14:textId="77777777" w:rsidR="005A7E2B" w:rsidRPr="001F7B82" w:rsidRDefault="005A7E2B" w:rsidP="005A7E2B">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781FDC92" w14:textId="77777777" w:rsidR="005A7E2B" w:rsidRPr="001F7B82" w:rsidRDefault="005A7E2B" w:rsidP="005A7E2B">
      <w:pPr>
        <w:widowControl w:val="0"/>
        <w:tabs>
          <w:tab w:val="left" w:pos="412"/>
        </w:tabs>
        <w:autoSpaceDE w:val="0"/>
        <w:autoSpaceDN w:val="0"/>
        <w:spacing w:after="0" w:line="240" w:lineRule="auto"/>
        <w:jc w:val="both"/>
        <w:rPr>
          <w:rFonts w:ascii="Times New Roman" w:eastAsia="Times New Roman" w:hAnsi="Times New Roman" w:cs="Times New Roman"/>
          <w:szCs w:val="20"/>
          <w:lang w:val="fr" w:eastAsia="en-IE"/>
        </w:rPr>
      </w:pPr>
      <w:r>
        <w:rPr>
          <w:rFonts w:ascii="Times New Roman" w:eastAsia="Times New Roman" w:hAnsi="Times New Roman" w:cs="Times New Roman"/>
          <w:szCs w:val="20"/>
          <w:lang w:val="fr" w:eastAsia="en-IE"/>
        </w:rPr>
        <w:t>La directive</w:t>
      </w:r>
      <w:r w:rsidRPr="001F7B82">
        <w:rPr>
          <w:rFonts w:ascii="Times New Roman" w:eastAsia="Times New Roman" w:hAnsi="Times New Roman" w:cs="Times New Roman"/>
          <w:szCs w:val="20"/>
          <w:lang w:val="fr" w:eastAsia="en-IE"/>
        </w:rPr>
        <w:t xml:space="preserve"> n’impose pas la notification d’un projet de législation nationale lorsque, après avoir été notifié, le projet a été modifié pour tenir compte des observations de la Commission à son égard et que le projet modifié a ensuite été communiqué à la Commission.</w:t>
      </w:r>
    </w:p>
    <w:p w14:paraId="795DB689" w14:textId="77777777" w:rsidR="005A7E2B" w:rsidRPr="001F7B82" w:rsidRDefault="005A7E2B" w:rsidP="005A7E2B">
      <w:pPr>
        <w:widowControl w:val="0"/>
        <w:tabs>
          <w:tab w:val="left" w:pos="412"/>
        </w:tabs>
        <w:autoSpaceDE w:val="0"/>
        <w:autoSpaceDN w:val="0"/>
        <w:spacing w:after="0" w:line="240" w:lineRule="auto"/>
        <w:jc w:val="both"/>
        <w:rPr>
          <w:rFonts w:ascii="Times New Roman" w:eastAsia="Times New Roman" w:hAnsi="Times New Roman" w:cs="Times New Roman"/>
          <w:szCs w:val="20"/>
          <w:lang w:val="fr" w:eastAsia="en-IE"/>
        </w:rPr>
      </w:pPr>
    </w:p>
    <w:p w14:paraId="1B309C62" w14:textId="489C7947" w:rsidR="005A7E2B" w:rsidRPr="001F7B82" w:rsidRDefault="005A7E2B" w:rsidP="005A7E2B">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BE" w:eastAsia="en-IE"/>
        </w:rPr>
        <w:t>« 56</w:t>
      </w:r>
      <w:r w:rsidR="00FF2F84">
        <w:rPr>
          <w:rFonts w:ascii="Times New Roman" w:eastAsia="Times New Roman" w:hAnsi="Times New Roman" w:cs="Times New Roman"/>
          <w:i/>
          <w:iCs/>
          <w:sz w:val="20"/>
          <w:szCs w:val="16"/>
          <w:lang w:val="fr-BE" w:eastAsia="en-IE"/>
        </w:rPr>
        <w:t xml:space="preserve">. </w:t>
      </w:r>
      <w:r>
        <w:rPr>
          <w:rFonts w:ascii="Times New Roman" w:eastAsia="Times New Roman" w:hAnsi="Times New Roman" w:cs="Times New Roman"/>
          <w:i/>
          <w:iCs/>
          <w:sz w:val="20"/>
          <w:szCs w:val="16"/>
          <w:lang w:val="fr-BE" w:eastAsia="en-IE"/>
        </w:rPr>
        <w:t>[…]</w:t>
      </w:r>
      <w:r w:rsidRPr="001F7B82">
        <w:rPr>
          <w:rFonts w:ascii="Times New Roman" w:eastAsia="Times New Roman" w:hAnsi="Times New Roman" w:cs="Times New Roman"/>
          <w:i/>
          <w:iCs/>
          <w:sz w:val="20"/>
          <w:szCs w:val="16"/>
          <w:lang w:val="fr-BE" w:eastAsia="en-IE"/>
        </w:rPr>
        <w:t xml:space="preserve"> le Royaume de Belgique s’est limité à modifier les dispositions d’un projet de réglementation, conformément à une demande de la Commission en vue d’éliminer une entrave aux échanges, de sorte que, en vertu de l’article 10, paragraphe 1, dernier tiret, de la directive 98/34, l’obligation de notification prévue à l’article 8, paragraphe 1, premier alinéa, de cette directive n’est pas applicable au projet de loi sur l’obligation d’incorporation.</w:t>
      </w:r>
    </w:p>
    <w:p w14:paraId="32EC23C2" w14:textId="77777777" w:rsidR="005A7E2B" w:rsidRPr="001F7B82" w:rsidRDefault="005A7E2B" w:rsidP="005A7E2B">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E743C69" w14:textId="5508877A" w:rsidR="005A7E2B" w:rsidRPr="005A7E2B" w:rsidRDefault="005A7E2B" w:rsidP="005A7E2B">
      <w:pPr>
        <w:widowControl w:val="0"/>
        <w:tabs>
          <w:tab w:val="left" w:pos="412"/>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F7B82">
        <w:rPr>
          <w:rFonts w:ascii="Times New Roman" w:eastAsia="Times New Roman" w:hAnsi="Times New Roman" w:cs="Times New Roman"/>
          <w:i/>
          <w:iCs/>
          <w:sz w:val="20"/>
          <w:szCs w:val="16"/>
          <w:lang w:val="fr-BE" w:eastAsia="en-IE"/>
        </w:rPr>
        <w:t>57</w:t>
      </w:r>
      <w:r w:rsidR="00FF2F84">
        <w:rPr>
          <w:rFonts w:ascii="Times New Roman" w:eastAsia="Times New Roman" w:hAnsi="Times New Roman" w:cs="Times New Roman"/>
          <w:i/>
          <w:iCs/>
          <w:sz w:val="20"/>
          <w:szCs w:val="16"/>
          <w:lang w:val="fr-BE" w:eastAsia="en-IE"/>
        </w:rPr>
        <w:t xml:space="preserve">. </w:t>
      </w:r>
      <w:r w:rsidRPr="001F7B82">
        <w:rPr>
          <w:rFonts w:ascii="Times New Roman" w:eastAsia="Times New Roman" w:hAnsi="Times New Roman" w:cs="Times New Roman"/>
          <w:i/>
          <w:iCs/>
          <w:sz w:val="20"/>
          <w:szCs w:val="16"/>
          <w:lang w:val="fr-BE" w:eastAsia="en-IE"/>
        </w:rPr>
        <w:t>Dans ces conditions, il y a lieu de répondre à la seconde question que l’article 8 de la directive 98/34, lu en combinaison avec l’article 10, paragraphe 1, dernier tiret, de cette directive doit être interprété en ce sens qu’il n’impose pas la notification d’un projet de réglementation nationale obligeant les sociétés pétrolières mettant sur le marché de l’essence et/ou des carburants diesel de mettre également sur le marché, au cours d’une même année civile, certains pourcentages de biocarburants, lorsque, après avoir été notifié en application dudit article 8, paragraphe 1, premier alinéa, ce projet a été modifié afin de tenir compte des observations de la Commission relatives à ce dernier et que le projet ainsi modifié a ensuite été communiqué à celle-ci. »</w:t>
      </w:r>
    </w:p>
    <w:p w14:paraId="1F05DBDF" w14:textId="3ED0BCB3" w:rsidR="005A7E2B" w:rsidRPr="005A7E2B" w:rsidRDefault="005A7E2B" w:rsidP="005A7E2B">
      <w:pPr>
        <w:spacing w:line="278" w:lineRule="auto"/>
        <w:rPr>
          <w:rFonts w:ascii="Times New Roman" w:eastAsia="Times New Roman" w:hAnsi="Times New Roman" w:cs="Times New Roman"/>
          <w:sz w:val="24"/>
          <w:szCs w:val="20"/>
          <w:lang w:val="fr-BE" w:eastAsia="en-IE"/>
        </w:rPr>
      </w:pPr>
      <w:r>
        <w:rPr>
          <w:lang w:val="fr-BE"/>
        </w:rPr>
        <w:br w:type="page"/>
      </w:r>
    </w:p>
    <w:p w14:paraId="4DF08AEF" w14:textId="20ADE0B3" w:rsidR="000F7DA5" w:rsidRPr="00745699" w:rsidRDefault="009A64A8" w:rsidP="002C17AE">
      <w:pPr>
        <w:pStyle w:val="Heading2"/>
        <w:spacing w:after="0"/>
        <w:jc w:val="center"/>
        <w:rPr>
          <w:color w:val="auto"/>
          <w:lang w:val="fr-BE"/>
        </w:rPr>
      </w:pPr>
      <w:bookmarkStart w:id="97" w:name="_Ref195517581"/>
      <w:bookmarkStart w:id="98" w:name="_Toc203035395"/>
      <w:r>
        <w:rPr>
          <w:color w:val="auto"/>
          <w:lang w:val="fr-BE"/>
        </w:rPr>
        <w:lastRenderedPageBreak/>
        <w:t xml:space="preserve">d. </w:t>
      </w:r>
      <w:r w:rsidR="000F7DA5" w:rsidRPr="00745699">
        <w:rPr>
          <w:color w:val="auto"/>
          <w:lang w:val="fr-BE"/>
        </w:rPr>
        <w:t xml:space="preserve">Circonstances ne formant pas </w:t>
      </w:r>
      <w:r w:rsidR="00E00CFA" w:rsidRPr="00745699">
        <w:rPr>
          <w:color w:val="auto"/>
          <w:lang w:val="fr-BE"/>
        </w:rPr>
        <w:t xml:space="preserve">une </w:t>
      </w:r>
      <w:r w:rsidR="000F7DA5" w:rsidRPr="00745699">
        <w:rPr>
          <w:color w:val="auto"/>
          <w:lang w:val="fr-BE"/>
        </w:rPr>
        <w:t>exception</w:t>
      </w:r>
      <w:bookmarkEnd w:id="97"/>
      <w:bookmarkEnd w:id="98"/>
    </w:p>
    <w:p w14:paraId="6006C68A" w14:textId="77777777" w:rsidR="000F7DA5" w:rsidRDefault="000F7DA5" w:rsidP="002C17AE">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7EFB943D" w14:textId="3571FD7D" w:rsidR="000F7DA5" w:rsidRPr="006C38F9"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96" w:history="1">
        <w:r w:rsidR="000F7DA5" w:rsidRPr="006C38F9">
          <w:rPr>
            <w:rFonts w:ascii="Times New Roman" w:eastAsia="Times New Roman" w:hAnsi="Times New Roman" w:cs="Times New Roman"/>
            <w:b/>
            <w:i/>
            <w:color w:val="0000FF"/>
            <w:szCs w:val="20"/>
            <w:u w:val="single"/>
            <w:lang w:val="fr" w:eastAsia="en-IE"/>
          </w:rPr>
          <w:t>Arrêt du 11 janvier 1996</w:t>
        </w:r>
      </w:hyperlink>
      <w:r w:rsidR="000F7DA5" w:rsidRPr="006C38F9">
        <w:rPr>
          <w:rFonts w:ascii="Times New Roman" w:eastAsia="Times New Roman" w:hAnsi="Times New Roman" w:cs="Times New Roman"/>
          <w:b/>
          <w:i/>
          <w:szCs w:val="20"/>
          <w:lang w:val="fr" w:eastAsia="en-IE"/>
        </w:rPr>
        <w:t xml:space="preserve">, </w:t>
      </w:r>
      <w:r w:rsidR="00745699" w:rsidRPr="006C38F9">
        <w:rPr>
          <w:rFonts w:ascii="Times New Roman" w:eastAsia="Times New Roman" w:hAnsi="Times New Roman" w:cs="Times New Roman"/>
          <w:b/>
          <w:i/>
          <w:szCs w:val="20"/>
          <w:lang w:val="fr" w:eastAsia="en-IE"/>
        </w:rPr>
        <w:t xml:space="preserve">Commission/Pays-Bas, </w:t>
      </w:r>
      <w:r w:rsidR="000F7DA5" w:rsidRPr="006C38F9">
        <w:rPr>
          <w:rFonts w:ascii="Times New Roman" w:eastAsia="Times New Roman" w:hAnsi="Times New Roman" w:cs="Times New Roman"/>
          <w:b/>
          <w:i/>
          <w:szCs w:val="20"/>
          <w:lang w:val="fr" w:eastAsia="en-IE"/>
        </w:rPr>
        <w:t xml:space="preserve">C-273/94, </w:t>
      </w:r>
      <w:r w:rsidR="000F7DA5" w:rsidRPr="004E15FB">
        <w:rPr>
          <w:rFonts w:ascii="Times New Roman" w:eastAsia="Times New Roman" w:hAnsi="Times New Roman" w:cs="Times New Roman"/>
          <w:b/>
          <w:i/>
          <w:szCs w:val="20"/>
          <w:lang w:val="fr-BE" w:eastAsia="en-IE"/>
        </w:rPr>
        <w:t>EU:C:1996:4,</w:t>
      </w:r>
      <w:r w:rsidR="000F7DA5">
        <w:rPr>
          <w:rFonts w:ascii="Times New Roman" w:eastAsia="Times New Roman" w:hAnsi="Times New Roman" w:cs="Times New Roman"/>
          <w:b/>
          <w:i/>
          <w:szCs w:val="20"/>
          <w:lang w:val="fr-BE" w:eastAsia="en-IE"/>
        </w:rPr>
        <w:t xml:space="preserve"> </w:t>
      </w:r>
      <w:r w:rsidR="000F7DA5" w:rsidRPr="006C38F9">
        <w:rPr>
          <w:rFonts w:ascii="Times New Roman" w:eastAsia="Times New Roman" w:hAnsi="Times New Roman" w:cs="Times New Roman"/>
          <w:b/>
          <w:i/>
          <w:szCs w:val="20"/>
          <w:lang w:val="fr" w:eastAsia="en-IE"/>
        </w:rPr>
        <w:t xml:space="preserve">points </w:t>
      </w:r>
      <w:r w:rsidR="000F7DA5">
        <w:rPr>
          <w:rFonts w:ascii="Times New Roman" w:eastAsia="Times New Roman" w:hAnsi="Times New Roman" w:cs="Times New Roman"/>
          <w:b/>
          <w:i/>
          <w:szCs w:val="20"/>
          <w:lang w:val="fr" w:eastAsia="en-IE"/>
        </w:rPr>
        <w:t xml:space="preserve">14 et </w:t>
      </w:r>
      <w:r w:rsidR="000F7DA5" w:rsidRPr="006C38F9">
        <w:rPr>
          <w:rFonts w:ascii="Times New Roman" w:eastAsia="Times New Roman" w:hAnsi="Times New Roman" w:cs="Times New Roman"/>
          <w:b/>
          <w:i/>
          <w:szCs w:val="20"/>
          <w:lang w:val="fr" w:eastAsia="en-IE"/>
        </w:rPr>
        <w:t>15</w:t>
      </w:r>
    </w:p>
    <w:p w14:paraId="1472EEE2" w14:textId="77777777" w:rsidR="000F7DA5" w:rsidRPr="006C38F9" w:rsidRDefault="000F7DA5" w:rsidP="000F7D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p>
    <w:p w14:paraId="18431E5C" w14:textId="6B94FBED" w:rsidR="000F7DA5" w:rsidRPr="006C38F9" w:rsidRDefault="000F7DA5" w:rsidP="000F7D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lang w:val="fr" w:eastAsia="en-IE"/>
        </w:rPr>
      </w:pPr>
      <w:r w:rsidRPr="006C38F9">
        <w:rPr>
          <w:rFonts w:ascii="Times New Roman" w:eastAsia="Times New Roman" w:hAnsi="Times New Roman" w:cs="Times New Roman"/>
          <w:szCs w:val="20"/>
          <w:lang w:val="fr" w:eastAsia="en-IE"/>
        </w:rPr>
        <w:t xml:space="preserve">L’obligation de notification ne dépend pas de </w:t>
      </w:r>
      <w:r w:rsidR="005B5418">
        <w:rPr>
          <w:rFonts w:ascii="Times New Roman" w:eastAsia="Times New Roman" w:hAnsi="Times New Roman" w:cs="Times New Roman"/>
          <w:szCs w:val="20"/>
          <w:lang w:val="fr" w:eastAsia="en-IE"/>
        </w:rPr>
        <w:t>l’incidence</w:t>
      </w:r>
      <w:r w:rsidRPr="006C38F9">
        <w:rPr>
          <w:rFonts w:ascii="Times New Roman" w:eastAsia="Times New Roman" w:hAnsi="Times New Roman" w:cs="Times New Roman"/>
          <w:szCs w:val="20"/>
          <w:lang w:val="fr" w:eastAsia="en-IE"/>
        </w:rPr>
        <w:t xml:space="preserve"> présumé</w:t>
      </w:r>
      <w:r w:rsidR="005B5418">
        <w:rPr>
          <w:rFonts w:ascii="Times New Roman" w:eastAsia="Times New Roman" w:hAnsi="Times New Roman" w:cs="Times New Roman"/>
          <w:szCs w:val="20"/>
          <w:lang w:val="fr" w:eastAsia="en-IE"/>
        </w:rPr>
        <w:t>e</w:t>
      </w:r>
      <w:r w:rsidR="0095288B">
        <w:rPr>
          <w:rFonts w:ascii="Times New Roman" w:eastAsia="Times New Roman" w:hAnsi="Times New Roman" w:cs="Times New Roman"/>
          <w:szCs w:val="20"/>
          <w:lang w:val="fr" w:eastAsia="en-IE"/>
        </w:rPr>
        <w:t xml:space="preserve"> de la mesure </w:t>
      </w:r>
      <w:r w:rsidRPr="006C38F9">
        <w:rPr>
          <w:rFonts w:ascii="Times New Roman" w:eastAsia="Times New Roman" w:hAnsi="Times New Roman" w:cs="Times New Roman"/>
          <w:szCs w:val="20"/>
          <w:lang w:val="fr" w:eastAsia="en-IE"/>
        </w:rPr>
        <w:t xml:space="preserve"> sur les échanges entre États membres.</w:t>
      </w:r>
    </w:p>
    <w:p w14:paraId="61F0631F" w14:textId="77777777" w:rsidR="000F7DA5" w:rsidRPr="006C38F9" w:rsidRDefault="000F7DA5" w:rsidP="000F7DA5">
      <w:pPr>
        <w:widowControl w:val="0"/>
        <w:tabs>
          <w:tab w:val="left" w:pos="396"/>
          <w:tab w:val="left" w:pos="405"/>
        </w:tabs>
        <w:autoSpaceDE w:val="0"/>
        <w:autoSpaceDN w:val="0"/>
        <w:spacing w:after="0" w:line="240" w:lineRule="auto"/>
        <w:ind w:hanging="142"/>
        <w:jc w:val="both"/>
        <w:rPr>
          <w:rFonts w:ascii="Times New Roman" w:eastAsia="Times New Roman" w:hAnsi="Times New Roman" w:cs="Times New Roman"/>
          <w:szCs w:val="20"/>
          <w:lang w:val="fr" w:eastAsia="en-IE"/>
        </w:rPr>
      </w:pPr>
    </w:p>
    <w:p w14:paraId="5E1782D6" w14:textId="5822A6D9" w:rsidR="000F7DA5" w:rsidRPr="006C38F9" w:rsidRDefault="000F7DA5" w:rsidP="000F7DA5">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C38F9">
        <w:rPr>
          <w:rFonts w:ascii="Times New Roman" w:eastAsia="Times New Roman" w:hAnsi="Times New Roman" w:cs="Times New Roman"/>
          <w:i/>
          <w:iCs/>
          <w:sz w:val="20"/>
          <w:szCs w:val="16"/>
          <w:lang w:val="fr" w:eastAsia="en-IE"/>
        </w:rPr>
        <w:t>« 14</w:t>
      </w:r>
      <w:r w:rsidR="00FF2F84">
        <w:rPr>
          <w:rFonts w:ascii="Times New Roman" w:eastAsia="Times New Roman" w:hAnsi="Times New Roman" w:cs="Times New Roman"/>
          <w:i/>
          <w:iCs/>
          <w:sz w:val="20"/>
          <w:szCs w:val="16"/>
          <w:lang w:val="fr" w:eastAsia="en-IE"/>
        </w:rPr>
        <w:t>.</w:t>
      </w:r>
      <w:r w:rsidRPr="006C38F9">
        <w:rPr>
          <w:rFonts w:ascii="Times New Roman" w:eastAsia="Times New Roman" w:hAnsi="Times New Roman" w:cs="Times New Roman"/>
          <w:i/>
          <w:iCs/>
          <w:sz w:val="20"/>
          <w:szCs w:val="16"/>
          <w:lang w:val="fr" w:eastAsia="en-IE"/>
        </w:rPr>
        <w:t xml:space="preserve"> Cette appréciation </w:t>
      </w:r>
      <w:r w:rsidRPr="0076355C">
        <w:rPr>
          <w:rFonts w:ascii="Times New Roman" w:eastAsia="Times New Roman" w:hAnsi="Times New Roman" w:cs="Times New Roman"/>
          <w:sz w:val="20"/>
          <w:szCs w:val="16"/>
          <w:lang w:val="fr" w:eastAsia="en-IE"/>
        </w:rPr>
        <w:t>[selon laquelle un projet de règle technique aurait dû être notifié]</w:t>
      </w:r>
      <w:r>
        <w:rPr>
          <w:rFonts w:ascii="Times New Roman" w:eastAsia="Times New Roman" w:hAnsi="Times New Roman" w:cs="Times New Roman"/>
          <w:i/>
          <w:iCs/>
          <w:sz w:val="20"/>
          <w:szCs w:val="16"/>
          <w:lang w:val="fr" w:eastAsia="en-IE"/>
        </w:rPr>
        <w:t xml:space="preserve"> </w:t>
      </w:r>
      <w:r w:rsidRPr="006C38F9">
        <w:rPr>
          <w:rFonts w:ascii="Times New Roman" w:eastAsia="Times New Roman" w:hAnsi="Times New Roman" w:cs="Times New Roman"/>
          <w:i/>
          <w:iCs/>
          <w:sz w:val="20"/>
          <w:szCs w:val="16"/>
          <w:lang w:val="fr" w:eastAsia="en-IE"/>
        </w:rPr>
        <w:t xml:space="preserve">ne saurait être remise en cause par l'argument du gouvernement néerlandais selon lequel le règlement litigieux aurait pour effet de favoriser la commercialisation de margarine en sorte qu'il serait conforme à l'objectif principal de la directive, qui est de supprimer les entraves aux échanges intracommunautaires de marchandises. </w:t>
      </w:r>
    </w:p>
    <w:p w14:paraId="47033F22" w14:textId="77777777" w:rsidR="000F7DA5" w:rsidRPr="006C38F9" w:rsidRDefault="000F7DA5" w:rsidP="000F7DA5">
      <w:pPr>
        <w:widowControl w:val="0"/>
        <w:tabs>
          <w:tab w:val="left" w:pos="396"/>
          <w:tab w:val="left" w:pos="405"/>
        </w:tabs>
        <w:autoSpaceDE w:val="0"/>
        <w:autoSpaceDN w:val="0"/>
        <w:spacing w:after="0" w:line="240" w:lineRule="auto"/>
        <w:ind w:left="567" w:hanging="142"/>
        <w:jc w:val="both"/>
        <w:rPr>
          <w:rFonts w:ascii="Times New Roman" w:eastAsia="Times New Roman" w:hAnsi="Times New Roman" w:cs="Times New Roman"/>
          <w:i/>
          <w:iCs/>
          <w:sz w:val="20"/>
          <w:szCs w:val="16"/>
          <w:lang w:val="fr" w:eastAsia="en-IE"/>
        </w:rPr>
      </w:pPr>
    </w:p>
    <w:p w14:paraId="6299CAB3" w14:textId="4467C805" w:rsidR="000F7DA5" w:rsidRDefault="000F7DA5" w:rsidP="000F7DA5">
      <w:pPr>
        <w:widowControl w:val="0"/>
        <w:tabs>
          <w:tab w:val="left" w:pos="396"/>
          <w:tab w:val="left" w:pos="405"/>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r w:rsidRPr="006C38F9">
        <w:rPr>
          <w:rFonts w:ascii="Times New Roman" w:eastAsia="Times New Roman" w:hAnsi="Times New Roman" w:cs="Times New Roman"/>
          <w:i/>
          <w:iCs/>
          <w:sz w:val="20"/>
          <w:szCs w:val="16"/>
          <w:lang w:val="fr" w:eastAsia="en-IE"/>
        </w:rPr>
        <w:t>15</w:t>
      </w:r>
      <w:r w:rsidR="00FF2F84">
        <w:rPr>
          <w:rFonts w:ascii="Times New Roman" w:eastAsia="Times New Roman" w:hAnsi="Times New Roman" w:cs="Times New Roman"/>
          <w:i/>
          <w:iCs/>
          <w:sz w:val="20"/>
          <w:szCs w:val="16"/>
          <w:lang w:val="fr" w:eastAsia="en-IE"/>
        </w:rPr>
        <w:t>.</w:t>
      </w:r>
      <w:r w:rsidRPr="006C38F9">
        <w:rPr>
          <w:rFonts w:ascii="Times New Roman" w:eastAsia="Times New Roman" w:hAnsi="Times New Roman" w:cs="Times New Roman"/>
          <w:i/>
          <w:iCs/>
          <w:sz w:val="20"/>
          <w:szCs w:val="16"/>
          <w:lang w:val="fr" w:eastAsia="en-IE"/>
        </w:rPr>
        <w:t xml:space="preserve"> En effet, les États membres sont tenus de communiquer à la Commission tout projet de règle technique conformément à l'article 8 de la directive. Une telle obligation ne saurait dépendre de l'appréciation unilatérale par un État membre, auteur dudit projet, des effets éventuels de celui-ci sur les échanges entre États membres.»</w:t>
      </w:r>
    </w:p>
    <w:p w14:paraId="41021C94" w14:textId="77777777" w:rsidR="000F7DA5" w:rsidRDefault="000F7DA5" w:rsidP="000F7DA5">
      <w:pPr>
        <w:widowControl w:val="0"/>
        <w:autoSpaceDE w:val="0"/>
        <w:autoSpaceDN w:val="0"/>
        <w:spacing w:after="0" w:line="240" w:lineRule="auto"/>
        <w:jc w:val="both"/>
        <w:outlineLvl w:val="1"/>
        <w:rPr>
          <w:rFonts w:ascii="Times New Roman" w:hAnsi="Times New Roman" w:cs="Times New Roman"/>
          <w:i/>
          <w:iCs/>
          <w:sz w:val="20"/>
          <w:szCs w:val="20"/>
          <w:lang w:val="fr"/>
        </w:rPr>
      </w:pPr>
    </w:p>
    <w:p w14:paraId="090F34A8" w14:textId="0815159B" w:rsidR="000F7DA5" w:rsidRPr="008F7F7C"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97" w:history="1">
        <w:r w:rsidR="000F7DA5" w:rsidRPr="008F7F7C">
          <w:rPr>
            <w:rFonts w:ascii="Times New Roman" w:eastAsia="Times New Roman" w:hAnsi="Times New Roman" w:cs="Times New Roman"/>
            <w:b/>
            <w:i/>
            <w:color w:val="0000FF"/>
            <w:szCs w:val="20"/>
            <w:u w:val="single"/>
            <w:lang w:val="fr" w:eastAsia="en-IE"/>
          </w:rPr>
          <w:t>Arrêt du 16 juin 1998</w:t>
        </w:r>
      </w:hyperlink>
      <w:r w:rsidR="000F7DA5" w:rsidRPr="008F7F7C">
        <w:rPr>
          <w:rFonts w:ascii="Times New Roman" w:eastAsia="Times New Roman" w:hAnsi="Times New Roman" w:cs="Times New Roman"/>
          <w:b/>
          <w:i/>
          <w:szCs w:val="20"/>
          <w:lang w:val="fr" w:eastAsia="en-IE"/>
        </w:rPr>
        <w:t xml:space="preserve">, </w:t>
      </w:r>
      <w:r w:rsidR="00745699" w:rsidRPr="008F7F7C">
        <w:rPr>
          <w:rFonts w:ascii="Times New Roman" w:eastAsia="Times New Roman" w:hAnsi="Times New Roman" w:cs="Times New Roman"/>
          <w:b/>
          <w:i/>
          <w:szCs w:val="20"/>
          <w:lang w:val="fr" w:eastAsia="en-IE"/>
        </w:rPr>
        <w:t xml:space="preserve">Lemmens, </w:t>
      </w:r>
      <w:r w:rsidR="000F7DA5" w:rsidRPr="008F7F7C">
        <w:rPr>
          <w:rFonts w:ascii="Times New Roman" w:eastAsia="Times New Roman" w:hAnsi="Times New Roman" w:cs="Times New Roman"/>
          <w:b/>
          <w:i/>
          <w:szCs w:val="20"/>
          <w:lang w:val="fr" w:eastAsia="en-IE"/>
        </w:rPr>
        <w:t>C-226/97, EU:C:1998:296, points 18 à 20</w:t>
      </w:r>
    </w:p>
    <w:p w14:paraId="2763D12C" w14:textId="77777777" w:rsidR="000F7DA5" w:rsidRPr="008F7F7C" w:rsidRDefault="000F7DA5"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3B5C4B0B" w14:textId="77777777" w:rsidR="000F7DA5" w:rsidRPr="008F7F7C" w:rsidRDefault="000F7DA5" w:rsidP="000F7DA5">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lang w:val="fr" w:eastAsia="en-IE"/>
        </w:rPr>
      </w:pPr>
      <w:r w:rsidRPr="008F7F7C">
        <w:rPr>
          <w:rFonts w:ascii="Times New Roman" w:eastAsia="Times New Roman" w:hAnsi="Times New Roman" w:cs="Times New Roman"/>
          <w:szCs w:val="20"/>
          <w:lang w:val="fr" w:eastAsia="en-IE"/>
        </w:rPr>
        <w:t xml:space="preserve">La directive s’applique aux </w:t>
      </w:r>
      <w:r>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règles techniques</w:t>
      </w:r>
      <w:r>
        <w:rPr>
          <w:rFonts w:ascii="Times New Roman" w:eastAsia="Times New Roman" w:hAnsi="Times New Roman" w:cs="Times New Roman"/>
          <w:szCs w:val="20"/>
          <w:lang w:val="fr" w:eastAsia="en-IE"/>
        </w:rPr>
        <w:t> »</w:t>
      </w:r>
      <w:r w:rsidRPr="008F7F7C">
        <w:rPr>
          <w:rFonts w:ascii="Times New Roman" w:eastAsia="Times New Roman" w:hAnsi="Times New Roman" w:cs="Times New Roman"/>
          <w:szCs w:val="20"/>
          <w:lang w:val="fr" w:eastAsia="en-IE"/>
        </w:rPr>
        <w:t>, quel que soit le motif de leur adoption. Le fait qu’une mesure relève du droit pénal ou de la procédure pénale ne l’exonère pas de l’obligation de notification. Ainsi, les dispositions nationales régissant les appareils d’analyse respiratoire utilisés par la police pour mesurer l’alcoolémie constituent une règle technique qui aurait dû être notifiée à la Commission avant son adoption</w:t>
      </w:r>
      <w:r>
        <w:rPr>
          <w:rFonts w:ascii="Times New Roman" w:eastAsia="Times New Roman" w:hAnsi="Times New Roman" w:cs="Times New Roman"/>
          <w:szCs w:val="20"/>
          <w:lang w:val="fr" w:eastAsia="en-IE"/>
        </w:rPr>
        <w:t>.</w:t>
      </w:r>
    </w:p>
    <w:p w14:paraId="5EB7B877" w14:textId="77777777" w:rsidR="000F7DA5" w:rsidRPr="008F7F7C" w:rsidRDefault="000F7DA5" w:rsidP="000F7DA5">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lang w:val="fr" w:eastAsia="en-IE"/>
        </w:rPr>
      </w:pPr>
    </w:p>
    <w:p w14:paraId="492C9468" w14:textId="006F1604" w:rsidR="000F7DA5" w:rsidRPr="008F7F7C" w:rsidRDefault="000F7DA5" w:rsidP="000F7D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BE" w:eastAsia="en-IE"/>
        </w:rPr>
        <w:t>18.</w:t>
      </w:r>
      <w:r w:rsidR="00FF2F84">
        <w:rPr>
          <w:rFonts w:ascii="Times New Roman" w:eastAsia="Times New Roman" w:hAnsi="Times New Roman" w:cs="Times New Roman"/>
          <w:i/>
          <w:iCs/>
          <w:sz w:val="20"/>
          <w:szCs w:val="16"/>
          <w:lang w:val="fr-BE" w:eastAsia="en-IE"/>
        </w:rPr>
        <w:t xml:space="preserve"> </w:t>
      </w:r>
      <w:r w:rsidRPr="008F7F7C">
        <w:rPr>
          <w:rFonts w:ascii="Times New Roman" w:eastAsia="Times New Roman" w:hAnsi="Times New Roman" w:cs="Times New Roman"/>
          <w:i/>
          <w:iCs/>
          <w:sz w:val="20"/>
          <w:szCs w:val="16"/>
          <w:lang w:val="fr-BE" w:eastAsia="en-IE"/>
        </w:rPr>
        <w:t>Quant au gouvernement français, il considère que la directive ne s'applique pas aux produits qui, comme ceux de l'espèce au principal, sont destinés à des usages relevant des prérogatives de la puissance publique et a fortiori de l'action pénale des États membres.</w:t>
      </w:r>
    </w:p>
    <w:p w14:paraId="4E463831" w14:textId="77777777" w:rsidR="000F7DA5" w:rsidRPr="008F7F7C" w:rsidRDefault="000F7DA5" w:rsidP="000F7D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6E6848B" w14:textId="77777777" w:rsidR="000F7DA5" w:rsidRPr="008F7F7C" w:rsidRDefault="000F7DA5" w:rsidP="000F7D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BE" w:eastAsia="en-IE"/>
        </w:rPr>
        <w:t xml:space="preserve">19. Ces arguments ne sauraient être accueillis. S'il est exact que, en principe, la législation pénale et les règles de la procédure pénale relèvent de la compétence des États membres, il ne peut en être déduit que ce domaine du droit ne peut pas être affecté par le droit communautaire (voir, en ce sens, arrêts du 2 février 1989, Cowan, 186/87, Rec. p. 195, point 19, et du 11 novembre 1981, </w:t>
      </w:r>
      <w:proofErr w:type="spellStart"/>
      <w:r w:rsidRPr="008F7F7C">
        <w:rPr>
          <w:rFonts w:ascii="Times New Roman" w:eastAsia="Times New Roman" w:hAnsi="Times New Roman" w:cs="Times New Roman"/>
          <w:i/>
          <w:iCs/>
          <w:sz w:val="20"/>
          <w:szCs w:val="16"/>
          <w:lang w:val="fr-BE" w:eastAsia="en-IE"/>
        </w:rPr>
        <w:t>Casati</w:t>
      </w:r>
      <w:proofErr w:type="spellEnd"/>
      <w:r w:rsidRPr="008F7F7C">
        <w:rPr>
          <w:rFonts w:ascii="Times New Roman" w:eastAsia="Times New Roman" w:hAnsi="Times New Roman" w:cs="Times New Roman"/>
          <w:i/>
          <w:iCs/>
          <w:sz w:val="20"/>
          <w:szCs w:val="16"/>
          <w:lang w:val="fr-BE" w:eastAsia="en-IE"/>
        </w:rPr>
        <w:t>, 203/80, Rec. p. 2595, point 27).</w:t>
      </w:r>
    </w:p>
    <w:p w14:paraId="0477B30C" w14:textId="77777777" w:rsidR="000F7DA5" w:rsidRPr="008F7F7C" w:rsidRDefault="000F7DA5" w:rsidP="000F7DA5">
      <w:pPr>
        <w:widowControl w:val="0"/>
        <w:tabs>
          <w:tab w:val="left" w:pos="396"/>
          <w:tab w:val="left" w:pos="461"/>
        </w:tabs>
        <w:autoSpaceDE w:val="0"/>
        <w:autoSpaceDN w:val="0"/>
        <w:spacing w:after="0" w:line="240" w:lineRule="auto"/>
        <w:ind w:left="567" w:hanging="142"/>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BE" w:eastAsia="en-IE"/>
        </w:rPr>
        <w:t>    </w:t>
      </w:r>
    </w:p>
    <w:p w14:paraId="7F1C9238" w14:textId="77777777" w:rsidR="000F7DA5" w:rsidRDefault="000F7DA5" w:rsidP="000F7D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8F7F7C">
        <w:rPr>
          <w:rFonts w:ascii="Times New Roman" w:eastAsia="Times New Roman" w:hAnsi="Times New Roman" w:cs="Times New Roman"/>
          <w:i/>
          <w:iCs/>
          <w:sz w:val="20"/>
          <w:szCs w:val="16"/>
          <w:lang w:val="fr-BE" w:eastAsia="en-IE"/>
        </w:rPr>
        <w:t>20. En l'espèce, rien n'indique dans la directive que des règles techniques au sens de son article 1</w:t>
      </w:r>
      <w:r w:rsidRPr="008F7F7C">
        <w:rPr>
          <w:rFonts w:ascii="Times New Roman" w:eastAsia="Times New Roman" w:hAnsi="Times New Roman" w:cs="Times New Roman"/>
          <w:i/>
          <w:iCs/>
          <w:sz w:val="20"/>
          <w:szCs w:val="16"/>
          <w:vertAlign w:val="superscript"/>
          <w:lang w:val="fr-BE" w:eastAsia="en-IE"/>
        </w:rPr>
        <w:t>er</w:t>
      </w:r>
      <w:r w:rsidRPr="008F7F7C">
        <w:rPr>
          <w:rFonts w:ascii="Times New Roman" w:eastAsia="Times New Roman" w:hAnsi="Times New Roman" w:cs="Times New Roman"/>
          <w:i/>
          <w:iCs/>
          <w:sz w:val="20"/>
          <w:szCs w:val="16"/>
          <w:lang w:val="fr-BE" w:eastAsia="en-IE"/>
        </w:rPr>
        <w:t xml:space="preserve">, du fait de leur appartenance au domaine du droit pénal, sont exclues de l'obligation de notification et que son champ d'application est limité aux produits destinés à des usages qui ne relèvent pas des prérogatives de la puissance publique. </w:t>
      </w:r>
      <w:proofErr w:type="spellStart"/>
      <w:r w:rsidRPr="008F7F7C">
        <w:rPr>
          <w:rFonts w:ascii="Times New Roman" w:eastAsia="Times New Roman" w:hAnsi="Times New Roman" w:cs="Times New Roman"/>
          <w:i/>
          <w:iCs/>
          <w:sz w:val="20"/>
          <w:szCs w:val="16"/>
          <w:lang w:val="fr-BE" w:eastAsia="en-IE"/>
        </w:rPr>
        <w:t>A</w:t>
      </w:r>
      <w:proofErr w:type="spellEnd"/>
      <w:r w:rsidRPr="008F7F7C">
        <w:rPr>
          <w:rFonts w:ascii="Times New Roman" w:eastAsia="Times New Roman" w:hAnsi="Times New Roman" w:cs="Times New Roman"/>
          <w:i/>
          <w:iCs/>
          <w:sz w:val="20"/>
          <w:szCs w:val="16"/>
          <w:lang w:val="fr-BE" w:eastAsia="en-IE"/>
        </w:rPr>
        <w:t xml:space="preserve"> cet égard, il convient de rappeler que, comme la Cour l'a déjà constaté dans l'arrêt du 20 mars 1997, Bic Benelux (C-13/96, Rec. p. I-1753, point 19), une directive s'applique aux règles techniques indépendamment des motifs qui ont justifié leur adoption.</w:t>
      </w:r>
    </w:p>
    <w:p w14:paraId="06227DC3" w14:textId="77777777" w:rsidR="000F7DA5" w:rsidRDefault="000F7DA5" w:rsidP="000F7DA5">
      <w:pPr>
        <w:widowControl w:val="0"/>
        <w:tabs>
          <w:tab w:val="left" w:pos="396"/>
          <w:tab w:val="left" w:pos="461"/>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743F486D" w14:textId="447DA9E9" w:rsidR="000F7DA5" w:rsidRPr="007B044C" w:rsidRDefault="00B3389F" w:rsidP="000F7DA5">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98" w:history="1">
        <w:r w:rsidR="000F7DA5" w:rsidRPr="007B044C">
          <w:rPr>
            <w:rFonts w:ascii="Times New Roman" w:eastAsia="Times New Roman" w:hAnsi="Times New Roman" w:cs="Times New Roman"/>
            <w:b/>
            <w:i/>
            <w:color w:val="0000FF"/>
            <w:szCs w:val="20"/>
            <w:u w:val="single"/>
            <w:lang w:val="fr" w:eastAsia="en-IE"/>
          </w:rPr>
          <w:t>Arrêt du 21 avril 2005</w:t>
        </w:r>
      </w:hyperlink>
      <w:r w:rsidR="000F7DA5" w:rsidRPr="007B044C">
        <w:rPr>
          <w:rFonts w:ascii="Times New Roman" w:eastAsia="Times New Roman" w:hAnsi="Times New Roman" w:cs="Times New Roman"/>
          <w:b/>
          <w:i/>
          <w:szCs w:val="20"/>
          <w:lang w:val="fr" w:eastAsia="en-IE"/>
        </w:rPr>
        <w:t xml:space="preserve">, </w:t>
      </w:r>
      <w:r w:rsidR="00745699" w:rsidRPr="007B044C">
        <w:rPr>
          <w:rFonts w:ascii="Times New Roman" w:eastAsia="Times New Roman" w:hAnsi="Times New Roman" w:cs="Times New Roman"/>
          <w:b/>
          <w:i/>
          <w:szCs w:val="20"/>
          <w:lang w:val="fr" w:eastAsia="en-IE"/>
        </w:rPr>
        <w:t xml:space="preserve">Lindberg, </w:t>
      </w:r>
      <w:r w:rsidR="000F7DA5" w:rsidRPr="007B044C">
        <w:rPr>
          <w:rFonts w:ascii="Times New Roman" w:eastAsia="Times New Roman" w:hAnsi="Times New Roman" w:cs="Times New Roman"/>
          <w:b/>
          <w:i/>
          <w:szCs w:val="20"/>
          <w:lang w:val="fr" w:eastAsia="en-IE"/>
        </w:rPr>
        <w:t xml:space="preserve">C-267/03, EU:C:2005:246, </w:t>
      </w:r>
      <w:r w:rsidR="000F7DA5">
        <w:rPr>
          <w:rFonts w:ascii="Times New Roman" w:eastAsia="Times New Roman" w:hAnsi="Times New Roman" w:cs="Times New Roman"/>
          <w:b/>
          <w:i/>
          <w:szCs w:val="20"/>
          <w:lang w:val="fr" w:eastAsia="en-IE"/>
        </w:rPr>
        <w:t>points 86, 91 et 92</w:t>
      </w:r>
    </w:p>
    <w:p w14:paraId="3ACA6C58" w14:textId="77777777" w:rsidR="000F7DA5" w:rsidRDefault="000F7DA5" w:rsidP="000F7D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p>
    <w:p w14:paraId="02AB316E" w14:textId="77777777" w:rsidR="000F7DA5" w:rsidRPr="007B044C" w:rsidRDefault="000F7DA5" w:rsidP="000F7D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lang w:val="fr" w:eastAsia="en-IE"/>
        </w:rPr>
      </w:pPr>
      <w:r w:rsidRPr="007B044C">
        <w:rPr>
          <w:rFonts w:ascii="Times New Roman" w:eastAsia="Times New Roman" w:hAnsi="Times New Roman" w:cs="Times New Roman"/>
          <w:szCs w:val="20"/>
          <w:lang w:val="fr" w:eastAsia="en-IE"/>
        </w:rPr>
        <w:t>La valeur du produit</w:t>
      </w:r>
      <w:r>
        <w:rPr>
          <w:rFonts w:ascii="Times New Roman" w:eastAsia="Times New Roman" w:hAnsi="Times New Roman" w:cs="Times New Roman"/>
          <w:szCs w:val="20"/>
          <w:lang w:val="fr" w:eastAsia="en-IE"/>
        </w:rPr>
        <w:t xml:space="preserve"> concerné par une règle, </w:t>
      </w:r>
      <w:r w:rsidRPr="007B044C">
        <w:rPr>
          <w:rFonts w:ascii="Times New Roman" w:eastAsia="Times New Roman" w:hAnsi="Times New Roman" w:cs="Times New Roman"/>
          <w:szCs w:val="20"/>
          <w:lang w:val="fr" w:eastAsia="en-IE"/>
        </w:rPr>
        <w:t>la taille de son marché</w:t>
      </w:r>
      <w:r>
        <w:rPr>
          <w:rFonts w:ascii="Times New Roman" w:eastAsia="Times New Roman" w:hAnsi="Times New Roman" w:cs="Times New Roman"/>
          <w:szCs w:val="20"/>
          <w:lang w:val="fr" w:eastAsia="en-IE"/>
        </w:rPr>
        <w:t xml:space="preserve"> et l’incidence de cette règle sur les échanges intracommunautaires</w:t>
      </w:r>
      <w:r w:rsidRPr="007B044C">
        <w:rPr>
          <w:rFonts w:ascii="Times New Roman" w:eastAsia="Times New Roman" w:hAnsi="Times New Roman" w:cs="Times New Roman"/>
          <w:szCs w:val="20"/>
          <w:lang w:val="fr" w:eastAsia="en-IE"/>
        </w:rPr>
        <w:t xml:space="preserve"> ne sont pas des critères pertinents </w:t>
      </w:r>
      <w:r>
        <w:rPr>
          <w:rFonts w:ascii="Times New Roman" w:eastAsia="Times New Roman" w:hAnsi="Times New Roman" w:cs="Times New Roman"/>
          <w:szCs w:val="20"/>
          <w:lang w:val="fr" w:eastAsia="en-IE"/>
        </w:rPr>
        <w:t>pour déterminer si une « règle technique » doit être notifiée</w:t>
      </w:r>
      <w:r w:rsidRPr="007B044C">
        <w:rPr>
          <w:rFonts w:ascii="Times New Roman" w:eastAsia="Times New Roman" w:hAnsi="Times New Roman" w:cs="Times New Roman"/>
          <w:szCs w:val="20"/>
          <w:lang w:val="fr" w:eastAsia="en-IE"/>
        </w:rPr>
        <w:t>.</w:t>
      </w:r>
    </w:p>
    <w:p w14:paraId="7C940B0B" w14:textId="77777777" w:rsidR="000F7DA5" w:rsidRPr="007B044C" w:rsidRDefault="000F7DA5" w:rsidP="000F7DA5">
      <w:pPr>
        <w:pStyle w:val="P68B1DB1-ListParagraph2"/>
        <w:tabs>
          <w:tab w:val="left" w:pos="396"/>
          <w:tab w:val="left" w:pos="425"/>
        </w:tabs>
        <w:ind w:left="0" w:right="0" w:firstLine="0"/>
        <w:rPr>
          <w:i/>
          <w:iCs/>
          <w:sz w:val="20"/>
          <w:szCs w:val="16"/>
          <w:lang w:val="fr-BE"/>
        </w:rPr>
      </w:pPr>
    </w:p>
    <w:p w14:paraId="5678AD24" w14:textId="16DA908F" w:rsidR="000F7DA5" w:rsidRPr="007B044C" w:rsidRDefault="000F7DA5" w:rsidP="000F7DA5">
      <w:pPr>
        <w:pStyle w:val="P68B1DB1-ListParagraph2"/>
        <w:tabs>
          <w:tab w:val="left" w:pos="396"/>
          <w:tab w:val="left" w:pos="425"/>
        </w:tabs>
        <w:ind w:left="567" w:right="0" w:firstLine="0"/>
        <w:rPr>
          <w:i/>
          <w:iCs/>
          <w:sz w:val="20"/>
          <w:szCs w:val="16"/>
          <w:lang w:val="fr-BE"/>
        </w:rPr>
      </w:pPr>
      <w:r w:rsidRPr="007B044C">
        <w:rPr>
          <w:i/>
          <w:iCs/>
          <w:sz w:val="20"/>
          <w:szCs w:val="16"/>
          <w:lang w:val="fr-BE"/>
        </w:rPr>
        <w:t>« 86</w:t>
      </w:r>
      <w:r w:rsidR="00FF2F84">
        <w:rPr>
          <w:i/>
          <w:iCs/>
          <w:sz w:val="20"/>
          <w:szCs w:val="16"/>
          <w:lang w:val="fr-BE"/>
        </w:rPr>
        <w:t xml:space="preserve">. </w:t>
      </w:r>
      <w:r>
        <w:rPr>
          <w:i/>
          <w:iCs/>
          <w:sz w:val="20"/>
          <w:szCs w:val="16"/>
          <w:lang w:val="fr-BE"/>
        </w:rPr>
        <w:t>[…]</w:t>
      </w:r>
      <w:r w:rsidRPr="007B044C">
        <w:rPr>
          <w:i/>
          <w:iCs/>
          <w:sz w:val="20"/>
          <w:szCs w:val="16"/>
          <w:lang w:val="fr-BE"/>
        </w:rPr>
        <w:t xml:space="preserve"> la juridiction de renvoi interroge la Cour sur l’importance qu’il convient d’attacher, aux fins de l’obligation de notification prévue par la directive 83/189, aux circonstances suivantes:</w:t>
      </w:r>
    </w:p>
    <w:p w14:paraId="6E97307E" w14:textId="77777777" w:rsidR="000F7DA5" w:rsidRPr="007B044C" w:rsidRDefault="000F7DA5" w:rsidP="000F7DA5">
      <w:pPr>
        <w:pStyle w:val="P68B1DB1-ListParagraph2"/>
        <w:tabs>
          <w:tab w:val="left" w:pos="396"/>
          <w:tab w:val="left" w:pos="425"/>
        </w:tabs>
        <w:ind w:left="567" w:right="0"/>
        <w:rPr>
          <w:i/>
          <w:iCs/>
          <w:sz w:val="20"/>
          <w:szCs w:val="16"/>
          <w:lang w:val="fr-BE"/>
        </w:rPr>
      </w:pPr>
      <w:r w:rsidRPr="007B044C">
        <w:rPr>
          <w:i/>
          <w:iCs/>
          <w:sz w:val="20"/>
          <w:szCs w:val="16"/>
          <w:lang w:val="fr-BE"/>
        </w:rPr>
        <w:t>–      le passage, dans la réglementation nationale, d’un régime d’autorisation à un régime d’interdiction;</w:t>
      </w:r>
    </w:p>
    <w:p w14:paraId="392C39A0" w14:textId="77777777" w:rsidR="000F7DA5" w:rsidRPr="007B044C" w:rsidRDefault="000F7DA5" w:rsidP="000F7DA5">
      <w:pPr>
        <w:pStyle w:val="P68B1DB1-ListParagraph2"/>
        <w:tabs>
          <w:tab w:val="left" w:pos="396"/>
          <w:tab w:val="left" w:pos="425"/>
        </w:tabs>
        <w:ind w:left="567" w:right="0"/>
        <w:rPr>
          <w:i/>
          <w:iCs/>
          <w:sz w:val="20"/>
          <w:szCs w:val="16"/>
          <w:lang w:val="fr-BE"/>
        </w:rPr>
      </w:pPr>
      <w:r w:rsidRPr="007B044C">
        <w:rPr>
          <w:i/>
          <w:iCs/>
          <w:sz w:val="20"/>
          <w:szCs w:val="16"/>
          <w:lang w:val="fr-BE"/>
        </w:rPr>
        <w:t>–      la valeur plus ou moins importante du produit ou du service;</w:t>
      </w:r>
    </w:p>
    <w:p w14:paraId="70AB7FAC" w14:textId="77777777" w:rsidR="000F7DA5" w:rsidRPr="007B044C" w:rsidRDefault="000F7DA5" w:rsidP="000F7DA5">
      <w:pPr>
        <w:pStyle w:val="P68B1DB1-ListParagraph2"/>
        <w:tabs>
          <w:tab w:val="left" w:pos="396"/>
          <w:tab w:val="left" w:pos="425"/>
        </w:tabs>
        <w:ind w:left="567" w:right="0"/>
        <w:rPr>
          <w:i/>
          <w:iCs/>
          <w:sz w:val="20"/>
          <w:szCs w:val="16"/>
          <w:lang w:val="fr-BE"/>
        </w:rPr>
      </w:pPr>
      <w:r w:rsidRPr="007B044C">
        <w:rPr>
          <w:i/>
          <w:iCs/>
          <w:sz w:val="20"/>
          <w:szCs w:val="16"/>
          <w:lang w:val="fr-BE"/>
        </w:rPr>
        <w:t>–      la taille du marché du produit ou du service;</w:t>
      </w:r>
    </w:p>
    <w:p w14:paraId="7E4DCD6F" w14:textId="77777777" w:rsidR="000F7DA5" w:rsidRPr="007B044C" w:rsidRDefault="000F7DA5" w:rsidP="000F7DA5">
      <w:pPr>
        <w:pStyle w:val="P68B1DB1-ListParagraph2"/>
        <w:tabs>
          <w:tab w:val="left" w:pos="396"/>
          <w:tab w:val="left" w:pos="425"/>
        </w:tabs>
        <w:ind w:left="567" w:right="0"/>
        <w:rPr>
          <w:i/>
          <w:iCs/>
          <w:sz w:val="20"/>
          <w:szCs w:val="16"/>
          <w:lang w:val="fr-BE"/>
        </w:rPr>
      </w:pPr>
      <w:r w:rsidRPr="007B044C">
        <w:rPr>
          <w:i/>
          <w:iCs/>
          <w:sz w:val="20"/>
          <w:szCs w:val="16"/>
          <w:lang w:val="fr-BE"/>
        </w:rPr>
        <w:t>–      l’incidence de nouvelles dispositions de droit interne sur l’utilisation du produit, celle-ci pouvant consister en une interdiction totale d’utilisation ou en une utilisation interdite ou limitée dans l’un des domaines d’utilisation possible. »</w:t>
      </w:r>
    </w:p>
    <w:p w14:paraId="09CF2785" w14:textId="77777777" w:rsidR="000F7DA5" w:rsidRPr="007B044C" w:rsidRDefault="000F7DA5" w:rsidP="000F7DA5">
      <w:pPr>
        <w:pStyle w:val="P68B1DB1-ListParagraph2"/>
        <w:tabs>
          <w:tab w:val="left" w:pos="396"/>
          <w:tab w:val="left" w:pos="425"/>
        </w:tabs>
        <w:ind w:left="567" w:right="0" w:firstLine="0"/>
        <w:rPr>
          <w:i/>
          <w:iCs/>
          <w:sz w:val="20"/>
          <w:szCs w:val="16"/>
          <w:lang w:val="fr-BE"/>
        </w:rPr>
      </w:pPr>
    </w:p>
    <w:p w14:paraId="6B2BC718" w14:textId="7DCB0FD3" w:rsidR="000F7DA5" w:rsidRPr="007B044C" w:rsidRDefault="000F7DA5" w:rsidP="000F7DA5">
      <w:pPr>
        <w:pStyle w:val="P68B1DB1-ListParagraph2"/>
        <w:tabs>
          <w:tab w:val="left" w:pos="396"/>
          <w:tab w:val="left" w:pos="425"/>
        </w:tabs>
        <w:ind w:left="567" w:right="0" w:firstLine="0"/>
        <w:rPr>
          <w:i/>
          <w:iCs/>
          <w:sz w:val="20"/>
          <w:szCs w:val="16"/>
          <w:lang w:val="fr-BE"/>
        </w:rPr>
      </w:pPr>
      <w:r>
        <w:rPr>
          <w:i/>
          <w:iCs/>
          <w:sz w:val="20"/>
          <w:szCs w:val="16"/>
          <w:lang w:val="fr-BE"/>
        </w:rPr>
        <w:lastRenderedPageBreak/>
        <w:t>« </w:t>
      </w:r>
      <w:r w:rsidRPr="007B044C">
        <w:rPr>
          <w:i/>
          <w:iCs/>
          <w:sz w:val="20"/>
          <w:szCs w:val="16"/>
          <w:lang w:val="fr-BE"/>
        </w:rPr>
        <w:t>91</w:t>
      </w:r>
      <w:r w:rsidR="00FF2F84">
        <w:rPr>
          <w:i/>
          <w:iCs/>
          <w:sz w:val="20"/>
          <w:szCs w:val="16"/>
          <w:lang w:val="fr-BE"/>
        </w:rPr>
        <w:t xml:space="preserve">. </w:t>
      </w:r>
      <w:r w:rsidRPr="007B044C">
        <w:rPr>
          <w:i/>
          <w:iCs/>
          <w:sz w:val="20"/>
          <w:szCs w:val="16"/>
          <w:lang w:val="fr-BE"/>
        </w:rPr>
        <w:t>S’agissant des deuxième et troisième circonstances visées par la quatrième question préjudicielle, il y a lieu de rappeler, ainsi qu’il a été relevé au point 50 du présent arrêt, que la directive 83/189 prévoit un mécanisme procédural de contrôle préventif permettant de vérifier si une norme nationale comportant une règle technique relève des dispositions du traité relatives à la libre circulation des marchandises et, si tel est le cas, d’examiner si une telle norme est compatible avec ces dispositions.</w:t>
      </w:r>
    </w:p>
    <w:p w14:paraId="0981E340" w14:textId="77777777" w:rsidR="000F7DA5" w:rsidRPr="007B044C" w:rsidRDefault="000F7DA5" w:rsidP="000F7DA5">
      <w:pPr>
        <w:pStyle w:val="P68B1DB1-ListParagraph2"/>
        <w:tabs>
          <w:tab w:val="left" w:pos="396"/>
          <w:tab w:val="left" w:pos="425"/>
        </w:tabs>
        <w:ind w:left="567" w:right="0" w:firstLine="0"/>
        <w:rPr>
          <w:i/>
          <w:iCs/>
          <w:sz w:val="20"/>
          <w:szCs w:val="16"/>
          <w:lang w:val="fr-BE"/>
        </w:rPr>
      </w:pPr>
    </w:p>
    <w:p w14:paraId="56F7C7B8" w14:textId="2863D4B9" w:rsidR="000F7DA5" w:rsidRDefault="000F7DA5" w:rsidP="000F7DA5">
      <w:pPr>
        <w:pStyle w:val="P68B1DB1-ListParagraph2"/>
        <w:tabs>
          <w:tab w:val="left" w:pos="396"/>
          <w:tab w:val="left" w:pos="425"/>
        </w:tabs>
        <w:ind w:left="567" w:right="0" w:firstLine="0"/>
        <w:rPr>
          <w:i/>
          <w:iCs/>
          <w:sz w:val="20"/>
          <w:szCs w:val="16"/>
          <w:lang w:val="fr-BE"/>
        </w:rPr>
      </w:pPr>
      <w:r w:rsidRPr="007B044C">
        <w:rPr>
          <w:i/>
          <w:iCs/>
          <w:sz w:val="20"/>
          <w:szCs w:val="16"/>
          <w:lang w:val="fr-BE"/>
        </w:rPr>
        <w:t>92</w:t>
      </w:r>
      <w:r w:rsidR="00FF2F84">
        <w:rPr>
          <w:i/>
          <w:iCs/>
          <w:sz w:val="20"/>
          <w:szCs w:val="16"/>
          <w:lang w:val="fr-BE"/>
        </w:rPr>
        <w:t xml:space="preserve">. </w:t>
      </w:r>
      <w:r w:rsidRPr="007B044C">
        <w:rPr>
          <w:i/>
          <w:iCs/>
          <w:sz w:val="20"/>
          <w:szCs w:val="16"/>
          <w:lang w:val="fr-BE"/>
        </w:rPr>
        <w:t>À cet égard, il y a lieu de rappeler qu’il a été jugé au point 51 du présent arrêt que les effets éventuels d’une règle technique sur les échanges intracommunautaires ne constituent pas un critère retenu par la directive 83/189 pour la définition de son champ d’application en ce qui concerne, en particulier, l’obligation de notification qu’elle prévoit. »</w:t>
      </w:r>
      <w:r w:rsidRPr="002F655D">
        <w:rPr>
          <w:i/>
          <w:iCs/>
          <w:sz w:val="20"/>
          <w:szCs w:val="16"/>
          <w:lang w:val="fr-BE"/>
        </w:rPr>
        <w:t> </w:t>
      </w:r>
    </w:p>
    <w:p w14:paraId="197312D1" w14:textId="0484FE14" w:rsidR="000F7DA5" w:rsidRPr="00186890" w:rsidRDefault="000F7DA5" w:rsidP="00186890">
      <w:pPr>
        <w:spacing w:line="278" w:lineRule="auto"/>
        <w:rPr>
          <w:rFonts w:ascii="Times New Roman" w:eastAsia="Times New Roman" w:hAnsi="Times New Roman" w:cs="Times New Roman"/>
          <w:i/>
          <w:iCs/>
          <w:sz w:val="20"/>
          <w:szCs w:val="16"/>
          <w:lang w:val="fr-BE" w:eastAsia="en-IE"/>
        </w:rPr>
      </w:pPr>
      <w:r>
        <w:rPr>
          <w:i/>
          <w:iCs/>
          <w:sz w:val="20"/>
          <w:szCs w:val="16"/>
          <w:lang w:val="fr-BE"/>
        </w:rPr>
        <w:br w:type="page"/>
      </w:r>
    </w:p>
    <w:p w14:paraId="2785F247" w14:textId="76F95493" w:rsidR="007925D9" w:rsidRPr="00745699" w:rsidRDefault="009A64A8" w:rsidP="009A64A8">
      <w:pPr>
        <w:pStyle w:val="Heading1"/>
        <w:spacing w:before="0" w:after="0"/>
        <w:jc w:val="center"/>
        <w:rPr>
          <w:color w:val="auto"/>
          <w:lang w:val="fr-BE"/>
        </w:rPr>
      </w:pPr>
      <w:bookmarkStart w:id="99" w:name="_Ref194485817"/>
      <w:bookmarkStart w:id="100" w:name="_Toc203035396"/>
      <w:r w:rsidRPr="00DC2D31">
        <w:rPr>
          <w:color w:val="auto"/>
          <w:lang w:val="fr-BE"/>
        </w:rPr>
        <w:lastRenderedPageBreak/>
        <w:t xml:space="preserve">IV. </w:t>
      </w:r>
      <w:r w:rsidR="00F56389" w:rsidRPr="00DC2D31">
        <w:rPr>
          <w:color w:val="auto"/>
          <w:lang w:val="fr-BE"/>
        </w:rPr>
        <w:t>Inapplicabilité</w:t>
      </w:r>
      <w:bookmarkEnd w:id="99"/>
      <w:bookmarkEnd w:id="100"/>
    </w:p>
    <w:p w14:paraId="20AC6D1C" w14:textId="77777777" w:rsidR="00F56389" w:rsidRPr="00F56389" w:rsidRDefault="00F56389" w:rsidP="009A64A8">
      <w:pPr>
        <w:pStyle w:val="BodyText"/>
        <w:ind w:left="2715"/>
        <w:rPr>
          <w:b/>
          <w:bCs/>
          <w:sz w:val="28"/>
          <w:szCs w:val="22"/>
          <w:lang w:val="fr-BE"/>
        </w:rPr>
      </w:pPr>
    </w:p>
    <w:p w14:paraId="58AC44F0" w14:textId="6462BE7B" w:rsidR="007925D9" w:rsidRPr="00745699" w:rsidRDefault="009A64A8" w:rsidP="009A64A8">
      <w:pPr>
        <w:pStyle w:val="Heading2"/>
        <w:spacing w:before="0" w:after="0"/>
        <w:jc w:val="center"/>
        <w:rPr>
          <w:color w:val="auto"/>
          <w:lang w:val="fr-BE"/>
        </w:rPr>
      </w:pPr>
      <w:bookmarkStart w:id="101" w:name="_Ref194485057"/>
      <w:bookmarkStart w:id="102" w:name="_Toc203035397"/>
      <w:r>
        <w:rPr>
          <w:color w:val="auto"/>
          <w:lang w:val="fr-BE"/>
        </w:rPr>
        <w:t xml:space="preserve">a. </w:t>
      </w:r>
      <w:r w:rsidR="007925D9" w:rsidRPr="00745699">
        <w:rPr>
          <w:color w:val="auto"/>
          <w:lang w:val="fr-BE"/>
        </w:rPr>
        <w:t>Inapplicabilité en cas de non-notification</w:t>
      </w:r>
      <w:bookmarkEnd w:id="101"/>
      <w:bookmarkEnd w:id="102"/>
    </w:p>
    <w:p w14:paraId="39906D0F" w14:textId="77777777" w:rsidR="004E15FB" w:rsidRDefault="004E15FB" w:rsidP="00AA4F20">
      <w:pPr>
        <w:widowControl w:val="0"/>
        <w:autoSpaceDE w:val="0"/>
        <w:autoSpaceDN w:val="0"/>
        <w:spacing w:after="0" w:line="240" w:lineRule="auto"/>
        <w:jc w:val="both"/>
        <w:outlineLvl w:val="1"/>
        <w:rPr>
          <w:rFonts w:ascii="Times New Roman" w:hAnsi="Times New Roman" w:cs="Times New Roman"/>
          <w:i/>
          <w:iCs/>
          <w:sz w:val="20"/>
          <w:szCs w:val="20"/>
          <w:lang w:val="fr"/>
        </w:rPr>
      </w:pPr>
    </w:p>
    <w:p w14:paraId="041D0CCA" w14:textId="43C292C1"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99" w:history="1">
        <w:r w:rsidR="007925D9" w:rsidRPr="00190CBF">
          <w:rPr>
            <w:rFonts w:ascii="Times New Roman" w:eastAsia="Times New Roman" w:hAnsi="Times New Roman" w:cs="Times New Roman"/>
            <w:b/>
            <w:i/>
            <w:color w:val="0000FF"/>
            <w:szCs w:val="20"/>
            <w:u w:val="single"/>
            <w:lang w:val="fr-FR" w:eastAsia="en-IE"/>
          </w:rPr>
          <w:t>Arrêt du 30 avril 1996</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CIA Security International SA, </w:t>
      </w:r>
      <w:r w:rsidR="007925D9" w:rsidRPr="00190CBF">
        <w:rPr>
          <w:rFonts w:ascii="Times New Roman" w:eastAsia="Times New Roman" w:hAnsi="Times New Roman" w:cs="Times New Roman"/>
          <w:b/>
          <w:i/>
          <w:szCs w:val="20"/>
          <w:lang w:val="fr-FR" w:eastAsia="en-IE"/>
        </w:rPr>
        <w:t xml:space="preserve">C-194/94, </w:t>
      </w:r>
      <w:r w:rsidR="007925D9" w:rsidRPr="007140D1">
        <w:rPr>
          <w:rFonts w:ascii="Times New Roman" w:eastAsia="Times New Roman" w:hAnsi="Times New Roman" w:cs="Times New Roman"/>
          <w:b/>
          <w:i/>
          <w:szCs w:val="20"/>
          <w:lang w:val="fr-BE" w:eastAsia="en-IE"/>
        </w:rPr>
        <w:t>EU:C:1996:172</w:t>
      </w:r>
      <w:r w:rsidR="007925D9">
        <w:rPr>
          <w:rFonts w:ascii="Times New Roman" w:eastAsia="Times New Roman" w:hAnsi="Times New Roman" w:cs="Times New Roman"/>
          <w:b/>
          <w:i/>
          <w:szCs w:val="20"/>
          <w:lang w:val="fr-BE" w:eastAsia="en-IE"/>
        </w:rPr>
        <w:t xml:space="preserve">, </w:t>
      </w:r>
      <w:r w:rsidR="007925D9" w:rsidRPr="00190CBF">
        <w:rPr>
          <w:rFonts w:ascii="Times New Roman" w:eastAsia="Times New Roman" w:hAnsi="Times New Roman" w:cs="Times New Roman"/>
          <w:b/>
          <w:i/>
          <w:szCs w:val="20"/>
          <w:lang w:val="fr-FR" w:eastAsia="en-IE"/>
        </w:rPr>
        <w:t xml:space="preserve">points 48 </w:t>
      </w:r>
      <w:r w:rsidR="007925D9">
        <w:rPr>
          <w:rFonts w:ascii="Times New Roman" w:eastAsia="Times New Roman" w:hAnsi="Times New Roman" w:cs="Times New Roman"/>
          <w:b/>
          <w:i/>
          <w:szCs w:val="20"/>
          <w:lang w:val="fr-FR" w:eastAsia="en-IE"/>
        </w:rPr>
        <w:t>et</w:t>
      </w:r>
      <w:r w:rsidR="007925D9" w:rsidRPr="00190CBF">
        <w:rPr>
          <w:rFonts w:ascii="Times New Roman" w:eastAsia="Times New Roman" w:hAnsi="Times New Roman" w:cs="Times New Roman"/>
          <w:b/>
          <w:i/>
          <w:szCs w:val="20"/>
          <w:lang w:val="fr-FR" w:eastAsia="en-IE"/>
        </w:rPr>
        <w:t xml:space="preserve"> 55</w:t>
      </w:r>
    </w:p>
    <w:p w14:paraId="6980445F"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78CBEA0B" w14:textId="40FE8F7C" w:rsidR="007925D9" w:rsidRPr="00190CBF" w:rsidRDefault="00C14379" w:rsidP="00AA4F20">
      <w:pPr>
        <w:widowControl w:val="0"/>
        <w:tabs>
          <w:tab w:val="left" w:pos="409"/>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La</w:t>
      </w:r>
      <w:r w:rsidR="007925D9" w:rsidRPr="00190CBF">
        <w:rPr>
          <w:rFonts w:ascii="Times New Roman" w:eastAsia="Times New Roman" w:hAnsi="Times New Roman" w:cs="Times New Roman"/>
          <w:szCs w:val="20"/>
          <w:lang w:val="fr-FR" w:eastAsia="en-IE"/>
        </w:rPr>
        <w:t xml:space="preserve"> violation de l’obligation de notification rend inapplicables les </w:t>
      </w:r>
      <w:r w:rsidR="000D631B">
        <w:rPr>
          <w:rFonts w:ascii="Times New Roman" w:eastAsia="Times New Roman" w:hAnsi="Times New Roman" w:cs="Times New Roman"/>
          <w:szCs w:val="20"/>
          <w:lang w:val="fr-FR" w:eastAsia="en-IE"/>
        </w:rPr>
        <w:t>« </w:t>
      </w:r>
      <w:r w:rsidR="007925D9"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007925D9" w:rsidRPr="00190CBF">
        <w:rPr>
          <w:rFonts w:ascii="Times New Roman" w:eastAsia="Times New Roman" w:hAnsi="Times New Roman" w:cs="Times New Roman"/>
          <w:szCs w:val="20"/>
          <w:lang w:val="fr-FR" w:eastAsia="en-IE"/>
        </w:rPr>
        <w:t xml:space="preserve"> concernées, de sorte qu’elles sont inopposables aux particuliers. Les justiciables peuvent invoquer les articles 8 et 9 de la directive 83/189 devant le juge national qui doit refuser d’appliquer une </w:t>
      </w:r>
      <w:r w:rsidR="000D631B">
        <w:rPr>
          <w:rFonts w:ascii="Times New Roman" w:eastAsia="Times New Roman" w:hAnsi="Times New Roman" w:cs="Times New Roman"/>
          <w:szCs w:val="20"/>
          <w:lang w:val="fr-FR" w:eastAsia="en-IE"/>
        </w:rPr>
        <w:t>« </w:t>
      </w:r>
      <w:r w:rsidR="007925D9" w:rsidRPr="00190CBF">
        <w:rPr>
          <w:rFonts w:ascii="Times New Roman" w:eastAsia="Times New Roman" w:hAnsi="Times New Roman" w:cs="Times New Roman"/>
          <w:szCs w:val="20"/>
          <w:lang w:val="fr-FR" w:eastAsia="en-IE"/>
        </w:rPr>
        <w:t>règle technique</w:t>
      </w:r>
      <w:r w:rsidR="000D631B">
        <w:rPr>
          <w:rFonts w:ascii="Times New Roman" w:eastAsia="Times New Roman" w:hAnsi="Times New Roman" w:cs="Times New Roman"/>
          <w:szCs w:val="20"/>
          <w:lang w:val="fr-FR" w:eastAsia="en-IE"/>
        </w:rPr>
        <w:t> »</w:t>
      </w:r>
      <w:r w:rsidR="007925D9" w:rsidRPr="00190CBF">
        <w:rPr>
          <w:rFonts w:ascii="Times New Roman" w:eastAsia="Times New Roman" w:hAnsi="Times New Roman" w:cs="Times New Roman"/>
          <w:szCs w:val="20"/>
          <w:lang w:val="fr-FR" w:eastAsia="en-IE"/>
        </w:rPr>
        <w:t xml:space="preserve"> nationale qui n’a pas été notifiée conformément à cette directive.</w:t>
      </w:r>
    </w:p>
    <w:p w14:paraId="41DE99AA" w14:textId="77777777" w:rsidR="007925D9" w:rsidRPr="00190CBF" w:rsidRDefault="007925D9" w:rsidP="00AA4F20">
      <w:pPr>
        <w:widowControl w:val="0"/>
        <w:tabs>
          <w:tab w:val="left" w:pos="409"/>
        </w:tabs>
        <w:autoSpaceDE w:val="0"/>
        <w:autoSpaceDN w:val="0"/>
        <w:spacing w:after="0" w:line="240" w:lineRule="auto"/>
        <w:jc w:val="both"/>
        <w:rPr>
          <w:rFonts w:ascii="Times New Roman" w:eastAsia="Times New Roman" w:hAnsi="Times New Roman" w:cs="Times New Roman"/>
          <w:szCs w:val="20"/>
          <w:lang w:val="fr-FR" w:eastAsia="en-IE"/>
        </w:rPr>
      </w:pPr>
    </w:p>
    <w:p w14:paraId="13B9D75E" w14:textId="18E47BC6"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20"/>
          <w:lang w:val="fr-FR" w:eastAsia="en-IE"/>
        </w:rPr>
      </w:pPr>
      <w:r w:rsidRPr="00190CBF">
        <w:rPr>
          <w:rFonts w:ascii="Times New Roman" w:eastAsia="Times New Roman" w:hAnsi="Times New Roman" w:cs="Times New Roman"/>
          <w:i/>
          <w:iCs/>
          <w:sz w:val="20"/>
          <w:szCs w:val="20"/>
          <w:lang w:val="fr-FR" w:eastAsia="en-IE"/>
        </w:rPr>
        <w:t>« 48</w:t>
      </w:r>
      <w:r w:rsidR="00FF2F84">
        <w:rPr>
          <w:rFonts w:ascii="Times New Roman" w:eastAsia="Times New Roman" w:hAnsi="Times New Roman" w:cs="Times New Roman"/>
          <w:i/>
          <w:iCs/>
          <w:sz w:val="20"/>
          <w:szCs w:val="20"/>
          <w:lang w:val="fr-FR" w:eastAsia="en-IE"/>
        </w:rPr>
        <w:t>.</w:t>
      </w:r>
      <w:r w:rsidRPr="00190CBF">
        <w:rPr>
          <w:rFonts w:ascii="Times New Roman" w:eastAsia="Times New Roman" w:hAnsi="Times New Roman" w:cs="Times New Roman"/>
          <w:i/>
          <w:iCs/>
          <w:sz w:val="20"/>
          <w:szCs w:val="20"/>
          <w:lang w:val="fr-FR" w:eastAsia="en-IE"/>
        </w:rPr>
        <w:t xml:space="preserve"> Une telle conséquence de la violation des obligations résultant de la directive 83/189 ne dépend pas d'une disposition expresse en ce sens. Comme il a déjà été relevé, il est constant que l'objectif de la directive est la protection de la libre circulation des marchandises par un contrôle préventif et que l'obligation de notification constitue un moyen essentiel pour la réalisation de ce contrôle communautaire. L'efficacité de ce contrôle sera d'autant renforcée que la directive est interprétée en ce sens que la méconnaissance de l'obligation de notification constitue un vice de procédure substantiel de nature à entraîner l'inapplicabilité des règles techniques en cause aux particuliers. »</w:t>
      </w:r>
    </w:p>
    <w:p w14:paraId="5B87E4FF" w14:textId="77777777"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20"/>
          <w:lang w:val="fr-FR" w:eastAsia="en-IE"/>
        </w:rPr>
      </w:pPr>
    </w:p>
    <w:p w14:paraId="0768FF27" w14:textId="106D281C"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20"/>
          <w:lang w:val="fr-FR" w:eastAsia="en-IE"/>
        </w:rPr>
      </w:pPr>
      <w:r w:rsidRPr="00190CBF">
        <w:rPr>
          <w:rFonts w:ascii="Times New Roman" w:eastAsia="Times New Roman" w:hAnsi="Times New Roman" w:cs="Times New Roman"/>
          <w:i/>
          <w:iCs/>
          <w:sz w:val="20"/>
          <w:szCs w:val="20"/>
          <w:lang w:val="fr-FR" w:eastAsia="en-IE"/>
        </w:rPr>
        <w:t>« 55</w:t>
      </w:r>
      <w:r w:rsidR="00FF2F84">
        <w:rPr>
          <w:rFonts w:ascii="Times New Roman" w:eastAsia="Times New Roman" w:hAnsi="Times New Roman" w:cs="Times New Roman"/>
          <w:i/>
          <w:iCs/>
          <w:sz w:val="20"/>
          <w:szCs w:val="20"/>
          <w:lang w:val="fr-FR" w:eastAsia="en-IE"/>
        </w:rPr>
        <w:t>.</w:t>
      </w:r>
      <w:r w:rsidRPr="00190CBF">
        <w:rPr>
          <w:rFonts w:ascii="Times New Roman" w:eastAsia="Times New Roman" w:hAnsi="Times New Roman" w:cs="Times New Roman"/>
          <w:i/>
          <w:iCs/>
          <w:sz w:val="20"/>
          <w:szCs w:val="20"/>
          <w:lang w:val="fr-FR" w:eastAsia="en-IE"/>
        </w:rPr>
        <w:t xml:space="preserve"> II convient donc de répondre aux cinquième et sixième questions que les articles 8 et 9 de la directive 83/189 doivent être interprétés en ce sens que les particuliers peuvent s'en prévaloir devant le juge national, auquel il incombe de refuser d'appliquer une règle technique nationale qui n'a pas été notifiée conformément à la directive. »</w:t>
      </w:r>
    </w:p>
    <w:p w14:paraId="44EDD958"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FR"/>
        </w:rPr>
      </w:pPr>
    </w:p>
    <w:p w14:paraId="0A6C3DD6" w14:textId="2C76F965"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0" w:history="1">
        <w:r w:rsidR="007925D9" w:rsidRPr="00190CBF">
          <w:rPr>
            <w:rFonts w:ascii="Times New Roman" w:eastAsia="Times New Roman" w:hAnsi="Times New Roman" w:cs="Times New Roman"/>
            <w:b/>
            <w:i/>
            <w:color w:val="0000FF"/>
            <w:szCs w:val="20"/>
            <w:u w:val="single"/>
            <w:lang w:val="fr-FR" w:eastAsia="en-IE"/>
          </w:rPr>
          <w:t>Arrêt du 16 juin 1998</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Lemmens, </w:t>
      </w:r>
      <w:r w:rsidR="007925D9" w:rsidRPr="00190CBF">
        <w:rPr>
          <w:rFonts w:ascii="Times New Roman" w:eastAsia="Times New Roman" w:hAnsi="Times New Roman" w:cs="Times New Roman"/>
          <w:b/>
          <w:i/>
          <w:szCs w:val="20"/>
          <w:lang w:val="fr-FR" w:eastAsia="en-IE"/>
        </w:rPr>
        <w:t>C-226/97, EU:C:1998:296, points 34 à 37</w:t>
      </w:r>
    </w:p>
    <w:p w14:paraId="758CEF0A"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3ABB4A98" w14:textId="00D35A8C" w:rsidR="007925D9" w:rsidRPr="00190CBF" w:rsidRDefault="007925D9" w:rsidP="00AA4F20">
      <w:pPr>
        <w:widowControl w:val="0"/>
        <w:tabs>
          <w:tab w:val="left" w:pos="406"/>
        </w:tabs>
        <w:autoSpaceDE w:val="0"/>
        <w:autoSpaceDN w:val="0"/>
        <w:spacing w:after="0" w:line="240" w:lineRule="auto"/>
        <w:jc w:val="both"/>
        <w:rPr>
          <w:rFonts w:ascii="Times New Roman" w:eastAsia="Times New Roman" w:hAnsi="Times New Roman" w:cs="Times New Roman"/>
          <w:szCs w:val="20"/>
          <w:lang w:val="fr-BE" w:eastAsia="en-IE"/>
        </w:rPr>
      </w:pPr>
      <w:r w:rsidRPr="00190CBF">
        <w:rPr>
          <w:rFonts w:ascii="Times New Roman" w:eastAsia="Times New Roman" w:hAnsi="Times New Roman" w:cs="Times New Roman"/>
          <w:szCs w:val="20"/>
          <w:lang w:val="fr-BE" w:eastAsia="en-IE"/>
        </w:rPr>
        <w:t>La méconnaissance de l'obligation de notifier une réglementation technique relative aux éthylomètres n'a pas pour effet de rendre inopposable au particulier inculpé pour conduite en état d'ivresse la preuve obtenue au moyen d'un éthylomètre autorisé conformément aux règles non notifiées</w:t>
      </w:r>
      <w:r w:rsidR="00C14379">
        <w:rPr>
          <w:rFonts w:ascii="Times New Roman" w:eastAsia="Times New Roman" w:hAnsi="Times New Roman" w:cs="Times New Roman"/>
          <w:szCs w:val="20"/>
          <w:lang w:val="fr-BE" w:eastAsia="en-IE"/>
        </w:rPr>
        <w:t>.</w:t>
      </w:r>
    </w:p>
    <w:p w14:paraId="3E297BB7" w14:textId="77777777" w:rsidR="007925D9" w:rsidRPr="00190CBF" w:rsidRDefault="007925D9" w:rsidP="00AA4F20">
      <w:pPr>
        <w:widowControl w:val="0"/>
        <w:tabs>
          <w:tab w:val="left" w:pos="406"/>
        </w:tabs>
        <w:autoSpaceDE w:val="0"/>
        <w:autoSpaceDN w:val="0"/>
        <w:spacing w:after="0" w:line="240" w:lineRule="auto"/>
        <w:jc w:val="both"/>
        <w:rPr>
          <w:rFonts w:ascii="Times New Roman" w:eastAsia="Times New Roman" w:hAnsi="Times New Roman" w:cs="Times New Roman"/>
          <w:szCs w:val="20"/>
          <w:lang w:val="fr-BE" w:eastAsia="en-IE"/>
        </w:rPr>
      </w:pPr>
    </w:p>
    <w:p w14:paraId="587BF4CB"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 34. Dans une procédure pénale telle que celle au principal, les règles appliquées au prévenu sont, d'une part, celles qui interdisent et sanctionnent la conduite en état d'ivresse et, d'autre part, celles qui obligent le conducteur à insuffler son haleine dans un appareil destiné à l'examen du taux d'alcool, le résultat de cet examen constituant une preuve dans la procédure pénale. Ces règles sont différentes de celles qui, du fait qu'elles n'ont pas été notifiées à la Commission conformément à la directive, sont inopposables aux particuliers.</w:t>
      </w:r>
    </w:p>
    <w:p w14:paraId="266AFD5E"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7186CF05"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35. Il y a lieu de relever que, si l'absence de notification de règles techniques, constituant un vice de procédure dans leur adoption, rend ces dernières inapplicables en tant qu'elles entravent l'utilisation ou la commercialisation d'un produit non conforme à ces règles, elle n'a par contre pas l'effet de rendre illégale toute utilisation d'un produit qui est conforme aux règles non notifiées.</w:t>
      </w:r>
    </w:p>
    <w:p w14:paraId="5BC0E4C8"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1215B123"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36. Or, l'utilisation du produit par les pouvoirs publics, dans un cas comme celui de l'espèce, n'est pas susceptible de créer une entrave aux échanges qui aurait pu être évitée si la procédure de notification avait été suivie.</w:t>
      </w:r>
    </w:p>
    <w:p w14:paraId="65395571" w14:textId="77777777" w:rsidR="007925D9" w:rsidRPr="00190CBF" w:rsidRDefault="007925D9" w:rsidP="00AA4F20">
      <w:pPr>
        <w:widowControl w:val="0"/>
        <w:tabs>
          <w:tab w:val="left" w:pos="4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38FC610" w14:textId="77777777"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37. Il convient donc de répondre à la première question que la directive doit être interprétée en ce sens que la méconnaissance de l'obligation, imposée par son article 8, de notifier une réglementation technique relative aux éthylomètres n'a pas pour effet de rendre inopposable au particulier inculpé pour conduite en état d'ivresse la preuve obtenue au moyen d'un éthylomètre autorisé conformément à des règles non notifiées. »</w:t>
      </w:r>
    </w:p>
    <w:p w14:paraId="03B0AE90"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1AD84CA2" w14:textId="57D7F9E3"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1" w:history="1">
        <w:r w:rsidR="007925D9" w:rsidRPr="00190CBF">
          <w:rPr>
            <w:rFonts w:ascii="Times New Roman" w:eastAsia="Times New Roman" w:hAnsi="Times New Roman" w:cs="Times New Roman"/>
            <w:b/>
            <w:i/>
            <w:color w:val="0000FF"/>
            <w:szCs w:val="20"/>
            <w:u w:val="single"/>
            <w:lang w:val="fr-FR" w:eastAsia="en-IE"/>
          </w:rPr>
          <w:t>Arrêt du 6 juin 2002</w:t>
        </w:r>
      </w:hyperlink>
      <w:r w:rsidR="007925D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Sapod</w:t>
      </w:r>
      <w:proofErr w:type="spellEnd"/>
      <w:r w:rsidR="0074569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Audic</w:t>
      </w:r>
      <w:proofErr w:type="spellEnd"/>
      <w:r w:rsidR="00745699" w:rsidRPr="00190CBF">
        <w:rPr>
          <w:rFonts w:ascii="Times New Roman" w:eastAsia="Times New Roman" w:hAnsi="Times New Roman" w:cs="Times New Roman"/>
          <w:b/>
          <w:i/>
          <w:szCs w:val="20"/>
          <w:lang w:val="fr-FR" w:eastAsia="en-IE"/>
        </w:rPr>
        <w:t xml:space="preserve">, </w:t>
      </w:r>
      <w:r w:rsidR="007925D9" w:rsidRPr="00190CBF">
        <w:rPr>
          <w:rFonts w:ascii="Times New Roman" w:eastAsia="Times New Roman" w:hAnsi="Times New Roman" w:cs="Times New Roman"/>
          <w:b/>
          <w:i/>
          <w:szCs w:val="20"/>
          <w:lang w:val="fr-FR" w:eastAsia="en-IE"/>
        </w:rPr>
        <w:t xml:space="preserve">C-159/00, EU:C:2002:343, points </w:t>
      </w:r>
      <w:r w:rsidR="007925D9">
        <w:rPr>
          <w:rFonts w:ascii="Times New Roman" w:eastAsia="Times New Roman" w:hAnsi="Times New Roman" w:cs="Times New Roman"/>
          <w:b/>
          <w:i/>
          <w:szCs w:val="20"/>
          <w:lang w:val="fr-FR" w:eastAsia="en-IE"/>
        </w:rPr>
        <w:t>52</w:t>
      </w:r>
      <w:r w:rsidR="007925D9" w:rsidRPr="00190CBF">
        <w:rPr>
          <w:rFonts w:ascii="Times New Roman" w:eastAsia="Times New Roman" w:hAnsi="Times New Roman" w:cs="Times New Roman"/>
          <w:b/>
          <w:i/>
          <w:szCs w:val="20"/>
          <w:lang w:val="fr-FR" w:eastAsia="en-IE"/>
        </w:rPr>
        <w:t xml:space="preserve"> </w:t>
      </w:r>
      <w:r w:rsidR="007925D9">
        <w:rPr>
          <w:rFonts w:ascii="Times New Roman" w:eastAsia="Times New Roman" w:hAnsi="Times New Roman" w:cs="Times New Roman"/>
          <w:b/>
          <w:i/>
          <w:szCs w:val="20"/>
          <w:lang w:val="fr-FR" w:eastAsia="en-IE"/>
        </w:rPr>
        <w:t>et</w:t>
      </w:r>
      <w:r w:rsidR="007925D9" w:rsidRPr="00190CBF">
        <w:rPr>
          <w:rFonts w:ascii="Times New Roman" w:eastAsia="Times New Roman" w:hAnsi="Times New Roman" w:cs="Times New Roman"/>
          <w:b/>
          <w:i/>
          <w:szCs w:val="20"/>
          <w:lang w:val="fr-FR" w:eastAsia="en-IE"/>
        </w:rPr>
        <w:t xml:space="preserve"> 53</w:t>
      </w:r>
    </w:p>
    <w:p w14:paraId="7700A11D"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6E31D390" w14:textId="0D9FBECD" w:rsidR="007925D9" w:rsidRPr="00190CBF" w:rsidRDefault="007925D9" w:rsidP="00AA4F20">
      <w:pPr>
        <w:widowControl w:val="0"/>
        <w:tabs>
          <w:tab w:val="left" w:pos="409"/>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Il appartient au juge national de refuser d’appliquer les dispositions inapplicables car n’ayant pas été notifiées. La question des conséquences à tirer de l’inapplicabilité de cette disposition est régie par le </w:t>
      </w:r>
      <w:r w:rsidRPr="00190CBF">
        <w:rPr>
          <w:rFonts w:ascii="Times New Roman" w:eastAsia="Times New Roman" w:hAnsi="Times New Roman" w:cs="Times New Roman"/>
          <w:szCs w:val="20"/>
          <w:lang w:val="fr-FR" w:eastAsia="en-IE"/>
        </w:rPr>
        <w:lastRenderedPageBreak/>
        <w:t xml:space="preserve">droit national, sous réserve que celui-ci ne soit ni moins favorable que pour des recours </w:t>
      </w:r>
      <w:r w:rsidR="00C14379" w:rsidRPr="00190CBF">
        <w:rPr>
          <w:rFonts w:ascii="Times New Roman" w:eastAsia="Times New Roman" w:hAnsi="Times New Roman" w:cs="Times New Roman"/>
          <w:szCs w:val="20"/>
          <w:lang w:val="fr-FR" w:eastAsia="en-IE"/>
        </w:rPr>
        <w:t xml:space="preserve">internes </w:t>
      </w:r>
      <w:r w:rsidRPr="00190CBF">
        <w:rPr>
          <w:rFonts w:ascii="Times New Roman" w:eastAsia="Times New Roman" w:hAnsi="Times New Roman" w:cs="Times New Roman"/>
          <w:szCs w:val="20"/>
          <w:lang w:val="fr-FR" w:eastAsia="en-IE"/>
        </w:rPr>
        <w:t>similaires, ni conçu</w:t>
      </w:r>
      <w:r w:rsidR="00C14379">
        <w:rPr>
          <w:rFonts w:ascii="Times New Roman" w:eastAsia="Times New Roman" w:hAnsi="Times New Roman" w:cs="Times New Roman"/>
          <w:szCs w:val="20"/>
          <w:lang w:val="fr-FR" w:eastAsia="en-IE"/>
        </w:rPr>
        <w:t>e</w:t>
      </w:r>
      <w:r w:rsidRPr="00190CBF">
        <w:rPr>
          <w:rFonts w:ascii="Times New Roman" w:eastAsia="Times New Roman" w:hAnsi="Times New Roman" w:cs="Times New Roman"/>
          <w:szCs w:val="20"/>
          <w:lang w:val="fr-FR" w:eastAsia="en-IE"/>
        </w:rPr>
        <w:t xml:space="preserve"> pour entraver l’exercice des droits de l’Union.</w:t>
      </w:r>
    </w:p>
    <w:p w14:paraId="088E293C" w14:textId="77777777" w:rsidR="007925D9" w:rsidRPr="00190CBF" w:rsidRDefault="007925D9" w:rsidP="00AA4F20">
      <w:pPr>
        <w:widowControl w:val="0"/>
        <w:tabs>
          <w:tab w:val="left" w:pos="409"/>
        </w:tabs>
        <w:autoSpaceDE w:val="0"/>
        <w:autoSpaceDN w:val="0"/>
        <w:spacing w:after="0" w:line="240" w:lineRule="auto"/>
        <w:jc w:val="both"/>
        <w:rPr>
          <w:rFonts w:ascii="Times New Roman" w:eastAsia="Times New Roman" w:hAnsi="Times New Roman" w:cs="Times New Roman"/>
          <w:szCs w:val="20"/>
          <w:lang w:val="fr-FR" w:eastAsia="en-IE"/>
        </w:rPr>
      </w:pPr>
    </w:p>
    <w:p w14:paraId="50D0A841" w14:textId="77777777"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FR" w:eastAsia="en-IE"/>
        </w:rPr>
        <w:t>« </w:t>
      </w:r>
      <w:r w:rsidRPr="00190CBF">
        <w:rPr>
          <w:rFonts w:ascii="Times New Roman" w:eastAsia="Times New Roman" w:hAnsi="Times New Roman" w:cs="Times New Roman"/>
          <w:i/>
          <w:iCs/>
          <w:sz w:val="20"/>
          <w:szCs w:val="16"/>
          <w:lang w:val="fr-BE" w:eastAsia="en-IE"/>
        </w:rPr>
        <w:t xml:space="preserve">52. Il y a toutefois lieu de relever que la question de savoir quelles conclusions doivent être tirées dans l'affaire au principal de l'inapplicabilité de l'article 4, second alinéa, du décret n° 92-377, quant à l'étendue de la sanction prévue à cet effet par le droit national applicable, telle la nullité ou l'inopposabilité du contrat conclu entre </w:t>
      </w:r>
      <w:proofErr w:type="spellStart"/>
      <w:r w:rsidRPr="00190CBF">
        <w:rPr>
          <w:rFonts w:ascii="Times New Roman" w:eastAsia="Times New Roman" w:hAnsi="Times New Roman" w:cs="Times New Roman"/>
          <w:i/>
          <w:iCs/>
          <w:sz w:val="20"/>
          <w:szCs w:val="16"/>
          <w:lang w:val="fr-BE" w:eastAsia="en-IE"/>
        </w:rPr>
        <w:t>Sapod</w:t>
      </w:r>
      <w:proofErr w:type="spellEnd"/>
      <w:r w:rsidRPr="00190CBF">
        <w:rPr>
          <w:rFonts w:ascii="Times New Roman" w:eastAsia="Times New Roman" w:hAnsi="Times New Roman" w:cs="Times New Roman"/>
          <w:i/>
          <w:iCs/>
          <w:sz w:val="20"/>
          <w:szCs w:val="16"/>
          <w:lang w:val="fr-BE" w:eastAsia="en-IE"/>
        </w:rPr>
        <w:t xml:space="preserve"> et Eco-Emballages, est régie par le droit national, notamment pour ce qui concerne les règles et principes du droit des contrats limitant ou modulant une telle sanction afin de rendre son étendue proportionnée aux particularités du vice constaté. Toutefois, lesdits règles et principes ne peuvent être moins favorables que ceux concernant des réclamations semblables de nature interne (principe d'équivalence) et ne peuvent être aménagés de manière à rendre en pratique impossible l'exercice des droits reconnus par l'ordre juridique communautaire (principe d'effectivité) (voir, notamment, arrêts du 16 décembre 1976, </w:t>
      </w:r>
      <w:proofErr w:type="spellStart"/>
      <w:r w:rsidRPr="00190CBF">
        <w:rPr>
          <w:rFonts w:ascii="Times New Roman" w:eastAsia="Times New Roman" w:hAnsi="Times New Roman" w:cs="Times New Roman"/>
          <w:i/>
          <w:iCs/>
          <w:sz w:val="20"/>
          <w:szCs w:val="16"/>
          <w:lang w:val="fr-BE" w:eastAsia="en-IE"/>
        </w:rPr>
        <w:t>Rewe</w:t>
      </w:r>
      <w:proofErr w:type="spellEnd"/>
      <w:r w:rsidRPr="00190CBF">
        <w:rPr>
          <w:rFonts w:ascii="Times New Roman" w:eastAsia="Times New Roman" w:hAnsi="Times New Roman" w:cs="Times New Roman"/>
          <w:i/>
          <w:iCs/>
          <w:sz w:val="20"/>
          <w:szCs w:val="16"/>
          <w:lang w:val="fr-BE" w:eastAsia="en-IE"/>
        </w:rPr>
        <w:t xml:space="preserve">, 33/76, Rec. p. 1989, point 5, et du 22 février 2001, </w:t>
      </w:r>
      <w:proofErr w:type="spellStart"/>
      <w:r w:rsidRPr="00190CBF">
        <w:rPr>
          <w:rFonts w:ascii="Times New Roman" w:eastAsia="Times New Roman" w:hAnsi="Times New Roman" w:cs="Times New Roman"/>
          <w:i/>
          <w:iCs/>
          <w:sz w:val="20"/>
          <w:szCs w:val="16"/>
          <w:lang w:val="fr-BE" w:eastAsia="en-IE"/>
        </w:rPr>
        <w:t>Camarotto</w:t>
      </w:r>
      <w:proofErr w:type="spellEnd"/>
      <w:r w:rsidRPr="00190CBF">
        <w:rPr>
          <w:rFonts w:ascii="Times New Roman" w:eastAsia="Times New Roman" w:hAnsi="Times New Roman" w:cs="Times New Roman"/>
          <w:i/>
          <w:iCs/>
          <w:sz w:val="20"/>
          <w:szCs w:val="16"/>
          <w:lang w:val="fr-BE" w:eastAsia="en-IE"/>
        </w:rPr>
        <w:t xml:space="preserve"> et Vignone, C-52/99 et C-53/99, Rec. p. I-1395, point 21).</w:t>
      </w:r>
    </w:p>
    <w:p w14:paraId="6FD3AE10" w14:textId="77777777" w:rsidR="007925D9" w:rsidRPr="00190CBF"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26C97D99" w14:textId="77777777" w:rsidR="007925D9" w:rsidRDefault="007925D9" w:rsidP="00AA4F20">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53. Il y a donc lieu de répondre à la seconde partie de la deuxième question, en tant qu'elle concerne la directive 83/189, qu'un particulier peut invoquer le défaut de notification conformément à l'article 8 de ladite directive d'une disposition nationale telle que l'article 4, second alinéa, du décret n° 92-377, dans l'hypothèse où cette dernière disposition devrait être interprétée comme comportant une obligation de marquage ou d'étiquetage. Il incombe alors au juge national de refuser d'appliquer cette disposition, étant précisé que la question de savoir quelles conclusions doivent être tirées de l'inapplicabilité de ladite disposition nationale quant à l'étendue de la sanction prévue par le droit national applicable, telle la nullité ou l'inopposabilité d'un contrat, est régie par le droit national. Cette conclusion est toutefois soumise à la condition que les règles de droit national applicables ne soient pas moins favorables que celles applicables à des réclamations semblables de nature interne et ne soient pas aménagées de manière à rendre en pratique impossible l'exercice des droits reconnus par l'ordre juridique communautaire. »</w:t>
      </w:r>
    </w:p>
    <w:p w14:paraId="5C342E33" w14:textId="77777777" w:rsidR="002D4B5F" w:rsidRDefault="002D4B5F" w:rsidP="002D4B5F">
      <w:pPr>
        <w:widowControl w:val="0"/>
        <w:tabs>
          <w:tab w:val="left" w:pos="409"/>
        </w:tabs>
        <w:autoSpaceDE w:val="0"/>
        <w:autoSpaceDN w:val="0"/>
        <w:spacing w:after="0" w:line="240" w:lineRule="auto"/>
        <w:jc w:val="both"/>
        <w:rPr>
          <w:rFonts w:ascii="Times New Roman" w:eastAsia="Times New Roman" w:hAnsi="Times New Roman" w:cs="Times New Roman"/>
          <w:i/>
          <w:iCs/>
          <w:sz w:val="20"/>
          <w:szCs w:val="16"/>
          <w:lang w:val="fr-BE" w:eastAsia="en-IE"/>
        </w:rPr>
      </w:pPr>
    </w:p>
    <w:p w14:paraId="4644E79B" w14:textId="29443ADB" w:rsidR="002D4B5F" w:rsidRPr="002D4B5F" w:rsidRDefault="00B3389F" w:rsidP="002D4B5F">
      <w:pPr>
        <w:pStyle w:val="P68B1DB1-Normal13"/>
        <w:widowControl w:val="0"/>
        <w:autoSpaceDE w:val="0"/>
        <w:autoSpaceDN w:val="0"/>
        <w:spacing w:after="0" w:line="240" w:lineRule="auto"/>
        <w:jc w:val="both"/>
        <w:outlineLvl w:val="1"/>
        <w:rPr>
          <w:lang w:val="fr-BE"/>
        </w:rPr>
      </w:pPr>
      <w:hyperlink r:id="rId102" w:history="1">
        <w:r w:rsidR="002D4B5F" w:rsidRPr="002D4B5F">
          <w:rPr>
            <w:color w:val="0000FF"/>
            <w:u w:val="single"/>
            <w:lang w:val="fr-BE"/>
          </w:rPr>
          <w:t>Arrê</w:t>
        </w:r>
        <w:r w:rsidR="002D4B5F">
          <w:rPr>
            <w:color w:val="0000FF"/>
            <w:u w:val="single"/>
            <w:lang w:val="fr-BE"/>
          </w:rPr>
          <w:t xml:space="preserve">t du </w:t>
        </w:r>
        <w:r w:rsidR="002D4B5F" w:rsidRPr="002D4B5F">
          <w:rPr>
            <w:color w:val="0000FF"/>
            <w:u w:val="single"/>
            <w:lang w:val="fr-BE"/>
          </w:rPr>
          <w:t>8 Septemb</w:t>
        </w:r>
        <w:r w:rsidR="002D4B5F">
          <w:rPr>
            <w:color w:val="0000FF"/>
            <w:u w:val="single"/>
            <w:lang w:val="fr-BE"/>
          </w:rPr>
          <w:t>re</w:t>
        </w:r>
        <w:r w:rsidR="002D4B5F" w:rsidRPr="002D4B5F">
          <w:rPr>
            <w:color w:val="0000FF"/>
            <w:u w:val="single"/>
            <w:lang w:val="fr-BE"/>
          </w:rPr>
          <w:t xml:space="preserve"> 2005</w:t>
        </w:r>
      </w:hyperlink>
      <w:r w:rsidR="002D4B5F" w:rsidRPr="002D4B5F">
        <w:rPr>
          <w:lang w:val="fr-BE"/>
        </w:rPr>
        <w:t xml:space="preserve">, Lidl Italia, C-303/04, EU:C:2005:528, </w:t>
      </w:r>
      <w:r w:rsidR="002D4B5F">
        <w:rPr>
          <w:lang w:val="fr-BE"/>
        </w:rPr>
        <w:t>points</w:t>
      </w:r>
      <w:r w:rsidR="002D4B5F" w:rsidRPr="002D4B5F">
        <w:rPr>
          <w:lang w:val="fr-BE"/>
        </w:rPr>
        <w:t xml:space="preserve"> 22 </w:t>
      </w:r>
      <w:r w:rsidR="002D4B5F">
        <w:rPr>
          <w:lang w:val="fr-BE"/>
        </w:rPr>
        <w:t>et</w:t>
      </w:r>
      <w:r w:rsidR="002D4B5F" w:rsidRPr="002D4B5F">
        <w:rPr>
          <w:lang w:val="fr-BE"/>
        </w:rPr>
        <w:t xml:space="preserve"> 23</w:t>
      </w:r>
    </w:p>
    <w:p w14:paraId="5C760285" w14:textId="77777777" w:rsidR="002D4B5F" w:rsidRPr="002D4B5F" w:rsidRDefault="002D4B5F" w:rsidP="002D4B5F">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p>
    <w:p w14:paraId="09938CCB" w14:textId="02AD0409" w:rsidR="002D4B5F" w:rsidRDefault="002D4B5F" w:rsidP="002D4B5F">
      <w:pPr>
        <w:widowControl w:val="0"/>
        <w:tabs>
          <w:tab w:val="left" w:pos="393"/>
        </w:tabs>
        <w:autoSpaceDE w:val="0"/>
        <w:autoSpaceDN w:val="0"/>
        <w:spacing w:after="0" w:line="240" w:lineRule="auto"/>
        <w:jc w:val="both"/>
        <w:rPr>
          <w:rFonts w:ascii="Times New Roman" w:eastAsia="Times New Roman" w:hAnsi="Times New Roman" w:cs="Times New Roman"/>
          <w:szCs w:val="20"/>
          <w:lang w:val="fr-BE" w:eastAsia="en-IE"/>
        </w:rPr>
      </w:pPr>
      <w:r w:rsidRPr="002D4B5F">
        <w:rPr>
          <w:rFonts w:ascii="Times New Roman" w:eastAsia="Times New Roman" w:hAnsi="Times New Roman" w:cs="Times New Roman"/>
          <w:szCs w:val="20"/>
          <w:lang w:val="fr-BE" w:eastAsia="en-IE"/>
        </w:rPr>
        <w:t>la méconnaissance de l’obligation de notification constitue un vice de procédure substantiel de nature à entraîner l’inapplicabilité des règles techniques concernées, de sorte que celles-ci ne peuvent pas être opposées aux particuliers</w:t>
      </w:r>
      <w:r>
        <w:rPr>
          <w:rFonts w:ascii="Times New Roman" w:eastAsia="Times New Roman" w:hAnsi="Times New Roman" w:cs="Times New Roman"/>
          <w:szCs w:val="20"/>
          <w:lang w:val="fr-BE" w:eastAsia="en-IE"/>
        </w:rPr>
        <w:t>.</w:t>
      </w:r>
    </w:p>
    <w:p w14:paraId="55ACFE83" w14:textId="77777777" w:rsidR="002D4B5F" w:rsidRPr="002D4B5F" w:rsidRDefault="002D4B5F" w:rsidP="002D4B5F">
      <w:pPr>
        <w:widowControl w:val="0"/>
        <w:tabs>
          <w:tab w:val="left" w:pos="393"/>
        </w:tabs>
        <w:autoSpaceDE w:val="0"/>
        <w:autoSpaceDN w:val="0"/>
        <w:spacing w:after="0" w:line="240" w:lineRule="auto"/>
        <w:jc w:val="both"/>
        <w:rPr>
          <w:rFonts w:ascii="Times New Roman" w:eastAsia="Times New Roman" w:hAnsi="Times New Roman" w:cs="Times New Roman"/>
          <w:szCs w:val="20"/>
          <w:lang w:val="fr-BE"/>
        </w:rPr>
      </w:pPr>
    </w:p>
    <w:p w14:paraId="75B2D921" w14:textId="0687392F" w:rsidR="002D4B5F" w:rsidRPr="002D4B5F" w:rsidRDefault="002D4B5F" w:rsidP="002D4B5F">
      <w:pPr>
        <w:pStyle w:val="P68B1DB1-Normal15"/>
        <w:widowControl w:val="0"/>
        <w:tabs>
          <w:tab w:val="left" w:pos="393"/>
        </w:tabs>
        <w:autoSpaceDE w:val="0"/>
        <w:autoSpaceDN w:val="0"/>
        <w:spacing w:after="0" w:line="240" w:lineRule="auto"/>
        <w:ind w:left="567"/>
        <w:jc w:val="both"/>
        <w:rPr>
          <w:lang w:val="fr-BE"/>
        </w:rPr>
      </w:pPr>
      <w:r w:rsidRPr="002D4B5F">
        <w:rPr>
          <w:lang w:val="fr-BE"/>
        </w:rPr>
        <w:t>“22</w:t>
      </w:r>
      <w:r w:rsidR="00FF2F84">
        <w:rPr>
          <w:lang w:val="fr-BE"/>
        </w:rPr>
        <w:t xml:space="preserve">. </w:t>
      </w:r>
      <w:r w:rsidRPr="002D4B5F">
        <w:rPr>
          <w:lang w:val="fr-BE"/>
        </w:rPr>
        <w:t>À cet égard, il est de jurisprudence constante que la directive 98/34 vise, par un contrôle préventif, à protéger la libre circulation des marchandises, qui est un des fondements de la Communauté, et que ce contrôle est utile dans la mesure où des règles techniques relevant de cette directive peuvent constituer des entraves aux échanges des marchandises entre États membres, ces entraves ne pouvant être admises que si elles sont nécessaires pour satisfaire à des exigences impératives poursuivant un but d’intérêt général (voir, en ce sens, arrêts du 30 avril 1996, CIA Security International, C-194/94, Rec. p. I‑2201, point 40, et du 16 juin 1998, Lemmens, C-226/97, Rec. p. I-3711, point 32).</w:t>
      </w:r>
    </w:p>
    <w:p w14:paraId="6940AC4A" w14:textId="77777777" w:rsidR="002D4B5F" w:rsidRPr="002D4B5F" w:rsidRDefault="002D4B5F" w:rsidP="002D4B5F">
      <w:pPr>
        <w:pStyle w:val="P68B1DB1-Normal15"/>
        <w:widowControl w:val="0"/>
        <w:tabs>
          <w:tab w:val="left" w:pos="393"/>
        </w:tabs>
        <w:autoSpaceDE w:val="0"/>
        <w:autoSpaceDN w:val="0"/>
        <w:spacing w:after="0" w:line="240" w:lineRule="auto"/>
        <w:ind w:left="567"/>
        <w:jc w:val="both"/>
        <w:rPr>
          <w:lang w:val="fr-BE"/>
        </w:rPr>
      </w:pPr>
    </w:p>
    <w:p w14:paraId="149570C3" w14:textId="27036562" w:rsidR="007925D9" w:rsidRDefault="002D4B5F" w:rsidP="002D4B5F">
      <w:pPr>
        <w:pStyle w:val="P68B1DB1-Normal15"/>
        <w:widowControl w:val="0"/>
        <w:tabs>
          <w:tab w:val="left" w:pos="393"/>
        </w:tabs>
        <w:autoSpaceDE w:val="0"/>
        <w:autoSpaceDN w:val="0"/>
        <w:spacing w:after="0" w:line="240" w:lineRule="auto"/>
        <w:ind w:left="567"/>
        <w:jc w:val="both"/>
        <w:rPr>
          <w:lang w:val="fr-BE"/>
        </w:rPr>
      </w:pPr>
      <w:r w:rsidRPr="002D4B5F">
        <w:rPr>
          <w:lang w:val="fr-BE"/>
        </w:rPr>
        <w:t>23</w:t>
      </w:r>
      <w:r w:rsidR="00FF2F84">
        <w:rPr>
          <w:lang w:val="fr-BE"/>
        </w:rPr>
        <w:t xml:space="preserve">. </w:t>
      </w:r>
      <w:r w:rsidRPr="002D4B5F">
        <w:rPr>
          <w:lang w:val="fr-BE"/>
        </w:rPr>
        <w:t>L’obligation de notification visée notamment à l’article 8, paragraphe 1, premier alinéa, de la directive 98/34 constituant un moyen essentiel pour la réalisation de ce contrôle communautaire, l’efficacité de ce dernier sera d’autant plus renforcée que cette directive est interprétée en ce sens que la méconnaissance de l’obligation de notification constitue un vice de procédure substantiel de nature à entraîner l’inapplicabilité des règles techniques concernées, de sorte que celles-ci ne peuvent pas être opposées aux particuliers (voir arrêts précités CIA Security International, points 44, 48 et 54, ainsi que Lemmens, point 33).“</w:t>
      </w:r>
    </w:p>
    <w:p w14:paraId="09F274FD" w14:textId="77777777" w:rsidR="002D4B5F" w:rsidRPr="002D4B5F" w:rsidRDefault="002D4B5F" w:rsidP="002D4B5F">
      <w:pPr>
        <w:pStyle w:val="P68B1DB1-Normal15"/>
        <w:widowControl w:val="0"/>
        <w:tabs>
          <w:tab w:val="left" w:pos="393"/>
        </w:tabs>
        <w:autoSpaceDE w:val="0"/>
        <w:autoSpaceDN w:val="0"/>
        <w:spacing w:after="0" w:line="240" w:lineRule="auto"/>
        <w:ind w:left="567"/>
        <w:jc w:val="both"/>
        <w:rPr>
          <w:i w:val="0"/>
          <w:iCs/>
          <w:szCs w:val="20"/>
          <w:lang w:val="fr-BE"/>
        </w:rPr>
      </w:pPr>
    </w:p>
    <w:p w14:paraId="3A7A3401" w14:textId="39FDBC09"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3" w:history="1">
        <w:r w:rsidR="007925D9" w:rsidRPr="00190CBF">
          <w:rPr>
            <w:rFonts w:ascii="Times New Roman" w:eastAsia="Times New Roman" w:hAnsi="Times New Roman" w:cs="Times New Roman"/>
            <w:b/>
            <w:i/>
            <w:color w:val="0000FF"/>
            <w:szCs w:val="20"/>
            <w:u w:val="single"/>
            <w:lang w:val="fr-FR" w:eastAsia="en-IE"/>
          </w:rPr>
          <w:t>Arrêt du 31 janvier 2013</w:t>
        </w:r>
      </w:hyperlink>
      <w:r w:rsidR="007925D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Belgische</w:t>
      </w:r>
      <w:proofErr w:type="spellEnd"/>
      <w:r w:rsidR="00745699" w:rsidRPr="00190CBF">
        <w:rPr>
          <w:rFonts w:ascii="Times New Roman" w:eastAsia="Times New Roman" w:hAnsi="Times New Roman" w:cs="Times New Roman"/>
          <w:b/>
          <w:i/>
          <w:szCs w:val="20"/>
          <w:lang w:val="fr-FR" w:eastAsia="en-IE"/>
        </w:rPr>
        <w:t xml:space="preserve"> Petroleum Unie e.a., </w:t>
      </w:r>
      <w:r w:rsidR="007925D9" w:rsidRPr="00190CBF">
        <w:rPr>
          <w:rFonts w:ascii="Times New Roman" w:eastAsia="Times New Roman" w:hAnsi="Times New Roman" w:cs="Times New Roman"/>
          <w:b/>
          <w:i/>
          <w:szCs w:val="20"/>
          <w:lang w:val="fr-FR" w:eastAsia="en-IE"/>
        </w:rPr>
        <w:t>C-26/11, EU:C:2013:44, point 50</w:t>
      </w:r>
    </w:p>
    <w:p w14:paraId="7D29DEE1"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4A5859BF" w14:textId="23CC69D0" w:rsidR="007925D9" w:rsidRPr="00190CBF" w:rsidRDefault="007925D9"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La violation de l’obligation de notification constitue un vice de procédure substantiel de nature à rendre inapplicables les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en cause et donc inopposables aux particuliers.</w:t>
      </w:r>
    </w:p>
    <w:p w14:paraId="3A77BF8A" w14:textId="77777777" w:rsidR="007925D9" w:rsidRPr="00190CBF" w:rsidRDefault="007925D9" w:rsidP="00AA4F20">
      <w:pPr>
        <w:widowControl w:val="0"/>
        <w:tabs>
          <w:tab w:val="left" w:pos="403"/>
        </w:tabs>
        <w:autoSpaceDE w:val="0"/>
        <w:autoSpaceDN w:val="0"/>
        <w:spacing w:after="0" w:line="240" w:lineRule="auto"/>
        <w:jc w:val="both"/>
        <w:rPr>
          <w:rFonts w:ascii="Times New Roman" w:eastAsia="Times New Roman" w:hAnsi="Times New Roman" w:cs="Times New Roman"/>
          <w:szCs w:val="20"/>
          <w:lang w:val="fr-FR" w:eastAsia="en-IE"/>
        </w:rPr>
      </w:pPr>
    </w:p>
    <w:p w14:paraId="1EFBF218" w14:textId="13E31487" w:rsidR="007925D9" w:rsidRPr="00190CBF" w:rsidRDefault="007925D9" w:rsidP="00AA4F20">
      <w:pPr>
        <w:widowControl w:val="0"/>
        <w:tabs>
          <w:tab w:val="left" w:pos="403"/>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190CBF">
        <w:rPr>
          <w:rFonts w:ascii="Times New Roman" w:eastAsia="Times New Roman" w:hAnsi="Times New Roman" w:cs="Times New Roman"/>
          <w:i/>
          <w:iCs/>
          <w:sz w:val="20"/>
          <w:szCs w:val="16"/>
          <w:lang w:val="fr-FR" w:eastAsia="en-IE"/>
        </w:rPr>
        <w:t>« 50</w:t>
      </w:r>
      <w:r w:rsidR="00FF2F84">
        <w:rPr>
          <w:rFonts w:ascii="Times New Roman" w:eastAsia="Times New Roman" w:hAnsi="Times New Roman" w:cs="Times New Roman"/>
          <w:i/>
          <w:iCs/>
          <w:sz w:val="20"/>
          <w:szCs w:val="16"/>
          <w:lang w:val="fr-FR" w:eastAsia="en-IE"/>
        </w:rPr>
        <w:t xml:space="preserve">. </w:t>
      </w:r>
      <w:r w:rsidRPr="00190CBF">
        <w:rPr>
          <w:rFonts w:ascii="Times New Roman" w:eastAsia="Times New Roman" w:hAnsi="Times New Roman" w:cs="Times New Roman"/>
          <w:i/>
          <w:iCs/>
          <w:sz w:val="20"/>
          <w:szCs w:val="16"/>
          <w:lang w:val="fr-FR" w:eastAsia="en-IE"/>
        </w:rPr>
        <w:t xml:space="preserve">L’obligation de notification visée à l’article 8, paragraphe 1, premier alinéa, de la directive 98/34 constituant un moyen essentiel pour la réalisation dudit contrôle, l’efficacité de ce dernier sera d’autant plus renforcée que cette directive est interprétée en ce sens que la méconnaissance de l’obligation de notification constitue un vice de procédure substantiel de nature à entraîner l’inapplicabilité des règles techniques concernées, de sorte que celles-ci ne peuvent pas être opposées aux particuliers (voir arrêts </w:t>
      </w:r>
      <w:r w:rsidRPr="00190CBF">
        <w:rPr>
          <w:rFonts w:ascii="Times New Roman" w:eastAsia="Times New Roman" w:hAnsi="Times New Roman" w:cs="Times New Roman"/>
          <w:i/>
          <w:iCs/>
          <w:sz w:val="20"/>
          <w:szCs w:val="16"/>
          <w:lang w:val="fr-FR" w:eastAsia="en-IE"/>
        </w:rPr>
        <w:lastRenderedPageBreak/>
        <w:t xml:space="preserve">précités Lidl Italia, point 23, et </w:t>
      </w:r>
      <w:proofErr w:type="spellStart"/>
      <w:r w:rsidRPr="00190CBF">
        <w:rPr>
          <w:rFonts w:ascii="Times New Roman" w:eastAsia="Times New Roman" w:hAnsi="Times New Roman" w:cs="Times New Roman"/>
          <w:i/>
          <w:iCs/>
          <w:sz w:val="20"/>
          <w:szCs w:val="16"/>
          <w:lang w:val="fr-FR" w:eastAsia="en-IE"/>
        </w:rPr>
        <w:t>Sandström</w:t>
      </w:r>
      <w:proofErr w:type="spellEnd"/>
      <w:r w:rsidRPr="00190CBF">
        <w:rPr>
          <w:rFonts w:ascii="Times New Roman" w:eastAsia="Times New Roman" w:hAnsi="Times New Roman" w:cs="Times New Roman"/>
          <w:i/>
          <w:iCs/>
          <w:sz w:val="20"/>
          <w:szCs w:val="16"/>
          <w:lang w:val="fr-FR" w:eastAsia="en-IE"/>
        </w:rPr>
        <w:t>, point 43). »</w:t>
      </w:r>
    </w:p>
    <w:p w14:paraId="5A7C1A11"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FR"/>
        </w:rPr>
      </w:pPr>
    </w:p>
    <w:p w14:paraId="3F877C96" w14:textId="19A2118A"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4" w:history="1">
        <w:r w:rsidR="007925D9" w:rsidRPr="00190CBF">
          <w:rPr>
            <w:rFonts w:ascii="Times New Roman" w:eastAsia="Times New Roman" w:hAnsi="Times New Roman" w:cs="Times New Roman"/>
            <w:b/>
            <w:i/>
            <w:color w:val="0000FF"/>
            <w:szCs w:val="20"/>
            <w:u w:val="single"/>
            <w:lang w:val="fr-FR" w:eastAsia="en-IE"/>
          </w:rPr>
          <w:t>Arrêt du 2 février 2016</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Ince, </w:t>
      </w:r>
      <w:r w:rsidR="007925D9" w:rsidRPr="00190CBF">
        <w:rPr>
          <w:rFonts w:ascii="Times New Roman" w:eastAsia="Times New Roman" w:hAnsi="Times New Roman" w:cs="Times New Roman"/>
          <w:b/>
          <w:i/>
          <w:szCs w:val="20"/>
          <w:lang w:val="fr-FR" w:eastAsia="en-IE"/>
        </w:rPr>
        <w:t xml:space="preserve">C-336/14, EU:C:2016:72, points 67 </w:t>
      </w:r>
      <w:r w:rsidR="00EB5792">
        <w:rPr>
          <w:rFonts w:ascii="Times New Roman" w:eastAsia="Times New Roman" w:hAnsi="Times New Roman" w:cs="Times New Roman"/>
          <w:b/>
          <w:i/>
          <w:szCs w:val="20"/>
          <w:lang w:val="fr-FR" w:eastAsia="en-IE"/>
        </w:rPr>
        <w:t>et</w:t>
      </w:r>
      <w:r w:rsidR="007925D9" w:rsidRPr="00190CBF">
        <w:rPr>
          <w:rFonts w:ascii="Times New Roman" w:eastAsia="Times New Roman" w:hAnsi="Times New Roman" w:cs="Times New Roman"/>
          <w:b/>
          <w:i/>
          <w:szCs w:val="20"/>
          <w:lang w:val="fr-FR" w:eastAsia="en-IE"/>
        </w:rPr>
        <w:t xml:space="preserve"> 68</w:t>
      </w:r>
    </w:p>
    <w:p w14:paraId="4BC3620E"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21958B94" w14:textId="6E4CFF55" w:rsidR="007925D9" w:rsidRPr="00190CBF" w:rsidRDefault="007925D9" w:rsidP="00AA4F20">
      <w:pPr>
        <w:widowControl w:val="0"/>
        <w:tabs>
          <w:tab w:val="left" w:pos="453"/>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Si la directive exige que l’ensemble du projet de loi contenant des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soit communiqué à la Commission, l’inapplicabilité résultant de la violation de l’obligation de notification s’étend non pas à l’ensemble des dispositions d’une telle loi, mais uniquement aux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qu’elle contient.</w:t>
      </w:r>
    </w:p>
    <w:p w14:paraId="0118741A" w14:textId="77777777" w:rsidR="007925D9" w:rsidRPr="00190CBF" w:rsidRDefault="007925D9" w:rsidP="00AA4F20">
      <w:pPr>
        <w:widowControl w:val="0"/>
        <w:autoSpaceDE w:val="0"/>
        <w:autoSpaceDN w:val="0"/>
        <w:spacing w:after="0" w:line="240" w:lineRule="auto"/>
        <w:ind w:left="-142"/>
        <w:jc w:val="both"/>
        <w:rPr>
          <w:rFonts w:ascii="Times New Roman" w:eastAsia="Times New Roman" w:hAnsi="Times New Roman" w:cs="Times New Roman"/>
          <w:i/>
          <w:iCs/>
          <w:sz w:val="20"/>
          <w:szCs w:val="20"/>
          <w:lang w:val="fr-FR" w:eastAsia="en-IE"/>
        </w:rPr>
      </w:pPr>
    </w:p>
    <w:p w14:paraId="222AB9ED" w14:textId="4057BAF0" w:rsidR="007925D9" w:rsidRPr="00190CBF"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r w:rsidRPr="00190CBF">
        <w:rPr>
          <w:rFonts w:ascii="Times New Roman" w:eastAsia="Times New Roman" w:hAnsi="Times New Roman" w:cs="Times New Roman"/>
          <w:i/>
          <w:iCs/>
          <w:sz w:val="20"/>
          <w:szCs w:val="20"/>
          <w:lang w:val="fr-FR" w:eastAsia="en-IE"/>
        </w:rPr>
        <w:t>« </w:t>
      </w:r>
      <w:r w:rsidRPr="00190CBF">
        <w:rPr>
          <w:rFonts w:ascii="Times New Roman" w:eastAsia="Times New Roman" w:hAnsi="Times New Roman" w:cs="Times New Roman"/>
          <w:i/>
          <w:iCs/>
          <w:sz w:val="20"/>
          <w:szCs w:val="20"/>
          <w:lang w:val="fr-BE" w:eastAsia="en-IE"/>
        </w:rPr>
        <w:t>67</w:t>
      </w:r>
      <w:r w:rsidR="00FF2F84">
        <w:rPr>
          <w:rFonts w:ascii="Times New Roman" w:eastAsia="Times New Roman" w:hAnsi="Times New Roman" w:cs="Times New Roman"/>
          <w:i/>
          <w:iCs/>
          <w:sz w:val="20"/>
          <w:szCs w:val="20"/>
          <w:lang w:val="fr-BE" w:eastAsia="en-IE"/>
        </w:rPr>
        <w:t xml:space="preserve">. </w:t>
      </w:r>
      <w:r w:rsidR="00EB5792">
        <w:rPr>
          <w:rFonts w:ascii="Times New Roman" w:eastAsia="Times New Roman" w:hAnsi="Times New Roman" w:cs="Times New Roman"/>
          <w:i/>
          <w:iCs/>
          <w:sz w:val="20"/>
          <w:szCs w:val="20"/>
          <w:lang w:val="fr-BE" w:eastAsia="en-IE"/>
        </w:rPr>
        <w:t>[…]</w:t>
      </w:r>
      <w:r w:rsidRPr="00190CBF">
        <w:rPr>
          <w:rFonts w:ascii="Times New Roman" w:eastAsia="Times New Roman" w:hAnsi="Times New Roman" w:cs="Times New Roman"/>
          <w:i/>
          <w:iCs/>
          <w:sz w:val="20"/>
          <w:szCs w:val="20"/>
          <w:lang w:val="fr-BE" w:eastAsia="en-IE"/>
        </w:rPr>
        <w:t xml:space="preserve"> la méconnaissance de l’obligation de notification prévue à l’article 8, paragraphe 1, de la directive 98/34 constitue un vice de procédure dans l’adoption des règles techniques concernées et entraîne l’inapplicabilité de ces règles techniques, de telle sorte qu’elles ne peuvent être opposées aux particuliers (voir, notamment, arrêt </w:t>
      </w:r>
      <w:proofErr w:type="spellStart"/>
      <w:r w:rsidRPr="00190CBF">
        <w:rPr>
          <w:rFonts w:ascii="Times New Roman" w:eastAsia="Times New Roman" w:hAnsi="Times New Roman" w:cs="Times New Roman"/>
          <w:i/>
          <w:iCs/>
          <w:sz w:val="20"/>
          <w:szCs w:val="20"/>
          <w:lang w:val="fr-BE" w:eastAsia="en-IE"/>
        </w:rPr>
        <w:t>Ivansson</w:t>
      </w:r>
      <w:proofErr w:type="spellEnd"/>
      <w:r w:rsidRPr="00190CBF">
        <w:rPr>
          <w:rFonts w:ascii="Times New Roman" w:eastAsia="Times New Roman" w:hAnsi="Times New Roman" w:cs="Times New Roman"/>
          <w:i/>
          <w:iCs/>
          <w:sz w:val="20"/>
          <w:szCs w:val="20"/>
          <w:lang w:val="fr-BE" w:eastAsia="en-IE"/>
        </w:rPr>
        <w:t xml:space="preserve"> e.a., C</w:t>
      </w:r>
      <w:r w:rsidRPr="00190CBF">
        <w:rPr>
          <w:rFonts w:ascii="Times New Roman" w:eastAsia="Times New Roman" w:hAnsi="Times New Roman" w:cs="Times New Roman"/>
          <w:i/>
          <w:iCs/>
          <w:sz w:val="20"/>
          <w:szCs w:val="20"/>
          <w:lang w:val="fr-BE" w:eastAsia="en-IE"/>
        </w:rPr>
        <w:noBreakHyphen/>
        <w:t>307/13, EU:C:2014:2058, point 48 ainsi que jurisprudence citée).</w:t>
      </w:r>
    </w:p>
    <w:p w14:paraId="5C2B8094" w14:textId="77777777" w:rsidR="007925D9" w:rsidRPr="00190CBF"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p>
    <w:p w14:paraId="0BF09E0D" w14:textId="0B46C088" w:rsidR="007925D9" w:rsidRPr="00190CBF"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20"/>
          <w:lang w:val="fr-BE" w:eastAsia="en-IE"/>
        </w:rPr>
      </w:pPr>
      <w:r w:rsidRPr="00190CBF">
        <w:rPr>
          <w:rFonts w:ascii="Times New Roman" w:eastAsia="Times New Roman" w:hAnsi="Times New Roman" w:cs="Times New Roman"/>
          <w:i/>
          <w:iCs/>
          <w:sz w:val="20"/>
          <w:szCs w:val="20"/>
          <w:lang w:val="fr-BE" w:eastAsia="en-IE"/>
        </w:rPr>
        <w:t>68</w:t>
      </w:r>
      <w:r w:rsidR="00FF2F84">
        <w:rPr>
          <w:rFonts w:ascii="Times New Roman" w:eastAsia="Times New Roman" w:hAnsi="Times New Roman" w:cs="Times New Roman"/>
          <w:i/>
          <w:iCs/>
          <w:sz w:val="20"/>
          <w:szCs w:val="20"/>
          <w:lang w:val="fr-BE" w:eastAsia="en-IE"/>
        </w:rPr>
        <w:t xml:space="preserve">. </w:t>
      </w:r>
      <w:r w:rsidRPr="00190CBF">
        <w:rPr>
          <w:rFonts w:ascii="Times New Roman" w:eastAsia="Times New Roman" w:hAnsi="Times New Roman" w:cs="Times New Roman"/>
          <w:i/>
          <w:iCs/>
          <w:sz w:val="20"/>
          <w:szCs w:val="20"/>
          <w:lang w:val="fr-BE" w:eastAsia="en-IE"/>
        </w:rPr>
        <w:t>À cet égard, il convient de souligner que, ainsi que l’a relevé M. l’avocat général au point 60 de ses conclusions, bien que l’article 8, paragraphe 1, de cette directive exige la communication à la Commission de l’intégralité d’un projet de loi contenant des règles techniques (voir, en ce sens, arrêt Commission/Italie, C</w:t>
      </w:r>
      <w:r w:rsidRPr="00190CBF">
        <w:rPr>
          <w:rFonts w:ascii="Times New Roman" w:eastAsia="Times New Roman" w:hAnsi="Times New Roman" w:cs="Times New Roman"/>
          <w:i/>
          <w:iCs/>
          <w:sz w:val="20"/>
          <w:szCs w:val="20"/>
          <w:lang w:val="fr-BE" w:eastAsia="en-IE"/>
        </w:rPr>
        <w:noBreakHyphen/>
        <w:t>279/94, EU:C:1997:396, points 40 et 41), l’inapplicabilité qui résulte de la méconnaissance de cette obligation s’étend, non pas à l’ensemble des dispositions d’une telle loi, mais aux seules règles techniques y figurant.</w:t>
      </w:r>
    </w:p>
    <w:p w14:paraId="3958CBE4" w14:textId="77777777" w:rsidR="007925D9" w:rsidRP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33409741" w14:textId="6B3E4200" w:rsidR="007925D9"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5" w:history="1">
        <w:r w:rsidR="007925D9" w:rsidRPr="00190CBF">
          <w:rPr>
            <w:rFonts w:ascii="Times New Roman" w:eastAsia="Times New Roman" w:hAnsi="Times New Roman" w:cs="Times New Roman"/>
            <w:b/>
            <w:i/>
            <w:color w:val="0000FF"/>
            <w:szCs w:val="20"/>
            <w:u w:val="single"/>
            <w:lang w:val="fr-FR" w:eastAsia="en-IE"/>
          </w:rPr>
          <w:t>Ordonnance du 21 avril 2016</w:t>
        </w:r>
      </w:hyperlink>
      <w:r w:rsidR="007925D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Beca</w:t>
      </w:r>
      <w:proofErr w:type="spellEnd"/>
      <w:r w:rsidR="00745699" w:rsidRPr="00190CBF">
        <w:rPr>
          <w:rFonts w:ascii="Times New Roman" w:eastAsia="Times New Roman" w:hAnsi="Times New Roman" w:cs="Times New Roman"/>
          <w:b/>
          <w:i/>
          <w:szCs w:val="20"/>
          <w:lang w:val="fr-FR" w:eastAsia="en-IE"/>
        </w:rPr>
        <w:t xml:space="preserve"> Engineering, </w:t>
      </w:r>
      <w:r w:rsidR="007925D9" w:rsidRPr="00190CBF">
        <w:rPr>
          <w:rFonts w:ascii="Times New Roman" w:eastAsia="Times New Roman" w:hAnsi="Times New Roman" w:cs="Times New Roman"/>
          <w:b/>
          <w:i/>
          <w:szCs w:val="20"/>
          <w:lang w:val="fr-FR" w:eastAsia="en-IE"/>
        </w:rPr>
        <w:t>C-285/15, EU:C:2016:295, point 37</w:t>
      </w:r>
    </w:p>
    <w:p w14:paraId="4FF7730D"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63059CC7" w14:textId="6D730273" w:rsidR="007925D9" w:rsidRPr="00190CBF" w:rsidRDefault="007925D9" w:rsidP="00AA4F20">
      <w:pPr>
        <w:widowControl w:val="0"/>
        <w:tabs>
          <w:tab w:val="left" w:pos="436"/>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La violation de l’obligation de notification des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rend inapplicables les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règles techniques</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concernées, de sorte qu’elles sont inopposables aux particuliers</w:t>
      </w:r>
      <w:r w:rsidR="00C14379">
        <w:rPr>
          <w:rFonts w:ascii="Times New Roman" w:eastAsia="Times New Roman" w:hAnsi="Times New Roman" w:cs="Times New Roman"/>
          <w:szCs w:val="20"/>
          <w:lang w:val="fr-FR" w:eastAsia="en-IE"/>
        </w:rPr>
        <w:t xml:space="preserve">, qui </w:t>
      </w:r>
      <w:r w:rsidRPr="00190CBF">
        <w:rPr>
          <w:rFonts w:ascii="Times New Roman" w:eastAsia="Times New Roman" w:hAnsi="Times New Roman" w:cs="Times New Roman"/>
          <w:szCs w:val="20"/>
          <w:lang w:val="fr-FR" w:eastAsia="en-IE"/>
        </w:rPr>
        <w:t>peuvent invoquer l’article 8 de la directive 98/34</w:t>
      </w:r>
      <w:r w:rsidR="00BB4018">
        <w:rPr>
          <w:rFonts w:ascii="Times New Roman" w:eastAsia="Times New Roman" w:hAnsi="Times New Roman" w:cs="Times New Roman"/>
          <w:szCs w:val="20"/>
          <w:lang w:val="fr-FR" w:eastAsia="en-IE"/>
        </w:rPr>
        <w:t>/EC</w:t>
      </w:r>
      <w:r w:rsidRPr="00190CBF">
        <w:rPr>
          <w:rFonts w:ascii="Times New Roman" w:eastAsia="Times New Roman" w:hAnsi="Times New Roman" w:cs="Times New Roman"/>
          <w:szCs w:val="20"/>
          <w:lang w:val="fr-FR" w:eastAsia="en-IE"/>
        </w:rPr>
        <w:t xml:space="preserve"> devant les juridictions nationales qui sont dès lors tenues de refuser d</w:t>
      </w:r>
      <w:r w:rsidR="000D631B">
        <w:rPr>
          <w:rFonts w:ascii="Times New Roman" w:eastAsia="Times New Roman" w:hAnsi="Times New Roman" w:cs="Times New Roman"/>
          <w:szCs w:val="20"/>
          <w:lang w:val="fr-FR" w:eastAsia="en-IE"/>
        </w:rPr>
        <w:t xml:space="preserve">e les </w:t>
      </w:r>
      <w:r w:rsidRPr="00190CBF">
        <w:rPr>
          <w:rFonts w:ascii="Times New Roman" w:eastAsia="Times New Roman" w:hAnsi="Times New Roman" w:cs="Times New Roman"/>
          <w:szCs w:val="20"/>
          <w:lang w:val="fr-FR" w:eastAsia="en-IE"/>
        </w:rPr>
        <w:t>appliquer</w:t>
      </w:r>
      <w:r w:rsidR="000D631B">
        <w:rPr>
          <w:rFonts w:ascii="Times New Roman" w:eastAsia="Times New Roman" w:hAnsi="Times New Roman" w:cs="Times New Roman"/>
          <w:szCs w:val="20"/>
          <w:lang w:val="fr-FR" w:eastAsia="en-IE"/>
        </w:rPr>
        <w:t>.</w:t>
      </w:r>
    </w:p>
    <w:p w14:paraId="695C5D13" w14:textId="77777777" w:rsidR="007925D9" w:rsidRPr="00190CBF" w:rsidRDefault="007925D9" w:rsidP="00AA4F20">
      <w:pPr>
        <w:widowControl w:val="0"/>
        <w:tabs>
          <w:tab w:val="left" w:pos="436"/>
        </w:tabs>
        <w:autoSpaceDE w:val="0"/>
        <w:autoSpaceDN w:val="0"/>
        <w:spacing w:after="0" w:line="240" w:lineRule="auto"/>
        <w:jc w:val="both"/>
        <w:rPr>
          <w:rFonts w:ascii="Times New Roman" w:eastAsia="Times New Roman" w:hAnsi="Times New Roman" w:cs="Times New Roman"/>
          <w:szCs w:val="20"/>
          <w:lang w:val="fr-FR" w:eastAsia="en-IE"/>
        </w:rPr>
      </w:pPr>
    </w:p>
    <w:p w14:paraId="176B997E" w14:textId="17692151" w:rsidR="007925D9" w:rsidRPr="00190CBF" w:rsidRDefault="007925D9" w:rsidP="00AA4F20">
      <w:pPr>
        <w:widowControl w:val="0"/>
        <w:tabs>
          <w:tab w:val="left" w:pos="436"/>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190CBF">
        <w:rPr>
          <w:rFonts w:ascii="Times New Roman" w:eastAsia="Times New Roman" w:hAnsi="Times New Roman" w:cs="Times New Roman"/>
          <w:i/>
          <w:iCs/>
          <w:sz w:val="20"/>
          <w:szCs w:val="16"/>
          <w:lang w:val="fr-FR" w:eastAsia="en-IE"/>
        </w:rPr>
        <w:t>« 37</w:t>
      </w:r>
      <w:r w:rsidR="00FF2F84">
        <w:rPr>
          <w:rFonts w:ascii="Times New Roman" w:eastAsia="Times New Roman" w:hAnsi="Times New Roman" w:cs="Times New Roman"/>
          <w:i/>
          <w:iCs/>
          <w:sz w:val="20"/>
          <w:szCs w:val="16"/>
          <w:lang w:val="fr-FR" w:eastAsia="en-IE"/>
        </w:rPr>
        <w:t xml:space="preserve">. </w:t>
      </w:r>
      <w:r w:rsidRPr="00190CBF">
        <w:rPr>
          <w:rFonts w:ascii="Times New Roman" w:eastAsia="Times New Roman" w:hAnsi="Times New Roman" w:cs="Times New Roman"/>
          <w:i/>
          <w:iCs/>
          <w:sz w:val="20"/>
          <w:szCs w:val="16"/>
          <w:lang w:val="fr-FR" w:eastAsia="en-IE"/>
        </w:rPr>
        <w:t>En effet, il est de jurisprudence constante que la méconnaissance de l’obligation de communication immédiate des règles techniques par les États membres à la Commission, prévue à l’article 8 de la directive 98/34, entraîne l’inapplicabilité des règles techniques concernées, de sorte qu’elles ne peuvent être opposées aux particuliers et que ces derniers peuvent ainsi se prévaloir de l’article 8 de la directive 98/34 devant le juge national, auquel il incombe de refuser d’appliquer une règle technique nationale qui n’a pas été notifiée conformément à cette directive (voir, en ce sens, arrêts du 30 avril 1996, CIA Security International, C</w:t>
      </w:r>
      <w:r w:rsidRPr="00190CBF">
        <w:rPr>
          <w:rFonts w:ascii="Times New Roman" w:eastAsia="Times New Roman" w:hAnsi="Times New Roman" w:cs="Times New Roman"/>
          <w:i/>
          <w:iCs/>
          <w:sz w:val="20"/>
          <w:szCs w:val="16"/>
          <w:lang w:val="fr-FR" w:eastAsia="en-IE"/>
        </w:rPr>
        <w:noBreakHyphen/>
        <w:t>194/94, EU:C:1996:172, points 44 et 54 ; du 26 septembre 2000, Unilever, C</w:t>
      </w:r>
      <w:r w:rsidRPr="00190CBF">
        <w:rPr>
          <w:rFonts w:ascii="Times New Roman" w:eastAsia="Times New Roman" w:hAnsi="Times New Roman" w:cs="Times New Roman"/>
          <w:i/>
          <w:iCs/>
          <w:sz w:val="20"/>
          <w:szCs w:val="16"/>
          <w:lang w:val="fr-FR" w:eastAsia="en-IE"/>
        </w:rPr>
        <w:noBreakHyphen/>
        <w:t xml:space="preserve">443/98, EU:C:2000:496, point 49, ainsi que du 16 juillet 2015, UNIC et </w:t>
      </w:r>
      <w:proofErr w:type="spellStart"/>
      <w:r w:rsidRPr="00190CBF">
        <w:rPr>
          <w:rFonts w:ascii="Times New Roman" w:eastAsia="Times New Roman" w:hAnsi="Times New Roman" w:cs="Times New Roman"/>
          <w:i/>
          <w:iCs/>
          <w:sz w:val="20"/>
          <w:szCs w:val="16"/>
          <w:lang w:val="fr-FR" w:eastAsia="en-IE"/>
        </w:rPr>
        <w:t>Uni.co.pel</w:t>
      </w:r>
      <w:proofErr w:type="spellEnd"/>
      <w:r w:rsidRPr="00190CBF">
        <w:rPr>
          <w:rFonts w:ascii="Times New Roman" w:eastAsia="Times New Roman" w:hAnsi="Times New Roman" w:cs="Times New Roman"/>
          <w:i/>
          <w:iCs/>
          <w:sz w:val="20"/>
          <w:szCs w:val="16"/>
          <w:lang w:val="fr-FR" w:eastAsia="en-IE"/>
        </w:rPr>
        <w:t>, C</w:t>
      </w:r>
      <w:r w:rsidRPr="00190CBF">
        <w:rPr>
          <w:rFonts w:ascii="Times New Roman" w:eastAsia="Times New Roman" w:hAnsi="Times New Roman" w:cs="Times New Roman"/>
          <w:i/>
          <w:iCs/>
          <w:sz w:val="20"/>
          <w:szCs w:val="16"/>
          <w:lang w:val="fr-FR" w:eastAsia="en-IE"/>
        </w:rPr>
        <w:noBreakHyphen/>
        <w:t>95/14, EU:C:2015:492, point 29). »</w:t>
      </w:r>
    </w:p>
    <w:p w14:paraId="316A0C5A"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FR"/>
        </w:rPr>
      </w:pPr>
    </w:p>
    <w:p w14:paraId="72DF0B9D" w14:textId="6B387D78"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6" w:history="1">
        <w:r w:rsidR="007925D9" w:rsidRPr="00190CBF">
          <w:rPr>
            <w:rFonts w:ascii="Times New Roman" w:eastAsia="Times New Roman" w:hAnsi="Times New Roman" w:cs="Times New Roman"/>
            <w:b/>
            <w:i/>
            <w:color w:val="0000FF"/>
            <w:szCs w:val="20"/>
            <w:u w:val="single"/>
            <w:lang w:val="fr-FR" w:eastAsia="en-IE"/>
          </w:rPr>
          <w:t>Arrêt du 1 février 2017</w:t>
        </w:r>
      </w:hyperlink>
      <w:r w:rsidR="007925D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Município</w:t>
      </w:r>
      <w:proofErr w:type="spellEnd"/>
      <w:r w:rsidR="00745699" w:rsidRPr="00190CBF">
        <w:rPr>
          <w:rFonts w:ascii="Times New Roman" w:eastAsia="Times New Roman" w:hAnsi="Times New Roman" w:cs="Times New Roman"/>
          <w:b/>
          <w:i/>
          <w:szCs w:val="20"/>
          <w:lang w:val="fr-FR" w:eastAsia="en-IE"/>
        </w:rPr>
        <w:t xml:space="preserve"> de </w:t>
      </w:r>
      <w:proofErr w:type="spellStart"/>
      <w:r w:rsidR="00745699" w:rsidRPr="00190CBF">
        <w:rPr>
          <w:rFonts w:ascii="Times New Roman" w:eastAsia="Times New Roman" w:hAnsi="Times New Roman" w:cs="Times New Roman"/>
          <w:b/>
          <w:i/>
          <w:szCs w:val="20"/>
          <w:lang w:val="fr-FR" w:eastAsia="en-IE"/>
        </w:rPr>
        <w:t>Palmela</w:t>
      </w:r>
      <w:proofErr w:type="spellEnd"/>
      <w:r w:rsidR="00745699" w:rsidRPr="00190CBF">
        <w:rPr>
          <w:rFonts w:ascii="Times New Roman" w:eastAsia="Times New Roman" w:hAnsi="Times New Roman" w:cs="Times New Roman"/>
          <w:b/>
          <w:i/>
          <w:szCs w:val="20"/>
          <w:lang w:val="fr-FR" w:eastAsia="en-IE"/>
        </w:rPr>
        <w:t xml:space="preserve">, </w:t>
      </w:r>
      <w:r w:rsidR="007925D9" w:rsidRPr="00190CBF">
        <w:rPr>
          <w:rFonts w:ascii="Times New Roman" w:eastAsia="Times New Roman" w:hAnsi="Times New Roman" w:cs="Times New Roman"/>
          <w:b/>
          <w:i/>
          <w:szCs w:val="20"/>
          <w:lang w:val="fr-FR" w:eastAsia="en-IE"/>
        </w:rPr>
        <w:t xml:space="preserve">C-144/16, EU:C:2017:76, points </w:t>
      </w:r>
      <w:r w:rsidR="007925D9">
        <w:rPr>
          <w:rFonts w:ascii="Times New Roman" w:eastAsia="Times New Roman" w:hAnsi="Times New Roman" w:cs="Times New Roman"/>
          <w:b/>
          <w:i/>
          <w:szCs w:val="20"/>
          <w:lang w:val="fr-FR" w:eastAsia="en-IE"/>
        </w:rPr>
        <w:t>36 et 37</w:t>
      </w:r>
    </w:p>
    <w:p w14:paraId="71CD8CD4"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75A09886" w14:textId="54A0C9E9" w:rsidR="007925D9" w:rsidRPr="00190CBF" w:rsidRDefault="007925D9" w:rsidP="00AA4F20">
      <w:pPr>
        <w:widowControl w:val="0"/>
        <w:tabs>
          <w:tab w:val="left" w:pos="506"/>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L</w:t>
      </w:r>
      <w:r w:rsidRPr="00190CBF">
        <w:rPr>
          <w:rFonts w:ascii="Times New Roman" w:eastAsia="Times New Roman" w:hAnsi="Times New Roman" w:cs="Times New Roman"/>
          <w:szCs w:val="20"/>
          <w:lang w:val="fr-FR" w:eastAsia="en-IE"/>
        </w:rPr>
        <w:t xml:space="preserve">a sanction de l’inopposabilité d’une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 technique</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qui n’a pas été notifiée ne s’applique qu’à cette règle et non à l’ensemble du texte législatif dans lequel elle est contenue.</w:t>
      </w:r>
    </w:p>
    <w:p w14:paraId="2D084218" w14:textId="77777777" w:rsidR="007925D9" w:rsidRPr="00190CBF" w:rsidRDefault="007925D9" w:rsidP="00AA4F20">
      <w:pPr>
        <w:widowControl w:val="0"/>
        <w:tabs>
          <w:tab w:val="left" w:pos="506"/>
        </w:tabs>
        <w:autoSpaceDE w:val="0"/>
        <w:autoSpaceDN w:val="0"/>
        <w:spacing w:after="0" w:line="240" w:lineRule="auto"/>
        <w:jc w:val="both"/>
        <w:rPr>
          <w:rFonts w:ascii="Times New Roman" w:eastAsia="Times New Roman" w:hAnsi="Times New Roman" w:cs="Times New Roman"/>
          <w:szCs w:val="20"/>
          <w:lang w:val="fr-FR" w:eastAsia="en-IE"/>
        </w:rPr>
      </w:pPr>
    </w:p>
    <w:p w14:paraId="30DC5E79" w14:textId="6324D431" w:rsidR="007925D9" w:rsidRPr="00190CBF" w:rsidRDefault="007925D9" w:rsidP="00AA4F20">
      <w:pPr>
        <w:widowControl w:val="0"/>
        <w:tabs>
          <w:tab w:val="left" w:pos="5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FR" w:eastAsia="en-IE"/>
        </w:rPr>
        <w:t>« </w:t>
      </w:r>
      <w:r w:rsidRPr="00190CBF">
        <w:rPr>
          <w:rFonts w:ascii="Times New Roman" w:eastAsia="Times New Roman" w:hAnsi="Times New Roman" w:cs="Times New Roman"/>
          <w:i/>
          <w:iCs/>
          <w:sz w:val="20"/>
          <w:szCs w:val="16"/>
          <w:lang w:val="fr-BE" w:eastAsia="en-IE"/>
        </w:rPr>
        <w:t>36</w:t>
      </w:r>
      <w:r w:rsidR="00FF2F84">
        <w:rPr>
          <w:rFonts w:ascii="Times New Roman" w:eastAsia="Times New Roman" w:hAnsi="Times New Roman" w:cs="Times New Roman"/>
          <w:i/>
          <w:iCs/>
          <w:sz w:val="20"/>
          <w:szCs w:val="16"/>
          <w:lang w:val="fr-BE" w:eastAsia="en-IE"/>
        </w:rPr>
        <w:t xml:space="preserve">. </w:t>
      </w:r>
      <w:r w:rsidRPr="00190CBF">
        <w:rPr>
          <w:rFonts w:ascii="Times New Roman" w:eastAsia="Times New Roman" w:hAnsi="Times New Roman" w:cs="Times New Roman"/>
          <w:i/>
          <w:iCs/>
          <w:sz w:val="20"/>
          <w:szCs w:val="16"/>
          <w:lang w:val="fr-BE" w:eastAsia="en-IE"/>
        </w:rPr>
        <w:t>Par ailleurs, la méconnaissance d’une telle obligation de notification est sanctionnée par l’inapplicabilité des règles techniques non notifiées (voir, en ce sens, en ce qui concerne la directive 83/189, arrêt du 30 avril 1996, CIA Security International, C</w:t>
      </w:r>
      <w:r w:rsidRPr="00190CBF">
        <w:rPr>
          <w:rFonts w:ascii="Times New Roman" w:eastAsia="Times New Roman" w:hAnsi="Times New Roman" w:cs="Times New Roman"/>
          <w:i/>
          <w:iCs/>
          <w:sz w:val="20"/>
          <w:szCs w:val="16"/>
          <w:lang w:val="fr-BE" w:eastAsia="en-IE"/>
        </w:rPr>
        <w:noBreakHyphen/>
        <w:t>194/94, EU:C:1996:172, point 54, ainsi que, en ce qui concerne la directive 98/34, arrêt du 4 février 2016, Ince, C</w:t>
      </w:r>
      <w:r w:rsidRPr="00190CBF">
        <w:rPr>
          <w:rFonts w:ascii="Times New Roman" w:eastAsia="Times New Roman" w:hAnsi="Times New Roman" w:cs="Times New Roman"/>
          <w:i/>
          <w:iCs/>
          <w:sz w:val="20"/>
          <w:szCs w:val="16"/>
          <w:lang w:val="fr-BE" w:eastAsia="en-IE"/>
        </w:rPr>
        <w:noBreakHyphen/>
        <w:t>336/14, EU:C:2016:72, point 67 et jurisprudence citée).</w:t>
      </w:r>
    </w:p>
    <w:p w14:paraId="112113F0" w14:textId="77777777" w:rsidR="007925D9" w:rsidRPr="00190CBF" w:rsidRDefault="007925D9" w:rsidP="00AA4F20">
      <w:pPr>
        <w:widowControl w:val="0"/>
        <w:tabs>
          <w:tab w:val="left" w:pos="5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3D0698B5" w14:textId="05E8FD61" w:rsidR="007925D9" w:rsidRPr="00190CBF" w:rsidRDefault="007925D9" w:rsidP="00AA4F20">
      <w:pPr>
        <w:widowControl w:val="0"/>
        <w:tabs>
          <w:tab w:val="left" w:pos="50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37</w:t>
      </w:r>
      <w:r w:rsidR="00FF2F84">
        <w:rPr>
          <w:rFonts w:ascii="Times New Roman" w:eastAsia="Times New Roman" w:hAnsi="Times New Roman" w:cs="Times New Roman"/>
          <w:i/>
          <w:iCs/>
          <w:sz w:val="20"/>
          <w:szCs w:val="16"/>
          <w:lang w:val="fr-BE" w:eastAsia="en-IE"/>
        </w:rPr>
        <w:t xml:space="preserve">. </w:t>
      </w:r>
      <w:r w:rsidRPr="00190CBF">
        <w:rPr>
          <w:rFonts w:ascii="Times New Roman" w:eastAsia="Times New Roman" w:hAnsi="Times New Roman" w:cs="Times New Roman"/>
          <w:i/>
          <w:iCs/>
          <w:sz w:val="20"/>
          <w:szCs w:val="16"/>
          <w:lang w:val="fr-BE" w:eastAsia="en-IE"/>
        </w:rPr>
        <w:t>S’agissant de l’étendue d’une telle sanction, bien que l’article 8, paragraphe 1, de la directive 83/189 et l’article 8, paragraphe 1, de la directive 98/34 exigent la communication à la Commission de l’intégralité d’un projet de loi contenant des règles techniques, l’inapplicabilité qui résulte de la méconnaissance de ladite obligation s’étend non pas à l’ensemble des dispositions d’une telle loi, mais aux seules règles techniques y figurant (voir, en ce sens, arrêt du 4 février 2016, Ince, C</w:t>
      </w:r>
      <w:r w:rsidRPr="00190CBF">
        <w:rPr>
          <w:rFonts w:ascii="Times New Roman" w:eastAsia="Times New Roman" w:hAnsi="Times New Roman" w:cs="Times New Roman"/>
          <w:i/>
          <w:iCs/>
          <w:sz w:val="20"/>
          <w:szCs w:val="16"/>
          <w:lang w:val="fr-BE" w:eastAsia="en-IE"/>
        </w:rPr>
        <w:noBreakHyphen/>
        <w:t>336/14, EU:C:2016:72, point 68). »</w:t>
      </w:r>
    </w:p>
    <w:p w14:paraId="554FD65A"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6C171BE6" w14:textId="0BBD5AAC"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7" w:history="1">
        <w:r w:rsidR="007925D9" w:rsidRPr="00190CBF">
          <w:rPr>
            <w:rFonts w:ascii="Times New Roman" w:eastAsia="Times New Roman" w:hAnsi="Times New Roman" w:cs="Times New Roman"/>
            <w:b/>
            <w:i/>
            <w:color w:val="0000FF"/>
            <w:szCs w:val="20"/>
            <w:u w:val="single"/>
            <w:lang w:val="fr-FR" w:eastAsia="en-IE"/>
          </w:rPr>
          <w:t>Arrêt du 12 septembre 2019</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VG Media, </w:t>
      </w:r>
      <w:r w:rsidR="007925D9" w:rsidRPr="00190CBF">
        <w:rPr>
          <w:rFonts w:ascii="Times New Roman" w:eastAsia="Times New Roman" w:hAnsi="Times New Roman" w:cs="Times New Roman"/>
          <w:b/>
          <w:i/>
          <w:szCs w:val="20"/>
          <w:lang w:val="fr-FR" w:eastAsia="en-IE"/>
        </w:rPr>
        <w:t>C-299/17, EU:C:2019:716, point 39</w:t>
      </w:r>
    </w:p>
    <w:p w14:paraId="4D9638D2"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170EAA48" w14:textId="2C4D00D4" w:rsidR="007925D9" w:rsidRPr="00190CBF" w:rsidRDefault="007925D9" w:rsidP="00AA4F20">
      <w:pPr>
        <w:widowControl w:val="0"/>
        <w:tabs>
          <w:tab w:val="left" w:pos="396"/>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L’inapplicabilité d’une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 technique</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qui n’a pas été notifiée conformément à cette disposition peut être invoquée dans le cadre d’un litige entre particuliers.</w:t>
      </w:r>
    </w:p>
    <w:p w14:paraId="28A74567" w14:textId="77777777" w:rsidR="007925D9" w:rsidRPr="00190CBF" w:rsidRDefault="007925D9" w:rsidP="00AA4F20">
      <w:pPr>
        <w:widowControl w:val="0"/>
        <w:tabs>
          <w:tab w:val="left" w:pos="396"/>
        </w:tabs>
        <w:autoSpaceDE w:val="0"/>
        <w:autoSpaceDN w:val="0"/>
        <w:spacing w:after="0" w:line="240" w:lineRule="auto"/>
        <w:jc w:val="both"/>
        <w:rPr>
          <w:rFonts w:ascii="Times New Roman" w:eastAsia="Times New Roman" w:hAnsi="Times New Roman" w:cs="Times New Roman"/>
          <w:szCs w:val="20"/>
          <w:lang w:val="fr-FR" w:eastAsia="en-IE"/>
        </w:rPr>
      </w:pPr>
    </w:p>
    <w:p w14:paraId="341E5191" w14:textId="79334119" w:rsidR="007925D9" w:rsidRDefault="007925D9" w:rsidP="00AA4F20">
      <w:pPr>
        <w:widowControl w:val="0"/>
        <w:tabs>
          <w:tab w:val="left" w:pos="396"/>
        </w:tabs>
        <w:autoSpaceDE w:val="0"/>
        <w:autoSpaceDN w:val="0"/>
        <w:spacing w:after="0" w:line="240" w:lineRule="auto"/>
        <w:ind w:left="567"/>
        <w:jc w:val="both"/>
        <w:rPr>
          <w:rFonts w:ascii="Times New Roman" w:eastAsia="Times New Roman" w:hAnsi="Times New Roman" w:cs="Times New Roman"/>
          <w:i/>
          <w:iCs/>
          <w:sz w:val="20"/>
          <w:szCs w:val="16"/>
          <w:lang w:val="fr-FR" w:eastAsia="en-IE"/>
        </w:rPr>
      </w:pPr>
      <w:r w:rsidRPr="00190CBF">
        <w:rPr>
          <w:rFonts w:ascii="Times New Roman" w:eastAsia="Times New Roman" w:hAnsi="Times New Roman" w:cs="Times New Roman"/>
          <w:i/>
          <w:iCs/>
          <w:sz w:val="20"/>
          <w:szCs w:val="16"/>
          <w:lang w:val="fr-FR" w:eastAsia="en-IE"/>
        </w:rPr>
        <w:t>« 39</w:t>
      </w:r>
      <w:r w:rsidR="00FF2F84">
        <w:rPr>
          <w:rFonts w:ascii="Times New Roman" w:eastAsia="Times New Roman" w:hAnsi="Times New Roman" w:cs="Times New Roman"/>
          <w:i/>
          <w:iCs/>
          <w:sz w:val="20"/>
          <w:szCs w:val="16"/>
          <w:lang w:val="fr-FR" w:eastAsia="en-IE"/>
        </w:rPr>
        <w:t xml:space="preserve">. </w:t>
      </w:r>
      <w:r w:rsidRPr="00190CBF">
        <w:rPr>
          <w:rFonts w:ascii="Times New Roman" w:eastAsia="Times New Roman" w:hAnsi="Times New Roman" w:cs="Times New Roman"/>
          <w:i/>
          <w:iCs/>
          <w:sz w:val="20"/>
          <w:szCs w:val="16"/>
          <w:lang w:val="fr-FR" w:eastAsia="en-IE"/>
        </w:rPr>
        <w:t>Dans la mesure où une règle, telle que celle en cause au principal, vise spécifiquement les services de la société de l’information, le projet de règle technique doit faire l’objet d’une notification préalable à la Commission en vertu de l’article 8, paragraphe 1, de la directive 98/34. À défaut, selon une jurisprudence constante, l’inapplicabilité d’une règle technique nationale qui n’a pas été notifiée conformément à cette disposition peut être invoquée dans un litige entre particuliers (arrêt du 27 octobre 2016, James Elliott Construction, C</w:t>
      </w:r>
      <w:r w:rsidRPr="00190CBF">
        <w:rPr>
          <w:rFonts w:ascii="Times New Roman" w:eastAsia="Times New Roman" w:hAnsi="Times New Roman" w:cs="Times New Roman"/>
          <w:i/>
          <w:iCs/>
          <w:sz w:val="20"/>
          <w:szCs w:val="16"/>
          <w:lang w:val="fr-FR" w:eastAsia="en-IE"/>
        </w:rPr>
        <w:noBreakHyphen/>
        <w:t>613/14, EU:C:2016:821, point 64 et jurisprudence citée). »</w:t>
      </w:r>
    </w:p>
    <w:p w14:paraId="67343887" w14:textId="77777777" w:rsidR="007925D9" w:rsidRDefault="007925D9" w:rsidP="00AA4F20">
      <w:pPr>
        <w:spacing w:after="0" w:line="240" w:lineRule="auto"/>
        <w:rPr>
          <w:rFonts w:ascii="Times New Roman" w:eastAsia="Times New Roman" w:hAnsi="Times New Roman" w:cs="Times New Roman"/>
          <w:i/>
          <w:iCs/>
          <w:sz w:val="20"/>
          <w:szCs w:val="16"/>
          <w:lang w:val="fr-FR" w:eastAsia="en-IE"/>
        </w:rPr>
      </w:pPr>
      <w:r>
        <w:rPr>
          <w:rFonts w:ascii="Times New Roman" w:eastAsia="Times New Roman" w:hAnsi="Times New Roman" w:cs="Times New Roman"/>
          <w:i/>
          <w:iCs/>
          <w:sz w:val="20"/>
          <w:szCs w:val="16"/>
          <w:lang w:val="fr-FR" w:eastAsia="en-IE"/>
        </w:rPr>
        <w:br w:type="page"/>
      </w:r>
    </w:p>
    <w:p w14:paraId="3EE7303A" w14:textId="6F565368" w:rsidR="007925D9" w:rsidRPr="00745699" w:rsidRDefault="009A64A8" w:rsidP="002C17AE">
      <w:pPr>
        <w:pStyle w:val="Heading2"/>
        <w:spacing w:after="0"/>
        <w:jc w:val="center"/>
        <w:rPr>
          <w:color w:val="auto"/>
          <w:lang w:val="fr-BE"/>
        </w:rPr>
      </w:pPr>
      <w:bookmarkStart w:id="103" w:name="_Ref194485069"/>
      <w:bookmarkStart w:id="104" w:name="_Toc203035398"/>
      <w:r>
        <w:rPr>
          <w:color w:val="auto"/>
          <w:lang w:val="fr-BE"/>
        </w:rPr>
        <w:lastRenderedPageBreak/>
        <w:t xml:space="preserve">b. </w:t>
      </w:r>
      <w:r w:rsidR="007925D9" w:rsidRPr="00745699">
        <w:rPr>
          <w:color w:val="auto"/>
          <w:lang w:val="fr-BE"/>
        </w:rPr>
        <w:t>Inapplicabilité en cas d’adoption pendant la période de statu quo</w:t>
      </w:r>
      <w:bookmarkEnd w:id="103"/>
      <w:bookmarkEnd w:id="104"/>
    </w:p>
    <w:p w14:paraId="37876FE6" w14:textId="77777777" w:rsidR="007925D9" w:rsidRPr="007925D9" w:rsidRDefault="007925D9" w:rsidP="002C17AE">
      <w:pPr>
        <w:widowControl w:val="0"/>
        <w:tabs>
          <w:tab w:val="left" w:pos="396"/>
        </w:tabs>
        <w:autoSpaceDE w:val="0"/>
        <w:autoSpaceDN w:val="0"/>
        <w:spacing w:after="0" w:line="240" w:lineRule="auto"/>
        <w:ind w:left="567"/>
        <w:jc w:val="both"/>
        <w:rPr>
          <w:rFonts w:ascii="Times New Roman" w:eastAsia="Times New Roman" w:hAnsi="Times New Roman" w:cs="Times New Roman"/>
          <w:i/>
          <w:iCs/>
          <w:sz w:val="20"/>
          <w:szCs w:val="16"/>
          <w:lang w:val="fr" w:eastAsia="en-IE"/>
        </w:rPr>
      </w:pPr>
    </w:p>
    <w:p w14:paraId="0D0639E5" w14:textId="4AA26C80"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08" w:history="1">
        <w:r w:rsidR="007925D9" w:rsidRPr="00190CBF">
          <w:rPr>
            <w:rFonts w:ascii="Times New Roman" w:eastAsia="Times New Roman" w:hAnsi="Times New Roman" w:cs="Times New Roman"/>
            <w:b/>
            <w:i/>
            <w:color w:val="0000FF"/>
            <w:szCs w:val="20"/>
            <w:u w:val="single"/>
            <w:lang w:val="fr-FR" w:eastAsia="en-IE"/>
          </w:rPr>
          <w:t>Arrêt du 26 septembre 2000</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Unilever</w:t>
      </w:r>
      <w:r w:rsidR="00745699">
        <w:rPr>
          <w:rFonts w:ascii="Times New Roman" w:eastAsia="Times New Roman" w:hAnsi="Times New Roman" w:cs="Times New Roman"/>
          <w:b/>
          <w:i/>
          <w:szCs w:val="20"/>
          <w:lang w:val="fr-FR" w:eastAsia="en-IE"/>
        </w:rPr>
        <w:t xml:space="preserve"> Italia</w:t>
      </w:r>
      <w:r w:rsidR="00745699" w:rsidRPr="00190CBF">
        <w:rPr>
          <w:rFonts w:ascii="Times New Roman" w:eastAsia="Times New Roman" w:hAnsi="Times New Roman" w:cs="Times New Roman"/>
          <w:b/>
          <w:i/>
          <w:szCs w:val="20"/>
          <w:lang w:val="fr-FR" w:eastAsia="en-IE"/>
        </w:rPr>
        <w:t xml:space="preserve">, </w:t>
      </w:r>
      <w:r w:rsidR="007925D9" w:rsidRPr="00190CBF">
        <w:rPr>
          <w:rFonts w:ascii="Times New Roman" w:eastAsia="Times New Roman" w:hAnsi="Times New Roman" w:cs="Times New Roman"/>
          <w:b/>
          <w:i/>
          <w:szCs w:val="20"/>
          <w:lang w:val="fr-FR" w:eastAsia="en-IE"/>
        </w:rPr>
        <w:t>C-443/98, EU:C:2000:496, points 44 et 49</w:t>
      </w:r>
    </w:p>
    <w:p w14:paraId="42E7AF67"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4D40D883" w14:textId="29F0B121" w:rsidR="007925D9" w:rsidRPr="00190CBF" w:rsidRDefault="007925D9" w:rsidP="00AA4F20">
      <w:pPr>
        <w:widowControl w:val="0"/>
        <w:tabs>
          <w:tab w:val="left" w:pos="406"/>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La violation des obligations de report de l’adoption</w:t>
      </w:r>
      <w:r w:rsidR="00C14379">
        <w:rPr>
          <w:rFonts w:ascii="Times New Roman" w:eastAsia="Times New Roman" w:hAnsi="Times New Roman" w:cs="Times New Roman"/>
          <w:szCs w:val="20"/>
          <w:lang w:val="fr-FR" w:eastAsia="en-IE"/>
        </w:rPr>
        <w:t xml:space="preserve"> de « règles techniques »</w:t>
      </w:r>
      <w:r w:rsidRPr="00190CBF">
        <w:rPr>
          <w:rFonts w:ascii="Times New Roman" w:eastAsia="Times New Roman" w:hAnsi="Times New Roman" w:cs="Times New Roman"/>
          <w:szCs w:val="20"/>
          <w:lang w:val="fr-FR" w:eastAsia="en-IE"/>
        </w:rPr>
        <w:t xml:space="preserve"> constitue un vice de procédure substantiel </w:t>
      </w:r>
      <w:r w:rsidR="00C14379">
        <w:rPr>
          <w:rFonts w:ascii="Times New Roman" w:eastAsia="Times New Roman" w:hAnsi="Times New Roman" w:cs="Times New Roman"/>
          <w:szCs w:val="20"/>
          <w:lang w:val="fr-FR" w:eastAsia="en-IE"/>
        </w:rPr>
        <w:t>ces dernières</w:t>
      </w:r>
      <w:r w:rsidRPr="00190CBF">
        <w:rPr>
          <w:rFonts w:ascii="Times New Roman" w:eastAsia="Times New Roman" w:hAnsi="Times New Roman" w:cs="Times New Roman"/>
          <w:szCs w:val="20"/>
          <w:lang w:val="fr-FR" w:eastAsia="en-IE"/>
        </w:rPr>
        <w:t xml:space="preserve">. Cette inapplicabilité est invocable dans le cadre d’un litige civil </w:t>
      </w:r>
      <w:r w:rsidR="00C14379">
        <w:rPr>
          <w:rFonts w:ascii="Times New Roman" w:eastAsia="Times New Roman" w:hAnsi="Times New Roman" w:cs="Times New Roman"/>
          <w:szCs w:val="20"/>
          <w:lang w:val="fr-FR" w:eastAsia="en-IE"/>
        </w:rPr>
        <w:t>de droit des contrats.</w:t>
      </w:r>
    </w:p>
    <w:p w14:paraId="4BBEE81D" w14:textId="77777777" w:rsidR="007925D9" w:rsidRPr="00190CBF" w:rsidRDefault="007925D9"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75DB8828" w14:textId="3E554535" w:rsidR="007925D9" w:rsidRPr="00190CBF"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FR" w:eastAsia="en-IE"/>
        </w:rPr>
        <w:t>« </w:t>
      </w:r>
      <w:r w:rsidRPr="00190CBF">
        <w:rPr>
          <w:rFonts w:ascii="Times New Roman" w:eastAsia="Times New Roman" w:hAnsi="Times New Roman" w:cs="Times New Roman"/>
          <w:i/>
          <w:iCs/>
          <w:sz w:val="20"/>
          <w:szCs w:val="16"/>
          <w:lang w:val="fr-BE" w:eastAsia="en-IE"/>
        </w:rPr>
        <w:t>44. Si, au point 48 de l'arrêt CIA Security International, après avoir rappelé que l'objectif de la directive 83/189 est la protection de la libre circulation des marchandises par un contrôle préventif et que l'obligation de notification constitue un moyen essentiel pour la réalisation de ce contrôle communautaire, la Cour a constaté que l'efficacité de ce contrôle sera d'autant renforcée que ladite directive est interprétée en ce sens que la méconnaissance de l'obligation de notification constitue un vice de procédure substantiel de nature à entraîner l'inapplicabilité des règles techniques en cause aux particuliers, il découle des considérations reproduites aux points 40 à 43 du présent arrêt que la méconnaissance des obligations de report d'adoption préconisées à l'article 9 de la directive 83/189 constitue également un vice de procédure substantiel de nature à entraîner l'inapplicabilité des règles techniques. »</w:t>
      </w:r>
    </w:p>
    <w:p w14:paraId="02036EC1" w14:textId="77777777" w:rsidR="007925D9" w:rsidRPr="00190CBF"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58BC9E48" w14:textId="77777777" w:rsidR="007925D9"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BE" w:eastAsia="en-IE"/>
        </w:rPr>
        <w:t>« 49. Ainsi, il découle de la jurisprudence de la Cour que l'inapplicabilité d'une règle technique qui n'a pas été notifiée conformément à l'article 8 de la directive 83/189 peut être invoquée dans un litige entre particuliers pour les raisons évoquées aux points 40 à 43 du présent arrêt. Il en est de même pour ce qui concerne le non-respect des obligations édictées par l'article 9 de la même directive et il n'y a pas lieu, à cet égard, de traiter de façon différente des litiges entre particuliers en matière de concurrence déloyale, comme dans l'affaire CIA Security International, et des litiges opposant des particuliers au sujet de droits et d'obligations d'ordre contractuel, comme dans le litige au principal. »</w:t>
      </w:r>
    </w:p>
    <w:p w14:paraId="2398ED1C"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037AECF7" w14:textId="6C5F3501"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color w:val="0000FF"/>
          <w:szCs w:val="20"/>
          <w:u w:val="single"/>
          <w:lang w:val="fr-FR" w:eastAsia="en-IE"/>
        </w:rPr>
      </w:pPr>
      <w:hyperlink r:id="rId109" w:history="1">
        <w:r w:rsidR="007925D9" w:rsidRPr="00C14379">
          <w:rPr>
            <w:rFonts w:ascii="Times New Roman" w:eastAsia="Times New Roman" w:hAnsi="Times New Roman" w:cs="Times New Roman"/>
            <w:b/>
            <w:bCs/>
            <w:i/>
            <w:iCs/>
            <w:color w:val="0000FF"/>
            <w:szCs w:val="20"/>
            <w:u w:val="single"/>
            <w:lang w:val="fr-FR" w:eastAsia="en-IE"/>
          </w:rPr>
          <w:t>Arrêt du 16 juillet 2015</w:t>
        </w:r>
      </w:hyperlink>
      <w:r w:rsidR="007925D9" w:rsidRPr="00190CBF">
        <w:rPr>
          <w:rFonts w:ascii="Times New Roman" w:eastAsia="Times New Roman" w:hAnsi="Times New Roman" w:cs="Times New Roman"/>
          <w:b/>
          <w:i/>
          <w:szCs w:val="20"/>
          <w:lang w:val="fr-FR" w:eastAsia="en-IE"/>
        </w:rPr>
        <w:t xml:space="preserve">, </w:t>
      </w:r>
      <w:r w:rsidR="00745699" w:rsidRPr="00190CBF">
        <w:rPr>
          <w:rFonts w:ascii="Times New Roman" w:eastAsia="Times New Roman" w:hAnsi="Times New Roman" w:cs="Times New Roman"/>
          <w:b/>
          <w:i/>
          <w:szCs w:val="20"/>
          <w:lang w:val="fr-FR" w:eastAsia="en-IE"/>
        </w:rPr>
        <w:t xml:space="preserve">UNIC et </w:t>
      </w:r>
      <w:proofErr w:type="spellStart"/>
      <w:r w:rsidR="00745699" w:rsidRPr="00190CBF">
        <w:rPr>
          <w:rFonts w:ascii="Times New Roman" w:eastAsia="Times New Roman" w:hAnsi="Times New Roman" w:cs="Times New Roman"/>
          <w:b/>
          <w:i/>
          <w:szCs w:val="20"/>
          <w:lang w:val="fr-FR" w:eastAsia="en-IE"/>
        </w:rPr>
        <w:t>Uni.co.pel</w:t>
      </w:r>
      <w:proofErr w:type="spellEnd"/>
      <w:r w:rsidR="00745699" w:rsidRPr="00190CBF">
        <w:rPr>
          <w:rFonts w:ascii="Times New Roman" w:eastAsia="Times New Roman" w:hAnsi="Times New Roman" w:cs="Times New Roman"/>
          <w:b/>
          <w:i/>
          <w:szCs w:val="20"/>
          <w:lang w:val="fr-FR" w:eastAsia="en-IE"/>
        </w:rPr>
        <w:t xml:space="preserve">, </w:t>
      </w:r>
      <w:r w:rsidR="007925D9" w:rsidRPr="00190CBF">
        <w:rPr>
          <w:rFonts w:ascii="Times New Roman" w:eastAsia="Times New Roman" w:hAnsi="Times New Roman" w:cs="Times New Roman"/>
          <w:b/>
          <w:i/>
          <w:szCs w:val="20"/>
          <w:lang w:val="fr-FR" w:eastAsia="en-IE"/>
        </w:rPr>
        <w:t xml:space="preserve">C-95/14, EU:C:2015:492, points 29 </w:t>
      </w:r>
      <w:r w:rsidR="00CD546D">
        <w:rPr>
          <w:rFonts w:ascii="Times New Roman" w:eastAsia="Times New Roman" w:hAnsi="Times New Roman" w:cs="Times New Roman"/>
          <w:b/>
          <w:i/>
          <w:szCs w:val="20"/>
          <w:lang w:val="fr-FR" w:eastAsia="en-IE"/>
        </w:rPr>
        <w:t>et</w:t>
      </w:r>
      <w:r w:rsidR="007925D9" w:rsidRPr="00190CBF">
        <w:rPr>
          <w:rFonts w:ascii="Times New Roman" w:eastAsia="Times New Roman" w:hAnsi="Times New Roman" w:cs="Times New Roman"/>
          <w:b/>
          <w:i/>
          <w:szCs w:val="20"/>
          <w:lang w:val="fr-FR" w:eastAsia="en-IE"/>
        </w:rPr>
        <w:t xml:space="preserve"> 30</w:t>
      </w:r>
    </w:p>
    <w:p w14:paraId="1DE1608D"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BE" w:eastAsia="en-IE"/>
        </w:rPr>
      </w:pPr>
    </w:p>
    <w:p w14:paraId="6A41CA20" w14:textId="5D78CD99" w:rsidR="007925D9" w:rsidRPr="00190CBF" w:rsidRDefault="007925D9" w:rsidP="00AA4F20">
      <w:pPr>
        <w:widowControl w:val="0"/>
        <w:tabs>
          <w:tab w:val="left" w:pos="458"/>
        </w:tabs>
        <w:autoSpaceDE w:val="0"/>
        <w:autoSpaceDN w:val="0"/>
        <w:spacing w:after="0" w:line="240" w:lineRule="auto"/>
        <w:jc w:val="both"/>
        <w:rPr>
          <w:rFonts w:ascii="Times New Roman" w:eastAsia="Times New Roman" w:hAnsi="Times New Roman" w:cs="Times New Roman"/>
          <w:szCs w:val="20"/>
          <w:lang w:val="fr-FR" w:eastAsia="en-IE"/>
        </w:rPr>
      </w:pPr>
      <w:r w:rsidRPr="00190CBF">
        <w:rPr>
          <w:rFonts w:ascii="Times New Roman" w:eastAsia="Times New Roman" w:hAnsi="Times New Roman" w:cs="Times New Roman"/>
          <w:szCs w:val="20"/>
          <w:lang w:val="fr-FR" w:eastAsia="en-IE"/>
        </w:rPr>
        <w:t xml:space="preserve">Une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 technique</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ne peut pas être appliquée si elle n’a pas été notifiée ou si, bien que notifiée, elle a été adoptée et mise en œuvre avant la fin du délai de statu quo. Le non-respect de ce délai de statu quo constitue un vice de procédure matériel rendant inapplicable et inopposable aux particuliers la </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règle technique</w:t>
      </w:r>
      <w:r w:rsidR="000D631B">
        <w:rPr>
          <w:rFonts w:ascii="Times New Roman" w:eastAsia="Times New Roman" w:hAnsi="Times New Roman" w:cs="Times New Roman"/>
          <w:szCs w:val="20"/>
          <w:lang w:val="fr-FR" w:eastAsia="en-IE"/>
        </w:rPr>
        <w:t> »</w:t>
      </w:r>
      <w:r w:rsidRPr="00190CBF">
        <w:rPr>
          <w:rFonts w:ascii="Times New Roman" w:eastAsia="Times New Roman" w:hAnsi="Times New Roman" w:cs="Times New Roman"/>
          <w:szCs w:val="20"/>
          <w:lang w:val="fr-FR" w:eastAsia="en-IE"/>
        </w:rPr>
        <w:t xml:space="preserve"> en cause.</w:t>
      </w:r>
    </w:p>
    <w:p w14:paraId="78F423B5" w14:textId="77777777" w:rsidR="007925D9" w:rsidRPr="00190CBF" w:rsidRDefault="007925D9" w:rsidP="00AA4F20">
      <w:pPr>
        <w:widowControl w:val="0"/>
        <w:tabs>
          <w:tab w:val="left" w:pos="458"/>
        </w:tabs>
        <w:autoSpaceDE w:val="0"/>
        <w:autoSpaceDN w:val="0"/>
        <w:spacing w:after="0" w:line="240" w:lineRule="auto"/>
        <w:jc w:val="both"/>
        <w:rPr>
          <w:rFonts w:ascii="Times New Roman" w:eastAsia="Times New Roman" w:hAnsi="Times New Roman" w:cs="Times New Roman"/>
          <w:szCs w:val="20"/>
          <w:lang w:val="fr-FR" w:eastAsia="en-IE"/>
        </w:rPr>
      </w:pPr>
    </w:p>
    <w:p w14:paraId="490AE125" w14:textId="66BE60BC" w:rsidR="007925D9" w:rsidRPr="00190CBF" w:rsidRDefault="007925D9" w:rsidP="00AA4F20">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FR" w:eastAsia="en-IE"/>
        </w:rPr>
        <w:t>« </w:t>
      </w:r>
      <w:r w:rsidRPr="00190CBF">
        <w:rPr>
          <w:rFonts w:ascii="Times New Roman" w:eastAsia="Times New Roman" w:hAnsi="Times New Roman" w:cs="Times New Roman"/>
          <w:i/>
          <w:iCs/>
          <w:sz w:val="20"/>
          <w:szCs w:val="16"/>
          <w:lang w:val="fr-BE" w:eastAsia="en-IE"/>
        </w:rPr>
        <w:t>29</w:t>
      </w:r>
      <w:r w:rsidR="00FF2F84">
        <w:rPr>
          <w:rFonts w:ascii="Times New Roman" w:eastAsia="Times New Roman" w:hAnsi="Times New Roman" w:cs="Times New Roman"/>
          <w:i/>
          <w:iCs/>
          <w:sz w:val="20"/>
          <w:szCs w:val="16"/>
          <w:lang w:val="fr-BE" w:eastAsia="en-IE"/>
        </w:rPr>
        <w:t>.</w:t>
      </w:r>
      <w:r w:rsidRPr="00190CBF">
        <w:rPr>
          <w:rFonts w:ascii="Times New Roman" w:eastAsia="Times New Roman" w:hAnsi="Times New Roman" w:cs="Times New Roman"/>
          <w:i/>
          <w:iCs/>
          <w:sz w:val="20"/>
          <w:szCs w:val="16"/>
          <w:lang w:val="fr-BE" w:eastAsia="en-IE"/>
        </w:rPr>
        <w:t> </w:t>
      </w:r>
      <w:r w:rsidR="00CD546D">
        <w:rPr>
          <w:rFonts w:ascii="Times New Roman" w:eastAsia="Times New Roman" w:hAnsi="Times New Roman" w:cs="Times New Roman"/>
          <w:i/>
          <w:iCs/>
          <w:sz w:val="20"/>
          <w:szCs w:val="16"/>
          <w:lang w:val="fr-BE" w:eastAsia="en-IE"/>
        </w:rPr>
        <w:t>[…]</w:t>
      </w:r>
      <w:r w:rsidRPr="00190CBF">
        <w:rPr>
          <w:rFonts w:ascii="Times New Roman" w:eastAsia="Times New Roman" w:hAnsi="Times New Roman" w:cs="Times New Roman"/>
          <w:i/>
          <w:iCs/>
          <w:sz w:val="20"/>
          <w:szCs w:val="16"/>
          <w:lang w:val="fr-BE" w:eastAsia="en-IE"/>
        </w:rPr>
        <w:t xml:space="preserve"> il importe de rappeler qu’une règle technique ne peut être appliquée lorsqu’elle n’a pas été notifiée conformément à l’article 8, paragraphe 1, de la directive 98/34, ou lorsque, quand bien même elle a été notifiée, elle a été approuvée et exécutée avant l’expiration de la période de suspension de trois mois prévue à l’article 9, paragraphe 1, de ladite directive (voir arrêts CIA Security International, C</w:t>
      </w:r>
      <w:r w:rsidRPr="00190CBF">
        <w:rPr>
          <w:rFonts w:ascii="Times New Roman" w:eastAsia="Times New Roman" w:hAnsi="Times New Roman" w:cs="Times New Roman"/>
          <w:i/>
          <w:iCs/>
          <w:sz w:val="20"/>
          <w:szCs w:val="16"/>
          <w:lang w:val="fr-BE" w:eastAsia="en-IE"/>
        </w:rPr>
        <w:noBreakHyphen/>
        <w:t>194/94, EU:C:1996:172, points 41, 44 et 54, ainsi que Unilever, C</w:t>
      </w:r>
      <w:r w:rsidRPr="00190CBF">
        <w:rPr>
          <w:rFonts w:ascii="Times New Roman" w:eastAsia="Times New Roman" w:hAnsi="Times New Roman" w:cs="Times New Roman"/>
          <w:i/>
          <w:iCs/>
          <w:sz w:val="20"/>
          <w:szCs w:val="16"/>
          <w:lang w:val="fr-BE" w:eastAsia="en-IE"/>
        </w:rPr>
        <w:noBreakHyphen/>
        <w:t>443/98, EU:C:2000:496, point 49).</w:t>
      </w:r>
      <w:r>
        <w:rPr>
          <w:rFonts w:ascii="Times New Roman" w:eastAsia="Times New Roman" w:hAnsi="Times New Roman" w:cs="Times New Roman"/>
          <w:i/>
          <w:iCs/>
          <w:sz w:val="20"/>
          <w:szCs w:val="16"/>
          <w:lang w:val="fr-BE" w:eastAsia="en-IE"/>
        </w:rPr>
        <w:t> »</w:t>
      </w:r>
    </w:p>
    <w:p w14:paraId="416C352A" w14:textId="77777777" w:rsidR="007925D9" w:rsidRPr="00190CBF" w:rsidRDefault="007925D9" w:rsidP="00AA4F20">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F40553C" w14:textId="705E58C5" w:rsidR="007925D9" w:rsidRDefault="007925D9" w:rsidP="00AA4F20">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w:t>
      </w:r>
      <w:r w:rsidRPr="00190CBF">
        <w:rPr>
          <w:rFonts w:ascii="Times New Roman" w:eastAsia="Times New Roman" w:hAnsi="Times New Roman" w:cs="Times New Roman"/>
          <w:i/>
          <w:iCs/>
          <w:sz w:val="20"/>
          <w:szCs w:val="16"/>
          <w:lang w:val="fr-BE" w:eastAsia="en-IE"/>
        </w:rPr>
        <w:t>30</w:t>
      </w:r>
      <w:r w:rsidR="00FF2F84">
        <w:rPr>
          <w:rFonts w:ascii="Times New Roman" w:eastAsia="Times New Roman" w:hAnsi="Times New Roman" w:cs="Times New Roman"/>
          <w:i/>
          <w:iCs/>
          <w:sz w:val="20"/>
          <w:szCs w:val="16"/>
          <w:lang w:val="fr-BE" w:eastAsia="en-IE"/>
        </w:rPr>
        <w:t xml:space="preserve">. </w:t>
      </w:r>
      <w:r w:rsidRPr="00190CBF">
        <w:rPr>
          <w:rFonts w:ascii="Times New Roman" w:eastAsia="Times New Roman" w:hAnsi="Times New Roman" w:cs="Times New Roman"/>
          <w:i/>
          <w:iCs/>
          <w:sz w:val="20"/>
          <w:szCs w:val="16"/>
          <w:lang w:val="fr-BE" w:eastAsia="en-IE"/>
        </w:rPr>
        <w:t>Par conséquent, dans l’affaire au principal, il revient à la juridiction de renvoi de vérifier si la loi n</w:t>
      </w:r>
      <w:r w:rsidRPr="00190CBF">
        <w:rPr>
          <w:rFonts w:ascii="Times New Roman" w:eastAsia="Times New Roman" w:hAnsi="Times New Roman" w:cs="Times New Roman"/>
          <w:i/>
          <w:iCs/>
          <w:sz w:val="20"/>
          <w:szCs w:val="16"/>
          <w:vertAlign w:val="superscript"/>
          <w:lang w:val="fr-BE" w:eastAsia="en-IE"/>
        </w:rPr>
        <w:t>o</w:t>
      </w:r>
      <w:r w:rsidRPr="00190CBF">
        <w:rPr>
          <w:rFonts w:ascii="Times New Roman" w:eastAsia="Times New Roman" w:hAnsi="Times New Roman" w:cs="Times New Roman"/>
          <w:i/>
          <w:iCs/>
          <w:sz w:val="20"/>
          <w:szCs w:val="16"/>
          <w:lang w:val="fr-BE" w:eastAsia="en-IE"/>
        </w:rPr>
        <w:t> 8/2013 est entrée en vigueur au mépris du délai de suspension prévu à l’article 9 de la directive 98/34. Dans l’affirmative, la méconnaissance de ce délai constitue un vice de procédure substantiel de nature à entraîner l’inapplicabilité de la règle technique en cause. Ainsi que l’a relevé également M</w:t>
      </w:r>
      <w:r w:rsidRPr="00190CBF">
        <w:rPr>
          <w:rFonts w:ascii="Times New Roman" w:eastAsia="Times New Roman" w:hAnsi="Times New Roman" w:cs="Times New Roman"/>
          <w:i/>
          <w:iCs/>
          <w:sz w:val="20"/>
          <w:szCs w:val="16"/>
          <w:vertAlign w:val="superscript"/>
          <w:lang w:val="fr-BE" w:eastAsia="en-IE"/>
        </w:rPr>
        <w:t>me</w:t>
      </w:r>
      <w:r w:rsidRPr="00190CBF">
        <w:rPr>
          <w:rFonts w:ascii="Times New Roman" w:eastAsia="Times New Roman" w:hAnsi="Times New Roman" w:cs="Times New Roman"/>
          <w:i/>
          <w:iCs/>
          <w:sz w:val="20"/>
          <w:szCs w:val="16"/>
          <w:lang w:val="fr-BE" w:eastAsia="en-IE"/>
        </w:rPr>
        <w:t> l’avocat général aux points 44 à 47 de ses conclusions, l’article 3, paragraphe 2, de la loi n</w:t>
      </w:r>
      <w:r w:rsidRPr="00190CBF">
        <w:rPr>
          <w:rFonts w:ascii="Times New Roman" w:eastAsia="Times New Roman" w:hAnsi="Times New Roman" w:cs="Times New Roman"/>
          <w:i/>
          <w:iCs/>
          <w:sz w:val="20"/>
          <w:szCs w:val="16"/>
          <w:vertAlign w:val="superscript"/>
          <w:lang w:val="fr-BE" w:eastAsia="en-IE"/>
        </w:rPr>
        <w:t>o</w:t>
      </w:r>
      <w:r w:rsidRPr="00190CBF">
        <w:rPr>
          <w:rFonts w:ascii="Times New Roman" w:eastAsia="Times New Roman" w:hAnsi="Times New Roman" w:cs="Times New Roman"/>
          <w:i/>
          <w:iCs/>
          <w:sz w:val="20"/>
          <w:szCs w:val="16"/>
          <w:lang w:val="fr-BE" w:eastAsia="en-IE"/>
        </w:rPr>
        <w:t> 8/2013 ne pourra, dans une telle hypothèse, être opposé aux particuliers. »</w:t>
      </w:r>
    </w:p>
    <w:p w14:paraId="6059C0DE" w14:textId="77777777" w:rsidR="007925D9" w:rsidRDefault="007925D9" w:rsidP="00AA4F20">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23CFB923" w14:textId="4CE5A68E" w:rsidR="007925D9" w:rsidRPr="001F7B82"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hyperlink r:id="rId110" w:history="1">
        <w:r w:rsidR="007925D9" w:rsidRPr="00C14379">
          <w:rPr>
            <w:rStyle w:val="Hyperlink"/>
            <w:rFonts w:ascii="Times New Roman" w:eastAsia="Times New Roman" w:hAnsi="Times New Roman" w:cs="Times New Roman"/>
            <w:b/>
            <w:i/>
            <w:color w:val="0000FF"/>
            <w:szCs w:val="20"/>
            <w:lang w:val="fr" w:eastAsia="en-IE"/>
          </w:rPr>
          <w:t>Arrêt du 21 décembre 2023</w:t>
        </w:r>
      </w:hyperlink>
      <w:r w:rsidR="007925D9" w:rsidRPr="001F7B82">
        <w:rPr>
          <w:rFonts w:ascii="Times New Roman" w:eastAsia="Times New Roman" w:hAnsi="Times New Roman" w:cs="Times New Roman"/>
          <w:b/>
          <w:i/>
          <w:szCs w:val="20"/>
          <w:lang w:val="fr" w:eastAsia="en-IE"/>
        </w:rPr>
        <w:t xml:space="preserve">, </w:t>
      </w:r>
      <w:r w:rsidR="00745699">
        <w:rPr>
          <w:rFonts w:ascii="Times New Roman" w:eastAsia="Times New Roman" w:hAnsi="Times New Roman" w:cs="Times New Roman"/>
          <w:b/>
          <w:i/>
          <w:szCs w:val="20"/>
          <w:lang w:val="fr" w:eastAsia="en-IE"/>
        </w:rPr>
        <w:t>Papier Mettler Italia</w:t>
      </w:r>
      <w:r w:rsidR="00745699" w:rsidRPr="001F7B82">
        <w:rPr>
          <w:rFonts w:ascii="Times New Roman" w:eastAsia="Times New Roman" w:hAnsi="Times New Roman" w:cs="Times New Roman"/>
          <w:b/>
          <w:i/>
          <w:szCs w:val="20"/>
          <w:lang w:val="fr" w:eastAsia="en-IE"/>
        </w:rPr>
        <w:t xml:space="preserve">, </w:t>
      </w:r>
      <w:r w:rsidR="007925D9" w:rsidRPr="001F7B82">
        <w:rPr>
          <w:rFonts w:ascii="Times New Roman" w:eastAsia="Times New Roman" w:hAnsi="Times New Roman" w:cs="Times New Roman"/>
          <w:b/>
          <w:i/>
          <w:szCs w:val="20"/>
          <w:lang w:val="fr" w:eastAsia="en-IE"/>
        </w:rPr>
        <w:t>C-</w:t>
      </w:r>
      <w:r w:rsidR="007925D9">
        <w:rPr>
          <w:rFonts w:ascii="Times New Roman" w:eastAsia="Times New Roman" w:hAnsi="Times New Roman" w:cs="Times New Roman"/>
          <w:b/>
          <w:i/>
          <w:szCs w:val="20"/>
          <w:lang w:val="fr" w:eastAsia="en-IE"/>
        </w:rPr>
        <w:t>86/22</w:t>
      </w:r>
      <w:r w:rsidR="007925D9" w:rsidRPr="001F7B82">
        <w:rPr>
          <w:rFonts w:ascii="Times New Roman" w:eastAsia="Times New Roman" w:hAnsi="Times New Roman" w:cs="Times New Roman"/>
          <w:b/>
          <w:i/>
          <w:szCs w:val="20"/>
          <w:lang w:val="fr" w:eastAsia="en-IE"/>
        </w:rPr>
        <w:t xml:space="preserve">, </w:t>
      </w:r>
      <w:r w:rsidR="007925D9" w:rsidRPr="00E207D9">
        <w:rPr>
          <w:rFonts w:ascii="Times New Roman" w:eastAsia="Times New Roman" w:hAnsi="Times New Roman" w:cs="Times New Roman"/>
          <w:b/>
          <w:i/>
          <w:szCs w:val="20"/>
          <w:lang w:val="fr-BE" w:eastAsia="en-IE"/>
        </w:rPr>
        <w:t>EU:C:2023:1023</w:t>
      </w:r>
      <w:r w:rsidR="007925D9" w:rsidRPr="001F7B82">
        <w:rPr>
          <w:rFonts w:ascii="Times New Roman" w:eastAsia="Times New Roman" w:hAnsi="Times New Roman" w:cs="Times New Roman"/>
          <w:b/>
          <w:i/>
          <w:szCs w:val="20"/>
          <w:lang w:val="fr" w:eastAsia="en-IE"/>
        </w:rPr>
        <w:t xml:space="preserve">, </w:t>
      </w:r>
      <w:r w:rsidR="007925D9">
        <w:rPr>
          <w:rFonts w:ascii="Times New Roman" w:eastAsia="Times New Roman" w:hAnsi="Times New Roman" w:cs="Times New Roman"/>
          <w:b/>
          <w:i/>
          <w:szCs w:val="20"/>
          <w:lang w:val="fr" w:eastAsia="en-IE"/>
        </w:rPr>
        <w:t>points 48 et 51</w:t>
      </w:r>
    </w:p>
    <w:p w14:paraId="72FE2D2F" w14:textId="77777777" w:rsidR="007925D9" w:rsidRPr="001F7B82"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 w:eastAsia="en-IE"/>
        </w:rPr>
      </w:pPr>
    </w:p>
    <w:p w14:paraId="1C184A21" w14:textId="5074D777" w:rsidR="007925D9" w:rsidRPr="00A83CBB" w:rsidRDefault="007925D9" w:rsidP="00AA4F20">
      <w:pPr>
        <w:widowControl w:val="0"/>
        <w:autoSpaceDE w:val="0"/>
        <w:autoSpaceDN w:val="0"/>
        <w:spacing w:after="0" w:line="240" w:lineRule="auto"/>
        <w:jc w:val="both"/>
        <w:rPr>
          <w:rFonts w:ascii="Times New Roman" w:eastAsia="Times New Roman" w:hAnsi="Times New Roman" w:cs="Times New Roman"/>
          <w:lang w:val="fr" w:eastAsia="en-IE"/>
        </w:rPr>
      </w:pPr>
      <w:r w:rsidRPr="00A83CBB">
        <w:rPr>
          <w:rFonts w:ascii="Times New Roman" w:eastAsia="Times New Roman" w:hAnsi="Times New Roman" w:cs="Times New Roman"/>
          <w:lang w:val="fr" w:eastAsia="en-IE"/>
        </w:rPr>
        <w:t>L’adoption d’</w:t>
      </w:r>
      <w:r>
        <w:rPr>
          <w:rFonts w:ascii="Times New Roman" w:eastAsia="Times New Roman" w:hAnsi="Times New Roman" w:cs="Times New Roman"/>
          <w:lang w:val="fr" w:eastAsia="en-IE"/>
        </w:rPr>
        <w:t>un</w:t>
      </w:r>
      <w:r w:rsidRPr="00A83CBB">
        <w:rPr>
          <w:rFonts w:ascii="Times New Roman" w:eastAsia="Times New Roman" w:hAnsi="Times New Roman" w:cs="Times New Roman"/>
          <w:lang w:val="fr" w:eastAsia="en-IE"/>
        </w:rPr>
        <w:t xml:space="preserve"> projet</w:t>
      </w:r>
      <w:r w:rsidR="000D631B">
        <w:rPr>
          <w:rFonts w:ascii="Times New Roman" w:eastAsia="Times New Roman" w:hAnsi="Times New Roman" w:cs="Times New Roman"/>
          <w:lang w:val="fr" w:eastAsia="en-IE"/>
        </w:rPr>
        <w:t xml:space="preserve"> de « règle technique »</w:t>
      </w:r>
      <w:r w:rsidRPr="00A83CBB">
        <w:rPr>
          <w:rFonts w:ascii="Times New Roman" w:eastAsia="Times New Roman" w:hAnsi="Times New Roman" w:cs="Times New Roman"/>
          <w:lang w:val="fr" w:eastAsia="en-IE"/>
        </w:rPr>
        <w:t xml:space="preserve"> </w:t>
      </w:r>
      <w:r>
        <w:rPr>
          <w:rFonts w:ascii="Times New Roman" w:eastAsia="Times New Roman" w:hAnsi="Times New Roman" w:cs="Times New Roman"/>
          <w:lang w:val="fr" w:eastAsia="en-IE"/>
        </w:rPr>
        <w:t>six</w:t>
      </w:r>
      <w:r w:rsidRPr="00A83CBB">
        <w:rPr>
          <w:rFonts w:ascii="Times New Roman" w:eastAsia="Times New Roman" w:hAnsi="Times New Roman" w:cs="Times New Roman"/>
          <w:lang w:val="fr" w:eastAsia="en-IE"/>
        </w:rPr>
        <w:t xml:space="preserve"> jours après sa notification est contraire à la directive.</w:t>
      </w:r>
    </w:p>
    <w:p w14:paraId="6AE096BF" w14:textId="77777777" w:rsidR="007925D9" w:rsidRPr="00A83CBB" w:rsidRDefault="007925D9" w:rsidP="00AA4F20">
      <w:pPr>
        <w:widowControl w:val="0"/>
        <w:autoSpaceDE w:val="0"/>
        <w:autoSpaceDN w:val="0"/>
        <w:spacing w:after="0" w:line="240" w:lineRule="auto"/>
        <w:jc w:val="both"/>
        <w:rPr>
          <w:rFonts w:ascii="Times New Roman" w:eastAsia="Times New Roman" w:hAnsi="Times New Roman" w:cs="Times New Roman"/>
          <w:lang w:val="fr" w:eastAsia="en-IE"/>
        </w:rPr>
      </w:pPr>
    </w:p>
    <w:p w14:paraId="45041785" w14:textId="77777777" w:rsidR="007925D9" w:rsidRPr="00A83CBB" w:rsidRDefault="007925D9" w:rsidP="00AA4F20">
      <w:pPr>
        <w:widowControl w:val="0"/>
        <w:autoSpaceDE w:val="0"/>
        <w:autoSpaceDN w:val="0"/>
        <w:spacing w:after="0" w:line="240" w:lineRule="auto"/>
        <w:jc w:val="both"/>
        <w:rPr>
          <w:rFonts w:ascii="Times New Roman" w:eastAsia="Times New Roman" w:hAnsi="Times New Roman" w:cs="Times New Roman"/>
          <w:lang w:val="fr-BE" w:eastAsia="en-IE"/>
        </w:rPr>
      </w:pPr>
      <w:r w:rsidRPr="00A83CBB">
        <w:rPr>
          <w:rFonts w:ascii="Times New Roman" w:eastAsia="Times New Roman" w:hAnsi="Times New Roman" w:cs="Times New Roman"/>
          <w:lang w:val="fr-BE" w:eastAsia="en-IE"/>
        </w:rPr>
        <w:t>Les clauses soumettant l’entr</w:t>
      </w:r>
      <w:r>
        <w:rPr>
          <w:rFonts w:ascii="Times New Roman" w:eastAsia="Times New Roman" w:hAnsi="Times New Roman" w:cs="Times New Roman"/>
          <w:lang w:val="fr-BE" w:eastAsia="en-IE"/>
        </w:rPr>
        <w:t>ée</w:t>
      </w:r>
      <w:r w:rsidRPr="00A83CBB">
        <w:rPr>
          <w:rFonts w:ascii="Times New Roman" w:eastAsia="Times New Roman" w:hAnsi="Times New Roman" w:cs="Times New Roman"/>
          <w:lang w:val="fr-BE" w:eastAsia="en-IE"/>
        </w:rPr>
        <w:t xml:space="preserve"> en vigueur d’une législation à l’absence d’avis de la Commission sur cette législation </w:t>
      </w:r>
      <w:r>
        <w:rPr>
          <w:rFonts w:ascii="Times New Roman" w:eastAsia="Times New Roman" w:hAnsi="Times New Roman" w:cs="Times New Roman"/>
          <w:lang w:val="fr-BE" w:eastAsia="en-IE"/>
        </w:rPr>
        <w:t xml:space="preserve">(« clauses suspensives ») </w:t>
      </w:r>
      <w:r w:rsidRPr="00A83CBB">
        <w:rPr>
          <w:rFonts w:ascii="Times New Roman" w:eastAsia="Times New Roman" w:hAnsi="Times New Roman" w:cs="Times New Roman"/>
          <w:lang w:val="fr-BE" w:eastAsia="en-IE"/>
        </w:rPr>
        <w:t>sont contraire</w:t>
      </w:r>
      <w:r>
        <w:rPr>
          <w:rFonts w:ascii="Times New Roman" w:eastAsia="Times New Roman" w:hAnsi="Times New Roman" w:cs="Times New Roman"/>
          <w:lang w:val="fr-BE" w:eastAsia="en-IE"/>
        </w:rPr>
        <w:t>s</w:t>
      </w:r>
      <w:r w:rsidRPr="00A83CBB">
        <w:rPr>
          <w:rFonts w:ascii="Times New Roman" w:eastAsia="Times New Roman" w:hAnsi="Times New Roman" w:cs="Times New Roman"/>
          <w:lang w:val="fr-BE" w:eastAsia="en-IE"/>
        </w:rPr>
        <w:t xml:space="preserve"> à la directive parce que l’adoption d’une telle législation ne permet pas de prendre en compte les avis des autres États membres et qu’elle méconnait le principe de sécurité juridique. </w:t>
      </w:r>
    </w:p>
    <w:p w14:paraId="49072627" w14:textId="77777777" w:rsidR="007925D9" w:rsidRPr="00A83CBB" w:rsidRDefault="007925D9" w:rsidP="00AA4F20">
      <w:pPr>
        <w:widowControl w:val="0"/>
        <w:autoSpaceDE w:val="0"/>
        <w:autoSpaceDN w:val="0"/>
        <w:spacing w:after="0" w:line="240" w:lineRule="auto"/>
        <w:jc w:val="both"/>
        <w:rPr>
          <w:rFonts w:ascii="Times New Roman" w:eastAsia="Times New Roman" w:hAnsi="Times New Roman" w:cs="Times New Roman"/>
          <w:i/>
          <w:iCs/>
          <w:sz w:val="20"/>
          <w:szCs w:val="16"/>
          <w:lang w:val="fr-BE" w:eastAsia="en-IE"/>
        </w:rPr>
      </w:pPr>
    </w:p>
    <w:p w14:paraId="324F8208" w14:textId="77777777" w:rsidR="007925D9" w:rsidRDefault="007925D9" w:rsidP="00AA4F20">
      <w:pPr>
        <w:widowControl w:val="0"/>
        <w:autoSpaceDE w:val="0"/>
        <w:autoSpaceDN w:val="0"/>
        <w:spacing w:after="0" w:line="240" w:lineRule="auto"/>
        <w:jc w:val="both"/>
        <w:rPr>
          <w:rFonts w:ascii="Times New Roman" w:eastAsia="Times New Roman" w:hAnsi="Times New Roman" w:cs="Times New Roman"/>
          <w:i/>
          <w:iCs/>
          <w:sz w:val="20"/>
          <w:szCs w:val="16"/>
          <w:lang w:val="fr-BE" w:eastAsia="en-IE"/>
        </w:rPr>
      </w:pPr>
    </w:p>
    <w:p w14:paraId="2F3C3AE8" w14:textId="5026DA2D" w:rsidR="007925D9" w:rsidRDefault="007925D9" w:rsidP="00AA4F20">
      <w:pPr>
        <w:widowControl w:val="0"/>
        <w:autoSpaceDE w:val="0"/>
        <w:autoSpaceDN w:val="0"/>
        <w:spacing w:after="0" w:line="240" w:lineRule="auto"/>
        <w:ind w:left="567"/>
        <w:jc w:val="both"/>
        <w:outlineLvl w:val="1"/>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t>« </w:t>
      </w:r>
      <w:r w:rsidRPr="00E207D9">
        <w:rPr>
          <w:rFonts w:ascii="Times New Roman" w:eastAsia="Times New Roman" w:hAnsi="Times New Roman" w:cs="Times New Roman"/>
          <w:i/>
          <w:iCs/>
          <w:sz w:val="20"/>
          <w:szCs w:val="16"/>
          <w:lang w:val="fr-BE" w:eastAsia="en-IE"/>
        </w:rPr>
        <w:t>48</w:t>
      </w:r>
      <w:r w:rsidR="00FF2F84">
        <w:rPr>
          <w:rFonts w:ascii="Times New Roman" w:eastAsia="Times New Roman" w:hAnsi="Times New Roman" w:cs="Times New Roman"/>
          <w:i/>
          <w:iCs/>
          <w:sz w:val="20"/>
          <w:szCs w:val="16"/>
          <w:lang w:val="fr-BE" w:eastAsia="en-IE"/>
        </w:rPr>
        <w:t>.</w:t>
      </w:r>
      <w:r w:rsidRPr="00E207D9">
        <w:rPr>
          <w:rFonts w:ascii="Times New Roman" w:eastAsia="Times New Roman" w:hAnsi="Times New Roman" w:cs="Times New Roman"/>
          <w:i/>
          <w:iCs/>
          <w:sz w:val="20"/>
          <w:szCs w:val="16"/>
          <w:lang w:val="fr-BE" w:eastAsia="en-IE"/>
        </w:rPr>
        <w:t> </w:t>
      </w:r>
      <w:r w:rsidR="00CD546D">
        <w:rPr>
          <w:rFonts w:ascii="Times New Roman" w:eastAsia="Times New Roman" w:hAnsi="Times New Roman" w:cs="Times New Roman"/>
          <w:i/>
          <w:iCs/>
          <w:sz w:val="20"/>
          <w:szCs w:val="16"/>
          <w:lang w:val="fr-BE" w:eastAsia="en-IE"/>
        </w:rPr>
        <w:t>[…]</w:t>
      </w:r>
      <w:r w:rsidRPr="00E207D9">
        <w:rPr>
          <w:rFonts w:ascii="Times New Roman" w:eastAsia="Times New Roman" w:hAnsi="Times New Roman" w:cs="Times New Roman"/>
          <w:i/>
          <w:iCs/>
          <w:sz w:val="20"/>
          <w:szCs w:val="16"/>
          <w:lang w:val="fr-BE" w:eastAsia="en-IE"/>
        </w:rPr>
        <w:t xml:space="preserve"> l’adoption du décret en cause au principal dans un délai de six jours à compter de la notification </w:t>
      </w:r>
      <w:r w:rsidRPr="00E207D9">
        <w:rPr>
          <w:rFonts w:ascii="Times New Roman" w:eastAsia="Times New Roman" w:hAnsi="Times New Roman" w:cs="Times New Roman"/>
          <w:i/>
          <w:iCs/>
          <w:sz w:val="20"/>
          <w:szCs w:val="16"/>
          <w:lang w:val="fr-BE" w:eastAsia="en-IE"/>
        </w:rPr>
        <w:lastRenderedPageBreak/>
        <w:t>de celui-ci à la Commission sur le fondement de l’article 8, paragraphe 1, de ladite directive viole également l’obligation prévue à l’article 9, paragraphe 1, de celle-ci, aux termes duquel les États membres reportent l’adoption d’un « projet de règle technique » de trois mois à compter de la date de réception par la Commission de la communication prévue à l’article 8, paragraphe 1, de la même directive.</w:t>
      </w:r>
      <w:r>
        <w:rPr>
          <w:rFonts w:ascii="Times New Roman" w:eastAsia="Times New Roman" w:hAnsi="Times New Roman" w:cs="Times New Roman"/>
          <w:i/>
          <w:iCs/>
          <w:sz w:val="20"/>
          <w:szCs w:val="16"/>
          <w:lang w:val="fr-BE" w:eastAsia="en-IE"/>
        </w:rPr>
        <w:t> »</w:t>
      </w:r>
    </w:p>
    <w:p w14:paraId="34ACB37E" w14:textId="77777777" w:rsidR="007925D9" w:rsidRPr="00E207D9" w:rsidRDefault="007925D9" w:rsidP="00AA4F20">
      <w:pPr>
        <w:widowControl w:val="0"/>
        <w:autoSpaceDE w:val="0"/>
        <w:autoSpaceDN w:val="0"/>
        <w:spacing w:after="0" w:line="240" w:lineRule="auto"/>
        <w:ind w:left="567"/>
        <w:jc w:val="both"/>
        <w:outlineLvl w:val="1"/>
        <w:rPr>
          <w:lang w:val="fr-BE"/>
        </w:rPr>
      </w:pPr>
    </w:p>
    <w:p w14:paraId="14BB6DC8" w14:textId="60DFB7F9" w:rsidR="007925D9" w:rsidRDefault="007925D9"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A83CBB">
        <w:rPr>
          <w:rFonts w:ascii="Times New Roman" w:eastAsia="Times New Roman" w:hAnsi="Times New Roman" w:cs="Times New Roman"/>
          <w:i/>
          <w:iCs/>
          <w:sz w:val="20"/>
          <w:szCs w:val="16"/>
          <w:lang w:val="fr-BE" w:eastAsia="en-IE"/>
        </w:rPr>
        <w:t>« 51</w:t>
      </w:r>
      <w:r w:rsidR="00FF2F84">
        <w:rPr>
          <w:rFonts w:ascii="Times New Roman" w:eastAsia="Times New Roman" w:hAnsi="Times New Roman" w:cs="Times New Roman"/>
          <w:i/>
          <w:iCs/>
          <w:sz w:val="20"/>
          <w:szCs w:val="16"/>
          <w:lang w:val="fr-BE" w:eastAsia="en-IE"/>
        </w:rPr>
        <w:t xml:space="preserve">. </w:t>
      </w:r>
      <w:r w:rsidRPr="00A83CBB">
        <w:rPr>
          <w:rFonts w:ascii="Times New Roman" w:eastAsia="Times New Roman" w:hAnsi="Times New Roman" w:cs="Times New Roman"/>
          <w:i/>
          <w:iCs/>
          <w:sz w:val="20"/>
          <w:szCs w:val="16"/>
          <w:lang w:val="fr-BE" w:eastAsia="en-IE"/>
        </w:rPr>
        <w:t xml:space="preserve">D’autre part, ledit gouvernement soutient que l’entrée en vigueur du décret en cause au principal aurait été conditionnée, en vertu de l’article 6 de celui-ci, à l’« issue favorable » de la procédure de notification engagée le 12 mars 2013 sur le fondement de l’article 8, paragraphe 1, de la directive 98/34. Or, cette procédure n’aurait pas connu une telle issue dès lors que la Commission n’aurait pas émis d’avis quant à ce décret. Cette argumentation ne peut qu’être écartée dès lors que, premièrement, l’adoption et la publication dudit décret sont susceptibles en tant que telles d’avoir certains effets sur la libre circulation des produits concernés, deuxièmement, elles n’ont pas permis de prendre en considération les observations et les avis circonstanciés émis par le Royaume des Pays-Bas, le Royaume de Suède et le Royaume-Uni de Grande-Bretagne et d’Irlande du Nord et, troisièmement, ainsi que M. l’avocat général l’a relevé au point 52 de ses conclusions, elles constituent une technique législative qui méconnaît le principe de sécurité juridique. »         </w:t>
      </w:r>
    </w:p>
    <w:p w14:paraId="4AC163BF" w14:textId="77777777" w:rsidR="007925D9" w:rsidRDefault="007925D9" w:rsidP="00AA4F20">
      <w:pPr>
        <w:spacing w:after="0" w:line="240" w:lineRule="auto"/>
        <w:rPr>
          <w:rFonts w:ascii="Times New Roman" w:eastAsia="Times New Roman" w:hAnsi="Times New Roman" w:cs="Times New Roman"/>
          <w:i/>
          <w:iCs/>
          <w:sz w:val="20"/>
          <w:szCs w:val="16"/>
          <w:lang w:val="fr-BE" w:eastAsia="en-IE"/>
        </w:rPr>
      </w:pPr>
      <w:r>
        <w:rPr>
          <w:rFonts w:ascii="Times New Roman" w:eastAsia="Times New Roman" w:hAnsi="Times New Roman" w:cs="Times New Roman"/>
          <w:i/>
          <w:iCs/>
          <w:sz w:val="20"/>
          <w:szCs w:val="16"/>
          <w:lang w:val="fr-BE" w:eastAsia="en-IE"/>
        </w:rPr>
        <w:br w:type="page"/>
      </w:r>
    </w:p>
    <w:p w14:paraId="781C6309" w14:textId="58221A87" w:rsidR="007925D9" w:rsidRPr="00745699" w:rsidRDefault="009A64A8" w:rsidP="002C17AE">
      <w:pPr>
        <w:pStyle w:val="Heading2"/>
        <w:spacing w:after="0"/>
        <w:jc w:val="center"/>
        <w:rPr>
          <w:color w:val="auto"/>
          <w:lang w:val="fr-BE"/>
        </w:rPr>
      </w:pPr>
      <w:bookmarkStart w:id="105" w:name="_Ref194485197"/>
      <w:bookmarkStart w:id="106" w:name="_Toc203035399"/>
      <w:r>
        <w:rPr>
          <w:color w:val="auto"/>
          <w:lang w:val="fr-BE"/>
        </w:rPr>
        <w:lastRenderedPageBreak/>
        <w:t xml:space="preserve">c. </w:t>
      </w:r>
      <w:r w:rsidR="00036EB0" w:rsidRPr="00745699">
        <w:rPr>
          <w:color w:val="auto"/>
          <w:lang w:val="fr-BE"/>
        </w:rPr>
        <w:t>Précisions quant</w:t>
      </w:r>
      <w:r w:rsidR="007925D9" w:rsidRPr="00745699">
        <w:rPr>
          <w:color w:val="auto"/>
          <w:lang w:val="fr-BE"/>
        </w:rPr>
        <w:t xml:space="preserve"> </w:t>
      </w:r>
      <w:r w:rsidR="00265197" w:rsidRPr="00745699">
        <w:rPr>
          <w:color w:val="auto"/>
          <w:lang w:val="fr-BE"/>
        </w:rPr>
        <w:t>à l’effet de</w:t>
      </w:r>
      <w:r w:rsidR="00036EB0" w:rsidRPr="00745699">
        <w:rPr>
          <w:color w:val="auto"/>
          <w:lang w:val="fr-BE"/>
        </w:rPr>
        <w:t xml:space="preserve"> l’</w:t>
      </w:r>
      <w:r w:rsidR="007925D9" w:rsidRPr="00745699">
        <w:rPr>
          <w:color w:val="auto"/>
          <w:lang w:val="fr-BE"/>
        </w:rPr>
        <w:t>inapplicabilité</w:t>
      </w:r>
      <w:bookmarkEnd w:id="105"/>
      <w:bookmarkEnd w:id="106"/>
    </w:p>
    <w:p w14:paraId="606EC11D" w14:textId="756F529E" w:rsidR="007925D9" w:rsidRDefault="007925D9" w:rsidP="002C17AE">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A83CBB">
        <w:rPr>
          <w:rFonts w:ascii="Times New Roman" w:eastAsia="Times New Roman" w:hAnsi="Times New Roman" w:cs="Times New Roman"/>
          <w:i/>
          <w:iCs/>
          <w:sz w:val="20"/>
          <w:szCs w:val="16"/>
          <w:lang w:val="fr-BE" w:eastAsia="en-IE"/>
        </w:rPr>
        <w:t xml:space="preserve">          </w:t>
      </w:r>
    </w:p>
    <w:p w14:paraId="7D2667CD" w14:textId="778144A1" w:rsidR="007925D9" w:rsidRPr="00190CBF"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11" w:anchor="ctx1" w:history="1">
        <w:r w:rsidR="007925D9" w:rsidRPr="00190CBF">
          <w:rPr>
            <w:rFonts w:ascii="Times New Roman" w:eastAsia="Times New Roman" w:hAnsi="Times New Roman" w:cs="Times New Roman"/>
            <w:b/>
            <w:i/>
            <w:color w:val="0000FF"/>
            <w:szCs w:val="20"/>
            <w:u w:val="single"/>
            <w:lang w:val="fr-FR" w:eastAsia="en-IE"/>
          </w:rPr>
          <w:t>Arrêt du 11 juin 2015</w:t>
        </w:r>
      </w:hyperlink>
      <w:r w:rsidR="007925D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Berlington</w:t>
      </w:r>
      <w:proofErr w:type="spellEnd"/>
      <w:r w:rsidR="00745699" w:rsidRPr="00190CBF">
        <w:rPr>
          <w:rFonts w:ascii="Times New Roman" w:eastAsia="Times New Roman" w:hAnsi="Times New Roman" w:cs="Times New Roman"/>
          <w:b/>
          <w:i/>
          <w:szCs w:val="20"/>
          <w:lang w:val="fr-FR" w:eastAsia="en-IE"/>
        </w:rPr>
        <w:t xml:space="preserve"> </w:t>
      </w:r>
      <w:proofErr w:type="spellStart"/>
      <w:r w:rsidR="00745699" w:rsidRPr="00190CBF">
        <w:rPr>
          <w:rFonts w:ascii="Times New Roman" w:eastAsia="Times New Roman" w:hAnsi="Times New Roman" w:cs="Times New Roman"/>
          <w:b/>
          <w:i/>
          <w:szCs w:val="20"/>
          <w:lang w:val="fr-FR" w:eastAsia="en-IE"/>
        </w:rPr>
        <w:t>Hungary</w:t>
      </w:r>
      <w:proofErr w:type="spellEnd"/>
      <w:r w:rsidR="00745699" w:rsidRPr="00190CBF">
        <w:rPr>
          <w:rFonts w:ascii="Times New Roman" w:eastAsia="Times New Roman" w:hAnsi="Times New Roman" w:cs="Times New Roman"/>
          <w:b/>
          <w:i/>
          <w:szCs w:val="20"/>
          <w:lang w:val="fr-FR" w:eastAsia="en-IE"/>
        </w:rPr>
        <w:t xml:space="preserve"> e.a., </w:t>
      </w:r>
      <w:r w:rsidR="007925D9" w:rsidRPr="00190CBF">
        <w:rPr>
          <w:rFonts w:ascii="Times New Roman" w:eastAsia="Times New Roman" w:hAnsi="Times New Roman" w:cs="Times New Roman"/>
          <w:b/>
          <w:i/>
          <w:szCs w:val="20"/>
          <w:lang w:val="fr-FR" w:eastAsia="en-IE"/>
        </w:rPr>
        <w:t>C-98/14, EU:C:2015:386</w:t>
      </w:r>
      <w:r w:rsidR="007925D9">
        <w:rPr>
          <w:rFonts w:ascii="Times New Roman" w:eastAsia="Times New Roman" w:hAnsi="Times New Roman" w:cs="Times New Roman"/>
          <w:b/>
          <w:i/>
          <w:szCs w:val="20"/>
          <w:lang w:val="fr-FR" w:eastAsia="en-IE"/>
        </w:rPr>
        <w:t xml:space="preserve">, </w:t>
      </w:r>
      <w:r w:rsidR="007925D9" w:rsidRPr="00190CBF">
        <w:rPr>
          <w:rFonts w:ascii="Times New Roman" w:eastAsia="Times New Roman" w:hAnsi="Times New Roman" w:cs="Times New Roman"/>
          <w:b/>
          <w:i/>
          <w:szCs w:val="20"/>
          <w:lang w:val="fr-FR" w:eastAsia="en-IE"/>
        </w:rPr>
        <w:t>points 10</w:t>
      </w:r>
      <w:r w:rsidR="00965FB6">
        <w:rPr>
          <w:rFonts w:ascii="Times New Roman" w:eastAsia="Times New Roman" w:hAnsi="Times New Roman" w:cs="Times New Roman"/>
          <w:b/>
          <w:i/>
          <w:szCs w:val="20"/>
          <w:lang w:val="fr-FR" w:eastAsia="en-IE"/>
        </w:rPr>
        <w:t>8</w:t>
      </w:r>
      <w:r w:rsidR="007925D9" w:rsidRPr="00190CBF">
        <w:rPr>
          <w:rFonts w:ascii="Times New Roman" w:eastAsia="Times New Roman" w:hAnsi="Times New Roman" w:cs="Times New Roman"/>
          <w:b/>
          <w:i/>
          <w:szCs w:val="20"/>
          <w:lang w:val="fr-FR" w:eastAsia="en-IE"/>
        </w:rPr>
        <w:t xml:space="preserve"> </w:t>
      </w:r>
      <w:r w:rsidR="00965FB6">
        <w:rPr>
          <w:rFonts w:ascii="Times New Roman" w:eastAsia="Times New Roman" w:hAnsi="Times New Roman" w:cs="Times New Roman"/>
          <w:b/>
          <w:i/>
          <w:szCs w:val="20"/>
          <w:lang w:val="fr-FR" w:eastAsia="en-IE"/>
        </w:rPr>
        <w:t>et</w:t>
      </w:r>
      <w:r w:rsidR="007925D9" w:rsidRPr="00190CBF">
        <w:rPr>
          <w:rFonts w:ascii="Times New Roman" w:eastAsia="Times New Roman" w:hAnsi="Times New Roman" w:cs="Times New Roman"/>
          <w:b/>
          <w:i/>
          <w:szCs w:val="20"/>
          <w:lang w:val="fr-FR" w:eastAsia="en-IE"/>
        </w:rPr>
        <w:t xml:space="preserve"> 1</w:t>
      </w:r>
      <w:r w:rsidR="00965FB6">
        <w:rPr>
          <w:rFonts w:ascii="Times New Roman" w:eastAsia="Times New Roman" w:hAnsi="Times New Roman" w:cs="Times New Roman"/>
          <w:b/>
          <w:i/>
          <w:szCs w:val="20"/>
          <w:lang w:val="fr-FR" w:eastAsia="en-IE"/>
        </w:rPr>
        <w:t>09</w:t>
      </w:r>
    </w:p>
    <w:p w14:paraId="45692878" w14:textId="77777777" w:rsidR="007925D9" w:rsidRPr="00190CBF" w:rsidRDefault="007925D9"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p>
    <w:p w14:paraId="6E426D51" w14:textId="4E4AB81C" w:rsidR="007925D9" w:rsidRPr="00190CBF" w:rsidRDefault="00C14379" w:rsidP="00AA4F20">
      <w:pPr>
        <w:widowControl w:val="0"/>
        <w:tabs>
          <w:tab w:val="left" w:pos="416"/>
        </w:tabs>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Les obligations de notification et de période de statu quo</w:t>
      </w:r>
      <w:r w:rsidR="007925D9" w:rsidRPr="00190CBF">
        <w:rPr>
          <w:rFonts w:ascii="Times New Roman" w:eastAsia="Times New Roman" w:hAnsi="Times New Roman" w:cs="Times New Roman"/>
          <w:szCs w:val="20"/>
          <w:lang w:val="fr-FR" w:eastAsia="en-IE"/>
        </w:rPr>
        <w:t xml:space="preserve"> n’ont pas pour objet de conférer des droits aux particuliers. Leur violation par un État membre ne crée donc pas de droit pour les particuliers d’obtenir de cet État membre la réparation du préjudice subi du fait de cette violation sur le fondement du droit de l’Union.</w:t>
      </w:r>
    </w:p>
    <w:p w14:paraId="0568A195" w14:textId="77777777" w:rsidR="007925D9" w:rsidRPr="00190CBF" w:rsidRDefault="007925D9" w:rsidP="00AA4F20">
      <w:pPr>
        <w:widowControl w:val="0"/>
        <w:tabs>
          <w:tab w:val="left" w:pos="416"/>
        </w:tabs>
        <w:autoSpaceDE w:val="0"/>
        <w:autoSpaceDN w:val="0"/>
        <w:spacing w:after="0" w:line="240" w:lineRule="auto"/>
        <w:jc w:val="both"/>
        <w:rPr>
          <w:rFonts w:ascii="Times New Roman" w:eastAsia="Times New Roman" w:hAnsi="Times New Roman" w:cs="Times New Roman"/>
          <w:szCs w:val="20"/>
          <w:lang w:val="fr-FR" w:eastAsia="en-IE"/>
        </w:rPr>
      </w:pPr>
    </w:p>
    <w:p w14:paraId="1A0B8D00" w14:textId="269ED46A" w:rsidR="007925D9" w:rsidRPr="00190CBF" w:rsidRDefault="007925D9" w:rsidP="00AA4F20">
      <w:pPr>
        <w:widowControl w:val="0"/>
        <w:tabs>
          <w:tab w:val="left" w:pos="41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190CBF">
        <w:rPr>
          <w:rFonts w:ascii="Times New Roman" w:eastAsia="Times New Roman" w:hAnsi="Times New Roman" w:cs="Times New Roman"/>
          <w:i/>
          <w:iCs/>
          <w:sz w:val="20"/>
          <w:szCs w:val="16"/>
          <w:lang w:val="fr-FR" w:eastAsia="en-IE"/>
        </w:rPr>
        <w:t>« </w:t>
      </w:r>
      <w:bookmarkStart w:id="107" w:name="point108"/>
      <w:r w:rsidRPr="00190CBF">
        <w:rPr>
          <w:rFonts w:ascii="Times New Roman" w:eastAsia="Times New Roman" w:hAnsi="Times New Roman" w:cs="Times New Roman"/>
          <w:i/>
          <w:iCs/>
          <w:sz w:val="20"/>
          <w:szCs w:val="16"/>
          <w:lang w:val="fr-BE" w:eastAsia="en-IE"/>
        </w:rPr>
        <w:t>108</w:t>
      </w:r>
      <w:bookmarkEnd w:id="107"/>
      <w:r w:rsidR="00FF2F84">
        <w:rPr>
          <w:rFonts w:ascii="Times New Roman" w:eastAsia="Times New Roman" w:hAnsi="Times New Roman" w:cs="Times New Roman"/>
          <w:i/>
          <w:iCs/>
          <w:sz w:val="20"/>
          <w:szCs w:val="16"/>
          <w:lang w:val="fr-BE" w:eastAsia="en-IE"/>
        </w:rPr>
        <w:t xml:space="preserve">. </w:t>
      </w:r>
      <w:r w:rsidR="00CD546D">
        <w:rPr>
          <w:rFonts w:ascii="Times New Roman" w:eastAsia="Times New Roman" w:hAnsi="Times New Roman" w:cs="Times New Roman"/>
          <w:i/>
          <w:iCs/>
          <w:sz w:val="20"/>
          <w:szCs w:val="16"/>
          <w:lang w:val="fr-BE" w:eastAsia="en-IE"/>
        </w:rPr>
        <w:t>[…]</w:t>
      </w:r>
      <w:r w:rsidRPr="00190CBF">
        <w:rPr>
          <w:rFonts w:ascii="Times New Roman" w:eastAsia="Times New Roman" w:hAnsi="Times New Roman" w:cs="Times New Roman"/>
          <w:i/>
          <w:iCs/>
          <w:sz w:val="20"/>
          <w:szCs w:val="16"/>
          <w:lang w:val="fr-BE" w:eastAsia="en-IE"/>
        </w:rPr>
        <w:t xml:space="preserve"> il ressort de la jurisprudence que, bien que la directive 98/34 vise à garantir la libre circulation des marchandises en organisant un contrôle préventif dont l’efficacité requiert que soit écartée, dans le cadre d’un litige entre particuliers, une mesure nationale adoptée en violation des articles 8 et 9 de celle</w:t>
      </w:r>
      <w:r w:rsidRPr="00190CBF">
        <w:rPr>
          <w:rFonts w:ascii="Times New Roman" w:eastAsia="Times New Roman" w:hAnsi="Times New Roman" w:cs="Times New Roman"/>
          <w:i/>
          <w:iCs/>
          <w:sz w:val="20"/>
          <w:szCs w:val="16"/>
          <w:lang w:val="fr-BE" w:eastAsia="en-IE"/>
        </w:rPr>
        <w:noBreakHyphen/>
        <w:t>ci, cette directive ne définit nullement le contenu matériel de la règle de droit sur le fondement de laquelle le juge national doit trancher le litige pendant devant lui. Ainsi, ladite directive ne crée ni des droits ni des obligations pour les particuliers (arrêt Unilever, C</w:t>
      </w:r>
      <w:r w:rsidRPr="00190CBF">
        <w:rPr>
          <w:rFonts w:ascii="Times New Roman" w:eastAsia="Times New Roman" w:hAnsi="Times New Roman" w:cs="Times New Roman"/>
          <w:i/>
          <w:iCs/>
          <w:sz w:val="20"/>
          <w:szCs w:val="16"/>
          <w:lang w:val="fr-BE" w:eastAsia="en-IE"/>
        </w:rPr>
        <w:noBreakHyphen/>
        <w:t>443/98, EU:C:2000:496, point 51).</w:t>
      </w:r>
    </w:p>
    <w:p w14:paraId="482CF17F" w14:textId="77777777" w:rsidR="007925D9" w:rsidRPr="00190CBF" w:rsidRDefault="007925D9" w:rsidP="00AA4F20">
      <w:pPr>
        <w:widowControl w:val="0"/>
        <w:tabs>
          <w:tab w:val="left" w:pos="41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B92FF8B" w14:textId="582E072B" w:rsidR="00AA4F20" w:rsidRPr="00AA4F20" w:rsidRDefault="007925D9" w:rsidP="00AA4F20">
      <w:pPr>
        <w:widowControl w:val="0"/>
        <w:tabs>
          <w:tab w:val="left" w:pos="416"/>
        </w:tabs>
        <w:autoSpaceDE w:val="0"/>
        <w:autoSpaceDN w:val="0"/>
        <w:spacing w:after="0" w:line="240" w:lineRule="auto"/>
        <w:ind w:left="567"/>
        <w:jc w:val="both"/>
        <w:rPr>
          <w:rFonts w:ascii="Times New Roman" w:eastAsia="Times New Roman" w:hAnsi="Times New Roman" w:cs="Times New Roman"/>
          <w:i/>
          <w:iCs/>
          <w:sz w:val="20"/>
          <w:szCs w:val="16"/>
          <w:lang w:val="fr-BE" w:eastAsia="en-IE"/>
        </w:rPr>
      </w:pPr>
      <w:bookmarkStart w:id="108" w:name="point109"/>
      <w:r w:rsidRPr="00190CBF">
        <w:rPr>
          <w:rFonts w:ascii="Times New Roman" w:eastAsia="Times New Roman" w:hAnsi="Times New Roman" w:cs="Times New Roman"/>
          <w:i/>
          <w:iCs/>
          <w:sz w:val="20"/>
          <w:szCs w:val="16"/>
          <w:lang w:val="fr-BE" w:eastAsia="en-IE"/>
        </w:rPr>
        <w:t>109</w:t>
      </w:r>
      <w:bookmarkEnd w:id="108"/>
      <w:r w:rsidR="00FF2F84">
        <w:rPr>
          <w:rFonts w:ascii="Times New Roman" w:eastAsia="Times New Roman" w:hAnsi="Times New Roman" w:cs="Times New Roman"/>
          <w:i/>
          <w:iCs/>
          <w:sz w:val="20"/>
          <w:szCs w:val="16"/>
          <w:lang w:val="fr-BE" w:eastAsia="en-IE"/>
        </w:rPr>
        <w:t xml:space="preserve">. </w:t>
      </w:r>
      <w:r w:rsidRPr="00190CBF">
        <w:rPr>
          <w:rFonts w:ascii="Times New Roman" w:eastAsia="Times New Roman" w:hAnsi="Times New Roman" w:cs="Times New Roman"/>
          <w:i/>
          <w:iCs/>
          <w:sz w:val="20"/>
          <w:szCs w:val="16"/>
          <w:lang w:val="fr-BE" w:eastAsia="en-IE"/>
        </w:rPr>
        <w:t>Dans ces conditions, il y a lieu de constater que la première des conditions énumérées au point 104 n’est pas remplie, de sorte que les particuliers ne sauraient se prévaloir du non</w:t>
      </w:r>
      <w:r w:rsidRPr="00190CBF">
        <w:rPr>
          <w:rFonts w:ascii="Times New Roman" w:eastAsia="Times New Roman" w:hAnsi="Times New Roman" w:cs="Times New Roman"/>
          <w:i/>
          <w:iCs/>
          <w:sz w:val="20"/>
          <w:szCs w:val="16"/>
          <w:lang w:val="fr-BE" w:eastAsia="en-IE"/>
        </w:rPr>
        <w:noBreakHyphen/>
        <w:t>respect des articles 8 et 9 de cette même directive aux fins d’engager la responsabilité de l’État membre concerné sur le fondement du droit de l’Union. »</w:t>
      </w:r>
    </w:p>
    <w:p w14:paraId="73CEA11C" w14:textId="62A8886A" w:rsidR="007925D9" w:rsidRDefault="007925D9" w:rsidP="00F56389">
      <w:pPr>
        <w:spacing w:after="0" w:line="240" w:lineRule="auto"/>
        <w:rPr>
          <w:rFonts w:ascii="Times New Roman" w:hAnsi="Times New Roman" w:cs="Times New Roman"/>
          <w:i/>
          <w:iCs/>
          <w:sz w:val="20"/>
          <w:szCs w:val="20"/>
          <w:lang w:val="fr-BE"/>
        </w:rPr>
      </w:pPr>
      <w:r>
        <w:rPr>
          <w:rFonts w:ascii="Times New Roman" w:hAnsi="Times New Roman" w:cs="Times New Roman"/>
          <w:i/>
          <w:iCs/>
          <w:sz w:val="20"/>
          <w:szCs w:val="20"/>
          <w:lang w:val="fr-BE"/>
        </w:rPr>
        <w:br w:type="page"/>
      </w:r>
    </w:p>
    <w:p w14:paraId="1EE58DB8" w14:textId="0722802E" w:rsidR="00F56389" w:rsidRPr="00745699" w:rsidRDefault="009A64A8" w:rsidP="002C17AE">
      <w:pPr>
        <w:pStyle w:val="Heading2"/>
        <w:spacing w:after="0"/>
        <w:jc w:val="center"/>
        <w:rPr>
          <w:color w:val="auto"/>
          <w:lang w:val="fr-BE"/>
        </w:rPr>
      </w:pPr>
      <w:bookmarkStart w:id="109" w:name="_Ref194943555"/>
      <w:bookmarkStart w:id="110" w:name="_Toc203035400"/>
      <w:r>
        <w:rPr>
          <w:color w:val="auto"/>
          <w:lang w:val="fr-BE"/>
        </w:rPr>
        <w:lastRenderedPageBreak/>
        <w:t xml:space="preserve">d. </w:t>
      </w:r>
      <w:r w:rsidR="000A1DAE" w:rsidRPr="00745699">
        <w:rPr>
          <w:color w:val="auto"/>
          <w:lang w:val="fr-BE"/>
        </w:rPr>
        <w:t>Procédure en manquement</w:t>
      </w:r>
      <w:bookmarkEnd w:id="109"/>
      <w:bookmarkEnd w:id="110"/>
    </w:p>
    <w:p w14:paraId="7CCCC140" w14:textId="77777777" w:rsidR="00F56389" w:rsidRDefault="00F56389" w:rsidP="002C17AE">
      <w:pPr>
        <w:widowControl w:val="0"/>
        <w:autoSpaceDE w:val="0"/>
        <w:autoSpaceDN w:val="0"/>
        <w:spacing w:after="0" w:line="240" w:lineRule="auto"/>
        <w:jc w:val="both"/>
        <w:outlineLvl w:val="1"/>
        <w:rPr>
          <w:rFonts w:ascii="Times New Roman" w:hAnsi="Times New Roman" w:cs="Times New Roman"/>
          <w:i/>
          <w:iCs/>
          <w:sz w:val="20"/>
          <w:szCs w:val="20"/>
          <w:lang w:val="fr-BE"/>
        </w:rPr>
      </w:pPr>
    </w:p>
    <w:p w14:paraId="12B64A1E" w14:textId="157FA289" w:rsidR="00AA4F20" w:rsidRPr="00EE5EBC" w:rsidRDefault="00B3389F" w:rsidP="00AA4F20">
      <w:pPr>
        <w:widowControl w:val="0"/>
        <w:autoSpaceDE w:val="0"/>
        <w:autoSpaceDN w:val="0"/>
        <w:spacing w:after="0" w:line="240" w:lineRule="auto"/>
        <w:jc w:val="both"/>
        <w:outlineLvl w:val="1"/>
        <w:rPr>
          <w:rFonts w:ascii="Times New Roman" w:eastAsia="Times New Roman" w:hAnsi="Times New Roman" w:cs="Times New Roman"/>
          <w:b/>
          <w:i/>
          <w:szCs w:val="20"/>
          <w:lang w:val="fr-FR" w:eastAsia="en-IE"/>
        </w:rPr>
      </w:pPr>
      <w:hyperlink r:id="rId112" w:history="1">
        <w:r w:rsidR="00AA4F20" w:rsidRPr="00EE5EBC">
          <w:rPr>
            <w:rFonts w:ascii="Times New Roman" w:eastAsia="Times New Roman" w:hAnsi="Times New Roman" w:cs="Times New Roman"/>
            <w:b/>
            <w:i/>
            <w:color w:val="0000FF"/>
            <w:szCs w:val="20"/>
            <w:u w:val="single"/>
            <w:lang w:val="fr-FR" w:eastAsia="en-IE"/>
          </w:rPr>
          <w:t>Arrêt du 4 juin 2009</w:t>
        </w:r>
      </w:hyperlink>
      <w:r w:rsidR="00AA4F20" w:rsidRPr="00EE5EBC">
        <w:rPr>
          <w:rFonts w:ascii="Times New Roman" w:eastAsia="Times New Roman" w:hAnsi="Times New Roman" w:cs="Times New Roman"/>
          <w:b/>
          <w:i/>
          <w:szCs w:val="20"/>
          <w:lang w:val="fr-FR" w:eastAsia="en-IE"/>
        </w:rPr>
        <w:t xml:space="preserve">, </w:t>
      </w:r>
      <w:r w:rsidR="00745699" w:rsidRPr="00EE5EBC">
        <w:rPr>
          <w:rFonts w:ascii="Times New Roman" w:eastAsia="Times New Roman" w:hAnsi="Times New Roman" w:cs="Times New Roman"/>
          <w:b/>
          <w:i/>
          <w:szCs w:val="20"/>
          <w:lang w:val="fr-FR" w:eastAsia="en-IE"/>
        </w:rPr>
        <w:t xml:space="preserve">Commission/Grèce, </w:t>
      </w:r>
      <w:r w:rsidR="00AA4F20" w:rsidRPr="00EE5EBC">
        <w:rPr>
          <w:rFonts w:ascii="Times New Roman" w:eastAsia="Times New Roman" w:hAnsi="Times New Roman" w:cs="Times New Roman"/>
          <w:b/>
          <w:i/>
          <w:szCs w:val="20"/>
          <w:lang w:val="fr-FR" w:eastAsia="en-IE"/>
        </w:rPr>
        <w:t>C-109/08, EU:C:2009:346, points 14 à 17</w:t>
      </w:r>
    </w:p>
    <w:p w14:paraId="764614BF" w14:textId="77777777" w:rsidR="00AA4F20" w:rsidRPr="00EE5EBC" w:rsidRDefault="00AA4F20"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7996D7E6" w14:textId="05E9227D" w:rsidR="00AA4F20" w:rsidRPr="00EE5EBC" w:rsidRDefault="00CD546D"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r>
        <w:rPr>
          <w:rFonts w:ascii="Times New Roman" w:eastAsia="Times New Roman" w:hAnsi="Times New Roman" w:cs="Times New Roman"/>
          <w:szCs w:val="20"/>
          <w:lang w:val="fr-FR" w:eastAsia="en-IE"/>
        </w:rPr>
        <w:t>Un</w:t>
      </w:r>
      <w:r w:rsidR="00AA4F20" w:rsidRPr="00EE5EBC">
        <w:rPr>
          <w:rFonts w:ascii="Times New Roman" w:eastAsia="Times New Roman" w:hAnsi="Times New Roman" w:cs="Times New Roman"/>
          <w:szCs w:val="20"/>
          <w:lang w:val="fr-FR" w:eastAsia="en-IE"/>
        </w:rPr>
        <w:t xml:space="preserve"> arrêt de la Cour constatant un manquement</w:t>
      </w:r>
      <w:r>
        <w:rPr>
          <w:rFonts w:ascii="Times New Roman" w:eastAsia="Times New Roman" w:hAnsi="Times New Roman" w:cs="Times New Roman"/>
          <w:szCs w:val="20"/>
          <w:lang w:val="fr-FR" w:eastAsia="en-IE"/>
        </w:rPr>
        <w:t xml:space="preserve"> à une obligation de notification</w:t>
      </w:r>
      <w:r w:rsidR="00AA4F20" w:rsidRPr="00EE5EBC">
        <w:rPr>
          <w:rFonts w:ascii="Times New Roman" w:eastAsia="Times New Roman" w:hAnsi="Times New Roman" w:cs="Times New Roman"/>
          <w:szCs w:val="20"/>
          <w:lang w:val="fr-FR" w:eastAsia="en-IE"/>
        </w:rPr>
        <w:t xml:space="preserve"> doit être </w:t>
      </w:r>
      <w:r>
        <w:rPr>
          <w:rFonts w:ascii="Times New Roman" w:eastAsia="Times New Roman" w:hAnsi="Times New Roman" w:cs="Times New Roman"/>
          <w:szCs w:val="20"/>
          <w:lang w:val="fr-FR" w:eastAsia="en-IE"/>
        </w:rPr>
        <w:t>exécuté</w:t>
      </w:r>
      <w:r w:rsidR="00AA4F20" w:rsidRPr="00EE5EBC">
        <w:rPr>
          <w:rFonts w:ascii="Times New Roman" w:eastAsia="Times New Roman" w:hAnsi="Times New Roman" w:cs="Times New Roman"/>
          <w:szCs w:val="20"/>
          <w:lang w:val="fr-FR" w:eastAsia="en-IE"/>
        </w:rPr>
        <w:t xml:space="preserve"> immédiatement afin de garantir l’application uniforme du droit communautaire. L’existence d’un manquement au titre de l’article 228 CE est appréciée à l’expiration du délai fixé dans l’avis motivé. En l’espèce, la Grèce n’ayant pris aucune mesure avant l’expiration du délai imparti, elle a manqué à ses obligations en vertu de l’article 228, paragraphe 1, CE.</w:t>
      </w:r>
    </w:p>
    <w:p w14:paraId="2AE57DC7" w14:textId="77777777" w:rsidR="00AA4F20" w:rsidRPr="00EE5EBC" w:rsidRDefault="00AA4F20" w:rsidP="00AA4F20">
      <w:pPr>
        <w:widowControl w:val="0"/>
        <w:autoSpaceDE w:val="0"/>
        <w:autoSpaceDN w:val="0"/>
        <w:spacing w:after="0" w:line="240" w:lineRule="auto"/>
        <w:jc w:val="both"/>
        <w:rPr>
          <w:rFonts w:ascii="Times New Roman" w:eastAsia="Times New Roman" w:hAnsi="Times New Roman" w:cs="Times New Roman"/>
          <w:szCs w:val="20"/>
          <w:lang w:val="fr-FR" w:eastAsia="en-IE"/>
        </w:rPr>
      </w:pPr>
    </w:p>
    <w:p w14:paraId="4117126F" w14:textId="2F50B9D0"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FR" w:eastAsia="en-IE"/>
        </w:rPr>
        <w:t>« </w:t>
      </w:r>
      <w:r w:rsidRPr="00EE5EBC">
        <w:rPr>
          <w:rFonts w:ascii="Times New Roman" w:eastAsia="Times New Roman" w:hAnsi="Times New Roman" w:cs="Times New Roman"/>
          <w:i/>
          <w:iCs/>
          <w:sz w:val="20"/>
          <w:szCs w:val="16"/>
          <w:lang w:val="fr-BE" w:eastAsia="en-IE"/>
        </w:rPr>
        <w:t>14</w:t>
      </w:r>
      <w:r w:rsidR="00FF2F84">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Bien que l’article 228 CE ne précise pas le délai dans lequel l’exécution d’un arrêt de la Cour constatant l’existence d’un manquement doit intervenir, il résulte d’une jurisprudence constante que l’intérêt qui s’attache à une application immédiate et uniforme du droit communautaire exige que cette exécution soit entamée immédiatement et qu’elle aboutisse dans des délais aussi brefs que possible (voir, notamment, arrêt du 9 décembre 2008, Commission/France, C</w:t>
      </w:r>
      <w:r w:rsidRPr="00EE5EBC">
        <w:rPr>
          <w:rFonts w:ascii="Times New Roman" w:eastAsia="Times New Roman" w:hAnsi="Times New Roman" w:cs="Times New Roman"/>
          <w:i/>
          <w:iCs/>
          <w:sz w:val="20"/>
          <w:szCs w:val="16"/>
          <w:lang w:val="fr-BE" w:eastAsia="en-IE"/>
        </w:rPr>
        <w:noBreakHyphen/>
        <w:t>121/07, non encore publié au Recueil, point 21 et jurisprudence citée).</w:t>
      </w:r>
    </w:p>
    <w:p w14:paraId="2D2B0FAE" w14:textId="77777777"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68055A81" w14:textId="48A481F7"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BE" w:eastAsia="en-IE"/>
        </w:rPr>
        <w:t>15</w:t>
      </w:r>
      <w:r w:rsidR="00FF2F84">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Par ailleurs, la date de référence pour apprécier l’existence d’un manquement au titre de l’article 228 CE se situe à l’expiration du délai fixé dans l’avis motivé émis en vertu de cette disposition (voir, notamment, arrêt du 18 juillet 2007, Commission/Allemagne, C</w:t>
      </w:r>
      <w:r w:rsidRPr="00EE5EBC">
        <w:rPr>
          <w:rFonts w:ascii="Times New Roman" w:eastAsia="Times New Roman" w:hAnsi="Times New Roman" w:cs="Times New Roman"/>
          <w:i/>
          <w:iCs/>
          <w:sz w:val="20"/>
          <w:szCs w:val="16"/>
          <w:lang w:val="fr-BE" w:eastAsia="en-IE"/>
        </w:rPr>
        <w:noBreakHyphen/>
        <w:t>503/04, Rec. p. I</w:t>
      </w:r>
      <w:r w:rsidRPr="00EE5EBC">
        <w:rPr>
          <w:rFonts w:ascii="Times New Roman" w:eastAsia="Times New Roman" w:hAnsi="Times New Roman" w:cs="Times New Roman"/>
          <w:i/>
          <w:iCs/>
          <w:sz w:val="20"/>
          <w:szCs w:val="16"/>
          <w:lang w:val="fr-BE" w:eastAsia="en-IE"/>
        </w:rPr>
        <w:noBreakHyphen/>
        <w:t>6153, point 19 et jurisprudence citée).</w:t>
      </w:r>
    </w:p>
    <w:p w14:paraId="306DEDF7" w14:textId="77777777"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44EF42D" w14:textId="5FB022A1"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BE" w:eastAsia="en-IE"/>
        </w:rPr>
        <w:t>16</w:t>
      </w:r>
      <w:r w:rsidR="00FF2F84">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En l’occurrence, il est manifeste que, à la date à laquelle a expiré le délai de deux mois imparti dans l’avis motivé du 29 juin 2007, la République hellénique n’avait pris aucune des mesures qu’impose l’exécution de l’arrêt Commission/Grèce</w:t>
      </w:r>
      <w:r w:rsidR="00CD546D">
        <w:rPr>
          <w:rFonts w:ascii="Times New Roman" w:eastAsia="Times New Roman" w:hAnsi="Times New Roman" w:cs="Times New Roman"/>
          <w:i/>
          <w:iCs/>
          <w:sz w:val="20"/>
          <w:szCs w:val="16"/>
          <w:lang w:val="fr-BE" w:eastAsia="en-IE"/>
        </w:rPr>
        <w:t xml:space="preserve"> </w:t>
      </w:r>
      <w:r w:rsidR="00CD546D" w:rsidRPr="00CD546D">
        <w:rPr>
          <w:rFonts w:ascii="Times New Roman" w:eastAsia="Times New Roman" w:hAnsi="Times New Roman" w:cs="Times New Roman"/>
          <w:sz w:val="20"/>
          <w:szCs w:val="16"/>
          <w:lang w:val="fr-BE" w:eastAsia="en-IE"/>
        </w:rPr>
        <w:t>[arrêt du 26 octobre 2006 dans l’affaire C-65/05, jugeant que la Grèce avait manqué aux obligations</w:t>
      </w:r>
      <w:r w:rsidR="00CD546D">
        <w:rPr>
          <w:rFonts w:ascii="Times New Roman" w:eastAsia="Times New Roman" w:hAnsi="Times New Roman" w:cs="Times New Roman"/>
          <w:sz w:val="20"/>
          <w:szCs w:val="16"/>
          <w:lang w:val="fr-BE" w:eastAsia="en-IE"/>
        </w:rPr>
        <w:t xml:space="preserve"> de notification</w:t>
      </w:r>
      <w:r w:rsidR="00CD546D" w:rsidRPr="00CD546D">
        <w:rPr>
          <w:rFonts w:ascii="Times New Roman" w:eastAsia="Times New Roman" w:hAnsi="Times New Roman" w:cs="Times New Roman"/>
          <w:sz w:val="20"/>
          <w:szCs w:val="16"/>
          <w:lang w:val="fr-BE" w:eastAsia="en-IE"/>
        </w:rPr>
        <w:t xml:space="preserve"> lui incombant en vertu de la directive 98/34/CE]</w:t>
      </w:r>
      <w:r w:rsidRPr="00CD546D">
        <w:rPr>
          <w:rFonts w:ascii="Times New Roman" w:eastAsia="Times New Roman" w:hAnsi="Times New Roman" w:cs="Times New Roman"/>
          <w:sz w:val="20"/>
          <w:szCs w:val="16"/>
          <w:lang w:val="fr-BE" w:eastAsia="en-IE"/>
        </w:rPr>
        <w:t>,</w:t>
      </w:r>
      <w:r w:rsidRPr="00EE5EBC">
        <w:rPr>
          <w:rFonts w:ascii="Times New Roman" w:eastAsia="Times New Roman" w:hAnsi="Times New Roman" w:cs="Times New Roman"/>
          <w:i/>
          <w:iCs/>
          <w:sz w:val="20"/>
          <w:szCs w:val="16"/>
          <w:lang w:val="fr-BE" w:eastAsia="en-IE"/>
        </w:rPr>
        <w:t xml:space="preserve"> précité, le projet d’une première mesure d’exécution n’ayant été communiqué à la Commission que le 7 mai 2008.</w:t>
      </w:r>
    </w:p>
    <w:p w14:paraId="63FA14D9" w14:textId="77777777"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p>
    <w:p w14:paraId="0BFEB302" w14:textId="5D8BFD6C" w:rsidR="00AA4F20" w:rsidRPr="00EE5EBC" w:rsidRDefault="00AA4F20" w:rsidP="00AA4F20">
      <w:pPr>
        <w:widowControl w:val="0"/>
        <w:autoSpaceDE w:val="0"/>
        <w:autoSpaceDN w:val="0"/>
        <w:spacing w:after="0" w:line="240" w:lineRule="auto"/>
        <w:ind w:left="567"/>
        <w:jc w:val="both"/>
        <w:rPr>
          <w:rFonts w:ascii="Times New Roman" w:eastAsia="Times New Roman" w:hAnsi="Times New Roman" w:cs="Times New Roman"/>
          <w:i/>
          <w:iCs/>
          <w:sz w:val="20"/>
          <w:szCs w:val="16"/>
          <w:lang w:val="fr-BE" w:eastAsia="en-IE"/>
        </w:rPr>
      </w:pPr>
      <w:r w:rsidRPr="00EE5EBC">
        <w:rPr>
          <w:rFonts w:ascii="Times New Roman" w:eastAsia="Times New Roman" w:hAnsi="Times New Roman" w:cs="Times New Roman"/>
          <w:i/>
          <w:iCs/>
          <w:sz w:val="20"/>
          <w:szCs w:val="16"/>
          <w:lang w:val="fr-BE" w:eastAsia="en-IE"/>
        </w:rPr>
        <w:t>17</w:t>
      </w:r>
      <w:r w:rsidR="00FF2F84">
        <w:rPr>
          <w:rFonts w:ascii="Times New Roman" w:eastAsia="Times New Roman" w:hAnsi="Times New Roman" w:cs="Times New Roman"/>
          <w:i/>
          <w:iCs/>
          <w:sz w:val="20"/>
          <w:szCs w:val="16"/>
          <w:lang w:val="fr-BE" w:eastAsia="en-IE"/>
        </w:rPr>
        <w:t xml:space="preserve">. </w:t>
      </w:r>
      <w:r w:rsidRPr="00EE5EBC">
        <w:rPr>
          <w:rFonts w:ascii="Times New Roman" w:eastAsia="Times New Roman" w:hAnsi="Times New Roman" w:cs="Times New Roman"/>
          <w:i/>
          <w:iCs/>
          <w:sz w:val="20"/>
          <w:szCs w:val="16"/>
          <w:lang w:val="fr-BE" w:eastAsia="en-IE"/>
        </w:rPr>
        <w:t>Dans ces conditions, il y a lieu de constater que, ainsi qu’elle l’admet elle-même, la République hellénique a manqué aux obligations qui lui incombent en vertu de l’article 228, paragraphe 1, CE. »</w:t>
      </w:r>
    </w:p>
    <w:p w14:paraId="4F21B78F" w14:textId="07822915" w:rsidR="007925D9" w:rsidRPr="000A1DAE" w:rsidRDefault="007925D9" w:rsidP="000A1DAE">
      <w:pPr>
        <w:spacing w:after="0" w:line="240" w:lineRule="auto"/>
        <w:rPr>
          <w:rFonts w:ascii="Times New Roman" w:hAnsi="Times New Roman" w:cs="Times New Roman"/>
          <w:i/>
          <w:iCs/>
          <w:sz w:val="20"/>
          <w:szCs w:val="20"/>
          <w:lang w:val="fr-BE"/>
        </w:rPr>
      </w:pPr>
    </w:p>
    <w:sectPr w:rsidR="007925D9" w:rsidRPr="000A1DAE" w:rsidSect="00245EEF">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A354" w14:textId="77777777" w:rsidR="007F205B" w:rsidRDefault="007F205B" w:rsidP="007F205B">
      <w:pPr>
        <w:spacing w:after="0" w:line="240" w:lineRule="auto"/>
      </w:pPr>
      <w:r>
        <w:separator/>
      </w:r>
    </w:p>
  </w:endnote>
  <w:endnote w:type="continuationSeparator" w:id="0">
    <w:p w14:paraId="621D4869" w14:textId="77777777" w:rsidR="007F205B" w:rsidRDefault="007F205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6B05" w14:textId="77777777" w:rsidR="007F205B" w:rsidRDefault="007F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62115"/>
      <w:docPartObj>
        <w:docPartGallery w:val="Page Numbers (Bottom of Page)"/>
        <w:docPartUnique/>
      </w:docPartObj>
    </w:sdtPr>
    <w:sdtEndPr>
      <w:rPr>
        <w:noProof/>
      </w:rPr>
    </w:sdtEndPr>
    <w:sdtContent>
      <w:p w14:paraId="169A474F" w14:textId="1212D73C" w:rsidR="007F205B" w:rsidRDefault="007F20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C8868" w14:textId="77777777" w:rsidR="007F205B" w:rsidRDefault="007F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916A" w14:textId="77777777" w:rsidR="007F205B" w:rsidRDefault="007F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6A7B" w14:textId="77777777" w:rsidR="007F205B" w:rsidRDefault="007F205B" w:rsidP="007F205B">
      <w:pPr>
        <w:spacing w:after="0" w:line="240" w:lineRule="auto"/>
      </w:pPr>
      <w:r>
        <w:separator/>
      </w:r>
    </w:p>
  </w:footnote>
  <w:footnote w:type="continuationSeparator" w:id="0">
    <w:p w14:paraId="516D5241" w14:textId="77777777" w:rsidR="007F205B" w:rsidRDefault="007F205B" w:rsidP="007F205B">
      <w:pPr>
        <w:spacing w:after="0" w:line="240" w:lineRule="auto"/>
      </w:pPr>
      <w:r>
        <w:continuationSeparator/>
      </w:r>
    </w:p>
  </w:footnote>
  <w:footnote w:id="1">
    <w:p w14:paraId="1FA0C861" w14:textId="1D0892E7" w:rsidR="00334A0D" w:rsidRPr="00657D92" w:rsidRDefault="00334A0D" w:rsidP="00265197">
      <w:pPr>
        <w:pStyle w:val="FootnoteText"/>
        <w:jc w:val="both"/>
        <w:rPr>
          <w:rFonts w:ascii="Times New Roman" w:hAnsi="Times New Roman" w:cs="Times New Roman"/>
          <w:i/>
          <w:iCs/>
          <w:sz w:val="18"/>
          <w:szCs w:val="18"/>
          <w:lang w:val="fr-BE"/>
        </w:rPr>
      </w:pPr>
      <w:r w:rsidRPr="00657D92">
        <w:rPr>
          <w:rStyle w:val="FootnoteReference"/>
          <w:rFonts w:ascii="Times New Roman" w:hAnsi="Times New Roman" w:cs="Times New Roman"/>
          <w:i/>
          <w:iCs/>
          <w:sz w:val="18"/>
          <w:szCs w:val="18"/>
        </w:rPr>
        <w:footnoteRef/>
      </w:r>
      <w:r w:rsidRPr="00657D92">
        <w:rPr>
          <w:rFonts w:ascii="Times New Roman" w:hAnsi="Times New Roman" w:cs="Times New Roman"/>
          <w:i/>
          <w:iCs/>
          <w:sz w:val="18"/>
          <w:szCs w:val="18"/>
          <w:lang w:val="fr-BE"/>
        </w:rPr>
        <w:t xml:space="preserve"> La comparaison </w:t>
      </w:r>
      <w:r w:rsidR="00F059E9" w:rsidRPr="00657D92">
        <w:rPr>
          <w:rFonts w:ascii="Times New Roman" w:hAnsi="Times New Roman" w:cs="Times New Roman"/>
          <w:i/>
          <w:iCs/>
          <w:sz w:val="18"/>
          <w:szCs w:val="18"/>
          <w:lang w:val="fr-BE"/>
        </w:rPr>
        <w:t xml:space="preserve">des directive 2015/1535 et 83/189/EEC se </w:t>
      </w:r>
      <w:r w:rsidRPr="00657D92">
        <w:rPr>
          <w:rFonts w:ascii="Times New Roman" w:hAnsi="Times New Roman" w:cs="Times New Roman"/>
          <w:i/>
          <w:iCs/>
          <w:sz w:val="18"/>
          <w:szCs w:val="18"/>
          <w:lang w:val="fr-BE"/>
        </w:rPr>
        <w:t>fonde sur les actes originaux non amendés</w:t>
      </w:r>
      <w:r w:rsidR="00F059E9" w:rsidRPr="00657D92">
        <w:rPr>
          <w:rFonts w:ascii="Times New Roman" w:hAnsi="Times New Roman" w:cs="Times New Roman"/>
          <w:i/>
          <w:iCs/>
          <w:sz w:val="18"/>
          <w:szCs w:val="18"/>
          <w:lang w:val="fr-BE"/>
        </w:rPr>
        <w:t xml:space="preserve">, tandis que celle de la directive 98/34/EC se fonde sur la version amendée </w:t>
      </w:r>
      <w:r w:rsidR="00667654" w:rsidRPr="00657D92">
        <w:rPr>
          <w:rFonts w:ascii="Times New Roman" w:hAnsi="Times New Roman" w:cs="Times New Roman"/>
          <w:i/>
          <w:iCs/>
          <w:sz w:val="18"/>
          <w:szCs w:val="18"/>
          <w:lang w:val="fr-BE"/>
        </w:rPr>
        <w:t xml:space="preserve">par la </w:t>
      </w:r>
      <w:r w:rsidR="00265197" w:rsidRPr="00657D92">
        <w:rPr>
          <w:rFonts w:ascii="Times New Roman" w:hAnsi="Times New Roman" w:cs="Times New Roman"/>
          <w:i/>
          <w:iCs/>
          <w:sz w:val="18"/>
          <w:szCs w:val="18"/>
          <w:lang w:val="fr-BE"/>
        </w:rPr>
        <w:t>directive 98/48/CE du 20 juillet 1998</w:t>
      </w:r>
    </w:p>
  </w:footnote>
  <w:footnote w:id="2">
    <w:p w14:paraId="76340588" w14:textId="77777777" w:rsidR="00334A0D" w:rsidRPr="00657D92" w:rsidRDefault="00334A0D" w:rsidP="00265197">
      <w:pPr>
        <w:pStyle w:val="FootnoteText"/>
        <w:jc w:val="both"/>
        <w:rPr>
          <w:rFonts w:ascii="Times New Roman" w:hAnsi="Times New Roman" w:cs="Times New Roman"/>
          <w:i/>
          <w:iCs/>
          <w:sz w:val="18"/>
          <w:szCs w:val="18"/>
          <w:lang w:val="fr-BE"/>
        </w:rPr>
      </w:pPr>
      <w:r w:rsidRPr="00657D92">
        <w:rPr>
          <w:rStyle w:val="FootnoteReference"/>
          <w:rFonts w:ascii="Times New Roman" w:hAnsi="Times New Roman" w:cs="Times New Roman"/>
          <w:i/>
          <w:iCs/>
          <w:sz w:val="18"/>
          <w:szCs w:val="18"/>
        </w:rPr>
        <w:footnoteRef/>
      </w:r>
      <w:r w:rsidRPr="00657D92">
        <w:rPr>
          <w:rFonts w:ascii="Times New Roman" w:hAnsi="Times New Roman" w:cs="Times New Roman"/>
          <w:i/>
          <w:iCs/>
          <w:sz w:val="18"/>
          <w:szCs w:val="18"/>
          <w:lang w:val="fr-BE"/>
        </w:rPr>
        <w:t xml:space="preserve"> Directive (EU) 2015/1535 du Parlement européen et du Conseil du 9 septembre 2015 prévoyant une procédure d'information dans le domaine des réglementations techniques et des règles relatives aux services de la société de l'information (texte codifié)</w:t>
      </w:r>
    </w:p>
  </w:footnote>
  <w:footnote w:id="3">
    <w:p w14:paraId="44C51982" w14:textId="2927C59C" w:rsidR="00334A0D" w:rsidRPr="00657D92" w:rsidRDefault="00334A0D" w:rsidP="00265197">
      <w:pPr>
        <w:pStyle w:val="FootnoteText"/>
        <w:jc w:val="both"/>
        <w:rPr>
          <w:rFonts w:ascii="Times New Roman" w:hAnsi="Times New Roman" w:cs="Times New Roman"/>
          <w:i/>
          <w:iCs/>
          <w:sz w:val="18"/>
          <w:szCs w:val="18"/>
          <w:lang w:val="fr-BE"/>
        </w:rPr>
      </w:pPr>
      <w:r w:rsidRPr="00657D92">
        <w:rPr>
          <w:rStyle w:val="FootnoteReference"/>
          <w:rFonts w:ascii="Times New Roman" w:hAnsi="Times New Roman" w:cs="Times New Roman"/>
          <w:i/>
          <w:iCs/>
          <w:sz w:val="18"/>
          <w:szCs w:val="18"/>
        </w:rPr>
        <w:footnoteRef/>
      </w:r>
      <w:r w:rsidRPr="00657D92">
        <w:rPr>
          <w:rFonts w:ascii="Times New Roman" w:hAnsi="Times New Roman" w:cs="Times New Roman"/>
          <w:i/>
          <w:iCs/>
          <w:sz w:val="18"/>
          <w:szCs w:val="18"/>
          <w:lang w:val="fr-BE"/>
        </w:rPr>
        <w:t xml:space="preserve"> Directive 98/34/EC</w:t>
      </w:r>
      <w:r w:rsidR="006C60E5">
        <w:rPr>
          <w:rFonts w:ascii="Times New Roman" w:hAnsi="Times New Roman" w:cs="Times New Roman"/>
          <w:i/>
          <w:iCs/>
          <w:sz w:val="18"/>
          <w:szCs w:val="18"/>
          <w:lang w:val="fr-BE"/>
        </w:rPr>
        <w:t xml:space="preserve"> du Parlement européen et du Conseil</w:t>
      </w:r>
      <w:r w:rsidRPr="00657D92">
        <w:rPr>
          <w:rFonts w:ascii="Times New Roman" w:hAnsi="Times New Roman" w:cs="Times New Roman"/>
          <w:i/>
          <w:iCs/>
          <w:sz w:val="18"/>
          <w:szCs w:val="18"/>
          <w:lang w:val="fr-BE"/>
        </w:rPr>
        <w:t xml:space="preserve"> du 22 juin 1998 prévoyant une procédure d’information dans le domaine des normes et réglementations techniques</w:t>
      </w:r>
      <w:r w:rsidR="00667654" w:rsidRPr="00657D92">
        <w:rPr>
          <w:rFonts w:ascii="Times New Roman" w:hAnsi="Times New Roman" w:cs="Times New Roman"/>
          <w:i/>
          <w:iCs/>
          <w:sz w:val="18"/>
          <w:szCs w:val="18"/>
          <w:lang w:val="fr-BE"/>
        </w:rPr>
        <w:t xml:space="preserve"> dans sa version amendée par la </w:t>
      </w:r>
      <w:r w:rsidR="00265197" w:rsidRPr="00657D92">
        <w:rPr>
          <w:rFonts w:ascii="Times New Roman" w:hAnsi="Times New Roman" w:cs="Times New Roman"/>
          <w:i/>
          <w:iCs/>
          <w:sz w:val="18"/>
          <w:szCs w:val="18"/>
          <w:lang w:val="fr-BE"/>
        </w:rPr>
        <w:t xml:space="preserve">directive 98/48/CE du 20 juillet 1998 </w:t>
      </w:r>
      <w:r w:rsidR="00667654" w:rsidRPr="00657D92">
        <w:rPr>
          <w:rFonts w:ascii="Times New Roman" w:hAnsi="Times New Roman" w:cs="Times New Roman"/>
          <w:i/>
          <w:iCs/>
          <w:sz w:val="18"/>
          <w:szCs w:val="18"/>
          <w:lang w:val="fr-BE"/>
        </w:rPr>
        <w:t>(incluant les règles relatives aux services)</w:t>
      </w:r>
    </w:p>
  </w:footnote>
  <w:footnote w:id="4">
    <w:p w14:paraId="587067AB" w14:textId="77777777" w:rsidR="00334A0D" w:rsidRPr="00A06563" w:rsidRDefault="00334A0D" w:rsidP="00265197">
      <w:pPr>
        <w:pStyle w:val="FootnoteText"/>
        <w:jc w:val="both"/>
        <w:rPr>
          <w:lang w:val="fr-BE"/>
        </w:rPr>
      </w:pPr>
      <w:r w:rsidRPr="00657D92">
        <w:rPr>
          <w:rStyle w:val="FootnoteReference"/>
          <w:rFonts w:ascii="Times New Roman" w:hAnsi="Times New Roman" w:cs="Times New Roman"/>
          <w:i/>
          <w:iCs/>
          <w:sz w:val="18"/>
          <w:szCs w:val="18"/>
        </w:rPr>
        <w:footnoteRef/>
      </w:r>
      <w:r w:rsidRPr="00657D92">
        <w:rPr>
          <w:rFonts w:ascii="Times New Roman" w:hAnsi="Times New Roman" w:cs="Times New Roman"/>
          <w:i/>
          <w:iCs/>
          <w:sz w:val="18"/>
          <w:szCs w:val="18"/>
          <w:lang w:val="fr-BE"/>
        </w:rPr>
        <w:t xml:space="preserve"> Directive 83/189/EEC du Conseil du 28 mars 1983 prévoyant une procédure d'information dans le domaine des normes et réglementations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DA1" w14:textId="77777777" w:rsidR="007F205B" w:rsidRDefault="007F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9FF6" w14:textId="236766A6" w:rsidR="007F205B" w:rsidRPr="00245EEF" w:rsidRDefault="007F205B" w:rsidP="00245EEF">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B85" w14:textId="77777777" w:rsidR="007F205B" w:rsidRPr="00245EEF" w:rsidRDefault="007F205B">
    <w:pPr>
      <w:pStyle w:val="Header"/>
      <w:rPr>
        <w:lang w:val="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49D"/>
    <w:multiLevelType w:val="hybridMultilevel"/>
    <w:tmpl w:val="D4D2161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5"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6"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1" w15:restartNumberingAfterBreak="0">
    <w:nsid w:val="27436428"/>
    <w:multiLevelType w:val="hybridMultilevel"/>
    <w:tmpl w:val="E3EEE4CE"/>
    <w:lvl w:ilvl="0" w:tplc="9BF6B69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87322A"/>
    <w:multiLevelType w:val="hybridMultilevel"/>
    <w:tmpl w:val="A0429DC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8"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9"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43B41582"/>
    <w:multiLevelType w:val="hybridMultilevel"/>
    <w:tmpl w:val="389E67A2"/>
    <w:lvl w:ilvl="0" w:tplc="1FFC5BF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2"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FD94F27"/>
    <w:multiLevelType w:val="hybridMultilevel"/>
    <w:tmpl w:val="E64EE86E"/>
    <w:lvl w:ilvl="0" w:tplc="9DDC8174">
      <w:start w:val="4"/>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6984334C"/>
    <w:multiLevelType w:val="hybridMultilevel"/>
    <w:tmpl w:val="2638B31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2"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689067590">
    <w:abstractNumId w:val="27"/>
  </w:num>
  <w:num w:numId="2" w16cid:durableId="1149712612">
    <w:abstractNumId w:val="19"/>
  </w:num>
  <w:num w:numId="3" w16cid:durableId="522597413">
    <w:abstractNumId w:val="16"/>
  </w:num>
  <w:num w:numId="4" w16cid:durableId="131093797">
    <w:abstractNumId w:val="3"/>
  </w:num>
  <w:num w:numId="5" w16cid:durableId="930895856">
    <w:abstractNumId w:val="6"/>
  </w:num>
  <w:num w:numId="6" w16cid:durableId="859314359">
    <w:abstractNumId w:val="22"/>
  </w:num>
  <w:num w:numId="7" w16cid:durableId="222370173">
    <w:abstractNumId w:val="31"/>
  </w:num>
  <w:num w:numId="8" w16cid:durableId="2057385159">
    <w:abstractNumId w:val="34"/>
  </w:num>
  <w:num w:numId="9" w16cid:durableId="1794322050">
    <w:abstractNumId w:val="1"/>
  </w:num>
  <w:num w:numId="10" w16cid:durableId="3677297">
    <w:abstractNumId w:val="15"/>
  </w:num>
  <w:num w:numId="11" w16cid:durableId="1485776725">
    <w:abstractNumId w:val="8"/>
  </w:num>
  <w:num w:numId="12" w16cid:durableId="882793964">
    <w:abstractNumId w:val="2"/>
  </w:num>
  <w:num w:numId="13" w16cid:durableId="1924220346">
    <w:abstractNumId w:val="33"/>
  </w:num>
  <w:num w:numId="14" w16cid:durableId="407272038">
    <w:abstractNumId w:val="13"/>
  </w:num>
  <w:num w:numId="15" w16cid:durableId="402528430">
    <w:abstractNumId w:val="23"/>
  </w:num>
  <w:num w:numId="16" w16cid:durableId="2008940943">
    <w:abstractNumId w:val="29"/>
  </w:num>
  <w:num w:numId="17" w16cid:durableId="29764232">
    <w:abstractNumId w:val="21"/>
  </w:num>
  <w:num w:numId="18" w16cid:durableId="1598323702">
    <w:abstractNumId w:val="9"/>
  </w:num>
  <w:num w:numId="19" w16cid:durableId="894586789">
    <w:abstractNumId w:val="18"/>
  </w:num>
  <w:num w:numId="20" w16cid:durableId="935164786">
    <w:abstractNumId w:val="17"/>
  </w:num>
  <w:num w:numId="21" w16cid:durableId="1832065826">
    <w:abstractNumId w:val="7"/>
  </w:num>
  <w:num w:numId="22" w16cid:durableId="576403216">
    <w:abstractNumId w:val="25"/>
  </w:num>
  <w:num w:numId="23" w16cid:durableId="539055433">
    <w:abstractNumId w:val="4"/>
  </w:num>
  <w:num w:numId="24" w16cid:durableId="958028667">
    <w:abstractNumId w:val="5"/>
  </w:num>
  <w:num w:numId="25" w16cid:durableId="1079519155">
    <w:abstractNumId w:val="10"/>
  </w:num>
  <w:num w:numId="26" w16cid:durableId="1120418109">
    <w:abstractNumId w:val="28"/>
  </w:num>
  <w:num w:numId="27" w16cid:durableId="153690731">
    <w:abstractNumId w:val="14"/>
  </w:num>
  <w:num w:numId="28" w16cid:durableId="1952590443">
    <w:abstractNumId w:val="30"/>
  </w:num>
  <w:num w:numId="29" w16cid:durableId="893469427">
    <w:abstractNumId w:val="32"/>
  </w:num>
  <w:num w:numId="30" w16cid:durableId="1629319574">
    <w:abstractNumId w:val="11"/>
  </w:num>
  <w:num w:numId="31" w16cid:durableId="14157930">
    <w:abstractNumId w:val="0"/>
  </w:num>
  <w:num w:numId="32" w16cid:durableId="659426636">
    <w:abstractNumId w:val="12"/>
  </w:num>
  <w:num w:numId="33" w16cid:durableId="759134928">
    <w:abstractNumId w:val="24"/>
  </w:num>
  <w:num w:numId="34" w16cid:durableId="914586589">
    <w:abstractNumId w:val="26"/>
  </w:num>
  <w:num w:numId="35" w16cid:durableId="488713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04BD5"/>
    <w:rsid w:val="00036EB0"/>
    <w:rsid w:val="00041401"/>
    <w:rsid w:val="000421A2"/>
    <w:rsid w:val="000511A8"/>
    <w:rsid w:val="00072079"/>
    <w:rsid w:val="000A18C4"/>
    <w:rsid w:val="000A1DAE"/>
    <w:rsid w:val="000B320E"/>
    <w:rsid w:val="000D631B"/>
    <w:rsid w:val="000F437A"/>
    <w:rsid w:val="000F7992"/>
    <w:rsid w:val="000F7DA5"/>
    <w:rsid w:val="0010597E"/>
    <w:rsid w:val="00116D32"/>
    <w:rsid w:val="001305B4"/>
    <w:rsid w:val="0013272D"/>
    <w:rsid w:val="00137B20"/>
    <w:rsid w:val="00186890"/>
    <w:rsid w:val="0018765D"/>
    <w:rsid w:val="00192492"/>
    <w:rsid w:val="001A1EC8"/>
    <w:rsid w:val="001A278B"/>
    <w:rsid w:val="001C2C44"/>
    <w:rsid w:val="001F5CEA"/>
    <w:rsid w:val="002228BB"/>
    <w:rsid w:val="00227D5B"/>
    <w:rsid w:val="00227E28"/>
    <w:rsid w:val="0023316E"/>
    <w:rsid w:val="00245EEF"/>
    <w:rsid w:val="00265197"/>
    <w:rsid w:val="00274ED4"/>
    <w:rsid w:val="002829DC"/>
    <w:rsid w:val="002B0265"/>
    <w:rsid w:val="002C17AE"/>
    <w:rsid w:val="002C65E2"/>
    <w:rsid w:val="002C7310"/>
    <w:rsid w:val="002D4B5F"/>
    <w:rsid w:val="002F035F"/>
    <w:rsid w:val="002F562D"/>
    <w:rsid w:val="0031192C"/>
    <w:rsid w:val="00323EB8"/>
    <w:rsid w:val="003307D4"/>
    <w:rsid w:val="00334A0D"/>
    <w:rsid w:val="00341F32"/>
    <w:rsid w:val="003421A4"/>
    <w:rsid w:val="00355497"/>
    <w:rsid w:val="00390589"/>
    <w:rsid w:val="00395781"/>
    <w:rsid w:val="003B39B7"/>
    <w:rsid w:val="003E20F0"/>
    <w:rsid w:val="003E2812"/>
    <w:rsid w:val="003F4602"/>
    <w:rsid w:val="00411B0D"/>
    <w:rsid w:val="004248BB"/>
    <w:rsid w:val="00437A3E"/>
    <w:rsid w:val="0044346B"/>
    <w:rsid w:val="00455195"/>
    <w:rsid w:val="00477CB9"/>
    <w:rsid w:val="0048519F"/>
    <w:rsid w:val="004A1BC1"/>
    <w:rsid w:val="004D43FB"/>
    <w:rsid w:val="004E15FB"/>
    <w:rsid w:val="004F52D0"/>
    <w:rsid w:val="004F549F"/>
    <w:rsid w:val="0051744C"/>
    <w:rsid w:val="0053273A"/>
    <w:rsid w:val="0054357E"/>
    <w:rsid w:val="00551C5D"/>
    <w:rsid w:val="005A15B3"/>
    <w:rsid w:val="005A7E2B"/>
    <w:rsid w:val="005B2416"/>
    <w:rsid w:val="005B5418"/>
    <w:rsid w:val="005C053F"/>
    <w:rsid w:val="005C0F66"/>
    <w:rsid w:val="005F1C4E"/>
    <w:rsid w:val="006100D5"/>
    <w:rsid w:val="006141C3"/>
    <w:rsid w:val="00632AD7"/>
    <w:rsid w:val="006354FC"/>
    <w:rsid w:val="00644D71"/>
    <w:rsid w:val="0065171B"/>
    <w:rsid w:val="00655279"/>
    <w:rsid w:val="00655B51"/>
    <w:rsid w:val="00657D92"/>
    <w:rsid w:val="006644E8"/>
    <w:rsid w:val="00667654"/>
    <w:rsid w:val="00690AF6"/>
    <w:rsid w:val="00693ADF"/>
    <w:rsid w:val="006A0998"/>
    <w:rsid w:val="006B220F"/>
    <w:rsid w:val="006B6267"/>
    <w:rsid w:val="006C60E5"/>
    <w:rsid w:val="006D18A6"/>
    <w:rsid w:val="006D20AB"/>
    <w:rsid w:val="006E369B"/>
    <w:rsid w:val="006E6449"/>
    <w:rsid w:val="006F0DE7"/>
    <w:rsid w:val="006F4BEB"/>
    <w:rsid w:val="006F6E7D"/>
    <w:rsid w:val="00701DE2"/>
    <w:rsid w:val="007140D1"/>
    <w:rsid w:val="00724C8A"/>
    <w:rsid w:val="00724EFA"/>
    <w:rsid w:val="00745699"/>
    <w:rsid w:val="0076355C"/>
    <w:rsid w:val="00764971"/>
    <w:rsid w:val="00767671"/>
    <w:rsid w:val="007851D0"/>
    <w:rsid w:val="007925D9"/>
    <w:rsid w:val="007B618D"/>
    <w:rsid w:val="007C57A2"/>
    <w:rsid w:val="007E3AA5"/>
    <w:rsid w:val="007F205B"/>
    <w:rsid w:val="007F7D69"/>
    <w:rsid w:val="008115AB"/>
    <w:rsid w:val="008224AE"/>
    <w:rsid w:val="00824EA7"/>
    <w:rsid w:val="008635C4"/>
    <w:rsid w:val="0087132A"/>
    <w:rsid w:val="008C7BCF"/>
    <w:rsid w:val="008E22D9"/>
    <w:rsid w:val="008E7EAB"/>
    <w:rsid w:val="008F17FD"/>
    <w:rsid w:val="009167EE"/>
    <w:rsid w:val="009270FD"/>
    <w:rsid w:val="0095288B"/>
    <w:rsid w:val="00965FB6"/>
    <w:rsid w:val="00972707"/>
    <w:rsid w:val="00973E73"/>
    <w:rsid w:val="009752CD"/>
    <w:rsid w:val="0098183C"/>
    <w:rsid w:val="009963AC"/>
    <w:rsid w:val="009A64A8"/>
    <w:rsid w:val="009F2CCE"/>
    <w:rsid w:val="00A23485"/>
    <w:rsid w:val="00A27962"/>
    <w:rsid w:val="00A461D6"/>
    <w:rsid w:val="00A920C3"/>
    <w:rsid w:val="00AA3D94"/>
    <w:rsid w:val="00AA4D2E"/>
    <w:rsid w:val="00AA4F20"/>
    <w:rsid w:val="00AA5C41"/>
    <w:rsid w:val="00AC368B"/>
    <w:rsid w:val="00AD14F8"/>
    <w:rsid w:val="00AD28AA"/>
    <w:rsid w:val="00AF1412"/>
    <w:rsid w:val="00B313DA"/>
    <w:rsid w:val="00B3389F"/>
    <w:rsid w:val="00B41B63"/>
    <w:rsid w:val="00B63F8E"/>
    <w:rsid w:val="00B679CF"/>
    <w:rsid w:val="00B95631"/>
    <w:rsid w:val="00BB4018"/>
    <w:rsid w:val="00BB4944"/>
    <w:rsid w:val="00C053A0"/>
    <w:rsid w:val="00C105B6"/>
    <w:rsid w:val="00C14379"/>
    <w:rsid w:val="00C20DDD"/>
    <w:rsid w:val="00C26DB7"/>
    <w:rsid w:val="00C64A0F"/>
    <w:rsid w:val="00C674A9"/>
    <w:rsid w:val="00CA0C57"/>
    <w:rsid w:val="00CD546D"/>
    <w:rsid w:val="00CE7482"/>
    <w:rsid w:val="00CF4DA0"/>
    <w:rsid w:val="00D138B3"/>
    <w:rsid w:val="00D15504"/>
    <w:rsid w:val="00D175E6"/>
    <w:rsid w:val="00D17CC7"/>
    <w:rsid w:val="00D17E5E"/>
    <w:rsid w:val="00D43595"/>
    <w:rsid w:val="00D4431B"/>
    <w:rsid w:val="00D46B84"/>
    <w:rsid w:val="00D57485"/>
    <w:rsid w:val="00D674E0"/>
    <w:rsid w:val="00D83EC6"/>
    <w:rsid w:val="00D84AD6"/>
    <w:rsid w:val="00D90559"/>
    <w:rsid w:val="00DA04D9"/>
    <w:rsid w:val="00DA7543"/>
    <w:rsid w:val="00DC2D31"/>
    <w:rsid w:val="00DC5693"/>
    <w:rsid w:val="00DD4985"/>
    <w:rsid w:val="00E00CFA"/>
    <w:rsid w:val="00E15D6C"/>
    <w:rsid w:val="00E277F3"/>
    <w:rsid w:val="00EA6994"/>
    <w:rsid w:val="00EA7E10"/>
    <w:rsid w:val="00EB30DB"/>
    <w:rsid w:val="00EB48BB"/>
    <w:rsid w:val="00EB5792"/>
    <w:rsid w:val="00EE4C2F"/>
    <w:rsid w:val="00F059E9"/>
    <w:rsid w:val="00F13B3B"/>
    <w:rsid w:val="00F21D98"/>
    <w:rsid w:val="00F35643"/>
    <w:rsid w:val="00F3747E"/>
    <w:rsid w:val="00F562FA"/>
    <w:rsid w:val="00F56389"/>
    <w:rsid w:val="00F61BB5"/>
    <w:rsid w:val="00F720F5"/>
    <w:rsid w:val="00F849FE"/>
    <w:rsid w:val="00F867B5"/>
    <w:rsid w:val="00F92A33"/>
    <w:rsid w:val="00FA51CC"/>
    <w:rsid w:val="00FC003C"/>
    <w:rsid w:val="00FC5890"/>
    <w:rsid w:val="00FE5AA9"/>
    <w:rsid w:val="00FF2F84"/>
    <w:rsid w:val="00FF65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D6FF16"/>
  <w15:chartTrackingRefBased/>
  <w15:docId w15:val="{A34D24E0-96EA-4058-9A94-33AE47BD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5B"/>
    <w:rPr>
      <w:rFonts w:eastAsiaTheme="majorEastAsia" w:cstheme="majorBidi"/>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spacing w:val="5"/>
    </w:rPr>
  </w:style>
  <w:style w:type="table" w:styleId="TableGrid">
    <w:name w:val="Table Grid"/>
    <w:basedOn w:val="TableNormal"/>
    <w:uiPriority w:val="39"/>
    <w:rsid w:val="007F205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lang w:val="en-GB"/>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lang w:val="en-GB"/>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lang w:val="en-GB"/>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eastAsia="Times New Roman" w:hAnsi="Times New Roman" w:cs="Times New Roman"/>
      <w:sz w:val="24"/>
      <w:szCs w:val="20"/>
      <w:lang w:val="fr" w:eastAsia="en-IE"/>
    </w:rPr>
  </w:style>
  <w:style w:type="character" w:customStyle="1" w:styleId="BodyTextChar">
    <w:name w:val="Body Text Char"/>
    <w:basedOn w:val="DefaultParagraphFont"/>
    <w:link w:val="BodyText"/>
    <w:uiPriority w:val="1"/>
    <w:rsid w:val="007F205B"/>
    <w:rPr>
      <w:rFonts w:ascii="Times New Roman" w:eastAsia="Times New Roman" w:hAnsi="Times New Roman" w:cs="Times New Roman"/>
      <w:kern w:val="0"/>
      <w:szCs w:val="20"/>
      <w:lang w:val="fr" w:eastAsia="en-IE"/>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eastAsia="Times New Roman" w:hAnsi="Times New Roman" w:cs="Times New Roman"/>
      <w:b/>
      <w:spacing w:val="0"/>
      <w:kern w:val="0"/>
      <w:sz w:val="32"/>
      <w:szCs w:val="20"/>
      <w:u w:val="single" w:color="000000"/>
      <w:lang w:val="fr" w:eastAsia="en-IE"/>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eastAsia="Times New Roman" w:hAnsi="Times New Roman" w:cs="Times New Roman"/>
      <w:b/>
      <w:smallCaps/>
      <w:sz w:val="24"/>
      <w:szCs w:val="20"/>
      <w:lang w:val="fr" w:eastAsia="en-IE"/>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eastAsia="Times New Roman" w:hAnsi="Times New Roman" w:cs="Times New Roman"/>
      <w:sz w:val="24"/>
      <w:szCs w:val="20"/>
      <w:lang w:val="fr" w:eastAsia="en-IE"/>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eastAsia="Times New Roman" w:hAnsi="Times New Roman" w:cs="Times New Roman"/>
      <w:b/>
      <w:color w:val="auto"/>
      <w:sz w:val="24"/>
      <w:szCs w:val="20"/>
      <w:u w:val="single"/>
      <w:lang w:val="fr" w:eastAsia="en-I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lang w:val="en-GB"/>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lang w:val="en-GB"/>
      <w14:ligatures w14:val="none"/>
    </w:rPr>
  </w:style>
  <w:style w:type="paragraph" w:styleId="TOC1">
    <w:name w:val="toc 1"/>
    <w:basedOn w:val="Normal"/>
    <w:next w:val="Normal"/>
    <w:autoRedefine/>
    <w:uiPriority w:val="39"/>
    <w:unhideWhenUsed/>
    <w:rsid w:val="002C17AE"/>
    <w:pPr>
      <w:spacing w:before="120" w:after="120"/>
    </w:pPr>
    <w:rPr>
      <w:b/>
      <w:bCs/>
      <w:caps/>
      <w:sz w:val="20"/>
      <w:szCs w:val="20"/>
    </w:rPr>
  </w:style>
  <w:style w:type="paragraph" w:styleId="TOC2">
    <w:name w:val="toc 2"/>
    <w:basedOn w:val="Normal"/>
    <w:next w:val="Normal"/>
    <w:autoRedefine/>
    <w:uiPriority w:val="39"/>
    <w:unhideWhenUsed/>
    <w:rsid w:val="002C17AE"/>
    <w:pPr>
      <w:spacing w:after="0"/>
      <w:ind w:left="220"/>
    </w:pPr>
    <w:rPr>
      <w:smallCaps/>
      <w:sz w:val="20"/>
      <w:szCs w:val="20"/>
    </w:rPr>
  </w:style>
  <w:style w:type="paragraph" w:styleId="TOC3">
    <w:name w:val="toc 3"/>
    <w:basedOn w:val="Normal"/>
    <w:next w:val="Normal"/>
    <w:autoRedefine/>
    <w:uiPriority w:val="39"/>
    <w:unhideWhenUsed/>
    <w:rsid w:val="002C17AE"/>
    <w:pPr>
      <w:spacing w:after="0"/>
      <w:ind w:left="440"/>
    </w:pPr>
    <w:rPr>
      <w:i/>
      <w:iCs/>
      <w:sz w:val="20"/>
      <w:szCs w:val="20"/>
    </w:rPr>
  </w:style>
  <w:style w:type="paragraph" w:styleId="TOC4">
    <w:name w:val="toc 4"/>
    <w:basedOn w:val="Normal"/>
    <w:next w:val="Normal"/>
    <w:autoRedefine/>
    <w:uiPriority w:val="39"/>
    <w:unhideWhenUsed/>
    <w:rsid w:val="002C17AE"/>
    <w:pPr>
      <w:spacing w:after="0"/>
      <w:ind w:left="660"/>
    </w:pPr>
    <w:rPr>
      <w:sz w:val="18"/>
      <w:szCs w:val="18"/>
    </w:rPr>
  </w:style>
  <w:style w:type="paragraph" w:styleId="TOC5">
    <w:name w:val="toc 5"/>
    <w:basedOn w:val="Normal"/>
    <w:next w:val="Normal"/>
    <w:autoRedefine/>
    <w:uiPriority w:val="39"/>
    <w:unhideWhenUsed/>
    <w:rsid w:val="002C17AE"/>
    <w:pPr>
      <w:spacing w:after="0"/>
      <w:ind w:left="880"/>
    </w:pPr>
    <w:rPr>
      <w:sz w:val="18"/>
      <w:szCs w:val="18"/>
    </w:rPr>
  </w:style>
  <w:style w:type="paragraph" w:styleId="TOC6">
    <w:name w:val="toc 6"/>
    <w:basedOn w:val="Normal"/>
    <w:next w:val="Normal"/>
    <w:autoRedefine/>
    <w:uiPriority w:val="39"/>
    <w:unhideWhenUsed/>
    <w:rsid w:val="002C17AE"/>
    <w:pPr>
      <w:spacing w:after="0"/>
      <w:ind w:left="1100"/>
    </w:pPr>
    <w:rPr>
      <w:sz w:val="18"/>
      <w:szCs w:val="18"/>
    </w:rPr>
  </w:style>
  <w:style w:type="paragraph" w:styleId="TOC7">
    <w:name w:val="toc 7"/>
    <w:basedOn w:val="Normal"/>
    <w:next w:val="Normal"/>
    <w:autoRedefine/>
    <w:uiPriority w:val="39"/>
    <w:unhideWhenUsed/>
    <w:rsid w:val="002C17AE"/>
    <w:pPr>
      <w:spacing w:after="0"/>
      <w:ind w:left="1320"/>
    </w:pPr>
    <w:rPr>
      <w:sz w:val="18"/>
      <w:szCs w:val="18"/>
    </w:rPr>
  </w:style>
  <w:style w:type="paragraph" w:styleId="TOC8">
    <w:name w:val="toc 8"/>
    <w:basedOn w:val="Normal"/>
    <w:next w:val="Normal"/>
    <w:autoRedefine/>
    <w:uiPriority w:val="39"/>
    <w:unhideWhenUsed/>
    <w:rsid w:val="002C17AE"/>
    <w:pPr>
      <w:spacing w:after="0"/>
      <w:ind w:left="1540"/>
    </w:pPr>
    <w:rPr>
      <w:sz w:val="18"/>
      <w:szCs w:val="18"/>
    </w:rPr>
  </w:style>
  <w:style w:type="paragraph" w:styleId="TOC9">
    <w:name w:val="toc 9"/>
    <w:basedOn w:val="Normal"/>
    <w:next w:val="Normal"/>
    <w:autoRedefine/>
    <w:uiPriority w:val="39"/>
    <w:unhideWhenUsed/>
    <w:rsid w:val="002C17AE"/>
    <w:pPr>
      <w:spacing w:after="0"/>
      <w:ind w:left="1760"/>
    </w:pPr>
    <w:rPr>
      <w:sz w:val="18"/>
      <w:szCs w:val="18"/>
    </w:rPr>
  </w:style>
  <w:style w:type="paragraph" w:customStyle="1" w:styleId="P68B1DB1-Normal13">
    <w:name w:val="P68B1DB1-Normal13"/>
    <w:basedOn w:val="Normal"/>
    <w:rsid w:val="002D4B5F"/>
    <w:rPr>
      <w:rFonts w:ascii="Times New Roman" w:eastAsia="Times New Roman" w:hAnsi="Times New Roman" w:cs="Times New Roman"/>
      <w:b/>
      <w:i/>
      <w:szCs w:val="20"/>
      <w:lang w:val="en" w:eastAsia="en-IE"/>
    </w:rPr>
  </w:style>
  <w:style w:type="paragraph" w:customStyle="1" w:styleId="P68B1DB1-Normal14">
    <w:name w:val="P68B1DB1-Normal14"/>
    <w:basedOn w:val="Normal"/>
    <w:rsid w:val="002D4B5F"/>
    <w:rPr>
      <w:rFonts w:ascii="Times New Roman" w:eastAsia="Times New Roman" w:hAnsi="Times New Roman" w:cs="Times New Roman"/>
      <w:szCs w:val="20"/>
      <w:lang w:val="en" w:eastAsia="en-IE"/>
    </w:rPr>
  </w:style>
  <w:style w:type="paragraph" w:customStyle="1" w:styleId="P68B1DB1-Normal15">
    <w:name w:val="P68B1DB1-Normal15"/>
    <w:basedOn w:val="Normal"/>
    <w:rsid w:val="002D4B5F"/>
    <w:rPr>
      <w:rFonts w:ascii="Times New Roman" w:eastAsia="Times New Roman" w:hAnsi="Times New Roman" w:cs="Times New Roman"/>
      <w:i/>
      <w:sz w:val="20"/>
      <w:szCs w:val="16"/>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72435211">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95042909">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89830859">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58067503">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48507713">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86638698">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81451&amp;pageIndex=0&amp;doclang=FR&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811&amp;pageIndex=0&amp;doclang=FR&amp;mode=lst&amp;dir=&amp;occ=first&amp;part=1&amp;cid=8919687" TargetMode="External"/><Relationship Id="rId42" Type="http://schemas.openxmlformats.org/officeDocument/2006/relationships/hyperlink" Target="https://curia.europa.eu/juris/document/document.jsf?text=&amp;docid=187343&amp;pageIndex=0&amp;doclang=FR&amp;mode=lst&amp;dir=&amp;occ=first&amp;part=1&amp;cid=9777324" TargetMode="External"/><Relationship Id="rId47" Type="http://schemas.openxmlformats.org/officeDocument/2006/relationships/hyperlink" Target="https://curia.europa.eu/juris/document/document.jsf?text=&amp;docid=174105&amp;pageIndex=0&amp;doclang=FR&amp;mode=lst&amp;dir=&amp;occ=first&amp;part=1&amp;cid=10904675" TargetMode="External"/><Relationship Id="rId63" Type="http://schemas.openxmlformats.org/officeDocument/2006/relationships/hyperlink" Target="https://curia.europa.eu/juris/document/document.jsf?text=&amp;docid=125226&amp;pageIndex=0&amp;doclang=FR&amp;mode=lst&amp;dir=&amp;occ=first&amp;part=1&amp;cid=9889670" TargetMode="External"/><Relationship Id="rId68" Type="http://schemas.openxmlformats.org/officeDocument/2006/relationships/hyperlink" Target="https://curia.europa.eu/juris/document/document.jsf?text=C-98%252F14&amp;docid=164955&amp;pageIndex=0&amp;doclang=FR&amp;mode=req&amp;dir=&amp;occ=first&amp;part=1&amp;cid=9889670" TargetMode="External"/><Relationship Id="rId84" Type="http://schemas.openxmlformats.org/officeDocument/2006/relationships/hyperlink" Target="https://curia.europa.eu/juris/document/document.jsf?text=&amp;docid=81369&amp;pageIndex=0&amp;doclang=FR&amp;mode=lst&amp;dir=&amp;occ=first&amp;part=1&amp;cid=10904675" TargetMode="External"/><Relationship Id="rId89" Type="http://schemas.openxmlformats.org/officeDocument/2006/relationships/hyperlink" Target="https://curia.europa.eu/juris/document/document.jsf?text=&amp;docid=47026&amp;pageIndex=0&amp;doclang=FR&amp;mode=lst&amp;dir=&amp;occ=first&amp;part=1&amp;cid=8919687" TargetMode="External"/><Relationship Id="rId112" Type="http://schemas.openxmlformats.org/officeDocument/2006/relationships/hyperlink" Target="https://curia.europa.eu/juris/document/document.jsf?text=&amp;docid=74815&amp;pageIndex=0&amp;doclang=FR&amp;mode=lst&amp;dir=&amp;occ=first&amp;part=1&amp;cid=12991943" TargetMode="External"/><Relationship Id="rId16" Type="http://schemas.openxmlformats.org/officeDocument/2006/relationships/hyperlink" Target="https://curia.europa.eu/juris/showPdf.jsf?text=&amp;docid=99992&amp;pageIndex=0&amp;doclang=FR&amp;mode=lst&amp;dir=&amp;occ=first&amp;part=1&amp;cid=10811412" TargetMode="External"/><Relationship Id="rId107" Type="http://schemas.openxmlformats.org/officeDocument/2006/relationships/hyperlink" Target="https://curia.europa.eu/juris/document/document.jsf?text=&amp;docid=217670&amp;pageIndex=0&amp;doclang=FR&amp;mode=lst&amp;dir=&amp;occ=first&amp;part=1&amp;cid=10880021" TargetMode="External"/><Relationship Id="rId11" Type="http://schemas.openxmlformats.org/officeDocument/2006/relationships/hyperlink" Target="https://curia.europa.eu/juris/showPdf.jsf?text=&amp;docid=99809&amp;pageIndex=0&amp;doclang=FR&amp;mode=lst&amp;dir=&amp;occ=first&amp;part=1&amp;cid=10811412" TargetMode="External"/><Relationship Id="rId32" Type="http://schemas.openxmlformats.org/officeDocument/2006/relationships/hyperlink" Target="https://curia.europa.eu/juris/document/document.jsf?text=&amp;docid=206117&amp;pageIndex=0&amp;doclang=FR&amp;mode=lst&amp;dir=&amp;occ=first&amp;part=1&amp;cid=9777324" TargetMode="External"/><Relationship Id="rId37" Type="http://schemas.openxmlformats.org/officeDocument/2006/relationships/hyperlink" Target="https://curia.europa.eu/juris/document/document.jsf?text=&amp;docid=125226&amp;pageIndex=0&amp;doclang=FR&amp;mode=lst&amp;dir=&amp;occ=first&amp;part=1&amp;cid=9889670" TargetMode="External"/><Relationship Id="rId53" Type="http://schemas.openxmlformats.org/officeDocument/2006/relationships/hyperlink" Target="https://curia.europa.eu/juris/document/document.jsf?text=&amp;docid=217670&amp;pageIndex=0&amp;doclang=FR&amp;mode=lst&amp;dir=&amp;occ=first&amp;part=1&amp;cid=10880021" TargetMode="External"/><Relationship Id="rId58" Type="http://schemas.openxmlformats.org/officeDocument/2006/relationships/hyperlink" Target="https://curia.europa.eu/juris/document/document.jsf?text=&amp;docid=296555&amp;pageIndex=0&amp;doclang=FR&amp;mode=lst&amp;dir=&amp;occ=first&amp;part=1&amp;cid=14002600" TargetMode="External"/><Relationship Id="rId74" Type="http://schemas.openxmlformats.org/officeDocument/2006/relationships/hyperlink" Target="https://curia.europa.eu/juris/showPdf.jsf?text=&amp;docid=98918&amp;pageIndex=0&amp;doclang=FR&amp;mode=lst&amp;dir=&amp;occ=first&amp;part=1&amp;cid=12994086" TargetMode="External"/><Relationship Id="rId79" Type="http://schemas.openxmlformats.org/officeDocument/2006/relationships/hyperlink" Target="https://curia.europa.eu/juris/showPdf.jsf?text=&amp;docid=44625&amp;pageIndex=0&amp;doclang=fr&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FR&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FR&amp;mode=lst&amp;dir=&amp;occ=first&amp;part=1&amp;cid=10904675" TargetMode="External"/><Relationship Id="rId22" Type="http://schemas.openxmlformats.org/officeDocument/2006/relationships/hyperlink" Target="https://curia.europa.eu/juris/document/document.jsf?text=&amp;docid=45877&amp;pageIndex=0&amp;doclang=FR&amp;mode=lst&amp;dir=&amp;occ=first&amp;part=1&amp;cid=8919687" TargetMode="External"/><Relationship Id="rId27" Type="http://schemas.openxmlformats.org/officeDocument/2006/relationships/hyperlink" Target="https://curia.europa.eu/juris/document/document.jsf?text=&amp;docid=85136&amp;pageIndex=0&amp;doclang=FR&amp;mode=lst&amp;dir=&amp;occ=first&amp;part=1&amp;cid=15388659" TargetMode="External"/><Relationship Id="rId43" Type="http://schemas.openxmlformats.org/officeDocument/2006/relationships/hyperlink" Target="https://curia.europa.eu/juris/document/document.jsf?text=C-727%252F17&amp;docid=226861&amp;pageIndex=0&amp;doclang=FR&amp;mode=req&amp;dir=&amp;occ=first&amp;part=1&amp;cid=9761408" TargetMode="External"/><Relationship Id="rId48" Type="http://schemas.openxmlformats.org/officeDocument/2006/relationships/hyperlink" Target="https://curia.europa.eu/juris/document/document.jsf?text=&amp;docid=184507&amp;pageIndex=0&amp;doclang=FR&amp;mode=lst&amp;dir=&amp;occ=first&amp;part=1&amp;cid=9889670" TargetMode="External"/><Relationship Id="rId64" Type="http://schemas.openxmlformats.org/officeDocument/2006/relationships/hyperlink" Target="https://curia.europa.eu/juris/document/document.jsf?text=&amp;docid=184891&amp;pageIndex=0&amp;doclang=FR&amp;mode=lst&amp;dir=&amp;occ=first&amp;part=1&amp;cid=9777324" TargetMode="External"/><Relationship Id="rId69" Type="http://schemas.openxmlformats.org/officeDocument/2006/relationships/hyperlink" Target="https://curia.europa.eu/juris/document/document.jsf?text=&amp;docid=232154&amp;pageIndex=0&amp;doclang=FR&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FR&amp;mode=lst&amp;dir=&amp;occ=first&amp;part=1&amp;cid=8886921" TargetMode="External"/><Relationship Id="rId85" Type="http://schemas.openxmlformats.org/officeDocument/2006/relationships/hyperlink" Target="https://curia.europa.eu/juris/document/document.jsf?text=&amp;docid=133244&amp;pageIndex=0&amp;doclang=FR&amp;mode=lst&amp;dir=&amp;occ=first&amp;part=1&amp;cid=10904675" TargetMode="External"/><Relationship Id="rId12" Type="http://schemas.openxmlformats.org/officeDocument/2006/relationships/hyperlink" Target="https://curia.europa.eu/juris/showPdf.jsf?text=&amp;docid=100864&amp;pageIndex=0&amp;doclang=FR&amp;mode=lst&amp;dir=&amp;occ=first&amp;part=1&amp;cid=10811412" TargetMode="External"/><Relationship Id="rId17" Type="http://schemas.openxmlformats.org/officeDocument/2006/relationships/hyperlink" Target="https://curia.europa.eu/juris/document/document.jsf?text=&amp;docid=44578&amp;pageIndex=0&amp;doclang=FR&amp;mode=lst&amp;dir=&amp;occ=first&amp;part=1&amp;cid=10779034" TargetMode="External"/><Relationship Id="rId33" Type="http://schemas.openxmlformats.org/officeDocument/2006/relationships/hyperlink" Target="https://curia.europa.eu/juris/document/document.jsf?text=C-727%252F17&amp;docid=226861&amp;pageIndex=0&amp;doclang=FR&amp;mode=req&amp;dir=&amp;occ=first&amp;part=1&amp;cid=9761408" TargetMode="External"/><Relationship Id="rId38" Type="http://schemas.openxmlformats.org/officeDocument/2006/relationships/hyperlink" Target="https://curia.europa.eu/juris/document/document.jsf?text=&amp;docid=154825&amp;pageIndex=0&amp;doclang=FR&amp;mode=lst&amp;dir=&amp;occ=first&amp;part=1&amp;cid=9889670" TargetMode="External"/><Relationship Id="rId59" Type="http://schemas.openxmlformats.org/officeDocument/2006/relationships/hyperlink" Target="https://curia.europa.eu/juris/showPdf.jsf?text=&amp;docid=43725&amp;pageIndex=0&amp;doclang=FR&amp;mode=lst&amp;dir=&amp;occ=first&amp;part=1&amp;cid=10811412" TargetMode="External"/><Relationship Id="rId103" Type="http://schemas.openxmlformats.org/officeDocument/2006/relationships/hyperlink" Target="https://curia.europa.eu/juris/document/document.jsf?text=&amp;docid=133244&amp;pageIndex=0&amp;doclang=FR&amp;mode=lst&amp;dir=&amp;occ=first&amp;part=1&amp;cid=10904675" TargetMode="External"/><Relationship Id="rId108" Type="http://schemas.openxmlformats.org/officeDocument/2006/relationships/hyperlink" Target="https://curia.europa.eu/juris/document/document.jsf?text=&amp;docid=45692&amp;pageIndex=0&amp;doclang=FR&amp;mode=lst&amp;dir=&amp;occ=first&amp;part=1&amp;cid=10763343" TargetMode="External"/><Relationship Id="rId54" Type="http://schemas.openxmlformats.org/officeDocument/2006/relationships/hyperlink" Target="https://curia.europa.eu/juris/document/document.jsf?text=&amp;docid=221791&amp;pageIndex=0&amp;doclang=FR&amp;mode=lst&amp;dir=&amp;occ=first&amp;part=1&amp;cid=10861227" TargetMode="External"/><Relationship Id="rId70" Type="http://schemas.openxmlformats.org/officeDocument/2006/relationships/hyperlink" Target="https://curia.europa.eu/juris/document/document.jsf?text=&amp;docid=268786&amp;pageIndex=0&amp;doclang=FR&amp;mode=lst&amp;dir=&amp;occ=first&amp;part=1&amp;cid=14061944" TargetMode="External"/><Relationship Id="rId75" Type="http://schemas.openxmlformats.org/officeDocument/2006/relationships/hyperlink" Target="https://curia.europa.eu/juris/showPdf.jsf?text=&amp;docid=98889&amp;pageIndex=0&amp;doclang=FR&amp;mode=lst&amp;dir=&amp;occ=first&amp;part=1&amp;cid=12994086" TargetMode="External"/><Relationship Id="rId91" Type="http://schemas.openxmlformats.org/officeDocument/2006/relationships/hyperlink" Target="https://curia.europa.eu/juris/document/document.jsf?text=&amp;docid=271072&amp;pageIndex=0&amp;doclang=FR&amp;mode=lst&amp;dir=&amp;occ=first&amp;part=1&amp;cid=14061944" TargetMode="External"/><Relationship Id="rId96" Type="http://schemas.openxmlformats.org/officeDocument/2006/relationships/hyperlink" Target="https://curia.europa.eu/juris/showPdf.jsf?text=&amp;docid=100042&amp;pageIndex=0&amp;doclang=FR&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7386&amp;pageIndex=0&amp;doclang=FR&amp;mode=lst&amp;dir=&amp;occ=first&amp;part=1&amp;cid=8919687" TargetMode="External"/><Relationship Id="rId28" Type="http://schemas.openxmlformats.org/officeDocument/2006/relationships/hyperlink" Target="https://curia.europa.eu/juris/document/document.jsf?text=&amp;docid=125226&amp;pageIndex=0&amp;doclang=FR&amp;mode=lst&amp;dir=&amp;occ=first&amp;part=1&amp;cid=9889670" TargetMode="External"/><Relationship Id="rId49" Type="http://schemas.openxmlformats.org/officeDocument/2006/relationships/hyperlink" Target="https://curia.europa.eu/juris/document/document.jsf?text=&amp;docid=198051&amp;pageIndex=0&amp;doclang=FR&amp;mode=lst&amp;dir=&amp;occ=first&amp;part=1&amp;cid=10880021"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fra" TargetMode="External"/><Relationship Id="rId31" Type="http://schemas.openxmlformats.org/officeDocument/2006/relationships/hyperlink" Target="https://curia.europa.eu/juris/document/document.jsf?text=&amp;docid=187343&amp;pageIndex=0&amp;doclang=FR&amp;mode=lst&amp;dir=&amp;occ=first&amp;part=1&amp;cid=9777324" TargetMode="External"/><Relationship Id="rId44" Type="http://schemas.openxmlformats.org/officeDocument/2006/relationships/hyperlink" Target="https://curia.europa.eu/juris/document/document.jsf?text=&amp;docid=267738&amp;pageIndex=0&amp;doclang=FR&amp;mode=lst&amp;dir=&amp;occ=first&amp;part=1&amp;cid=14061944" TargetMode="External"/><Relationship Id="rId52" Type="http://schemas.openxmlformats.org/officeDocument/2006/relationships/hyperlink" Target="https://curia.europa.eu/juris/document/document.jsf?text=&amp;docid=206117&amp;pageIndex=0&amp;doclang=FR&amp;mode=lst&amp;dir=&amp;occ=first&amp;part=1&amp;cid=9777324" TargetMode="External"/><Relationship Id="rId60" Type="http://schemas.openxmlformats.org/officeDocument/2006/relationships/hyperlink" Target="https://curia.europa.eu/juris/document/document.jsf?text=&amp;docid=58142&amp;pageIndex=0&amp;doclang=FR&amp;mode=lst&amp;dir=&amp;occ=first&amp;part=1&amp;cid=8886921" TargetMode="External"/><Relationship Id="rId65" Type="http://schemas.openxmlformats.org/officeDocument/2006/relationships/hyperlink" Target="https://curia.europa.eu/juris/document/document.jsf?text=C-727%252F17&amp;docid=226861&amp;pageIndex=0&amp;doclang=FR&amp;mode=req&amp;dir=&amp;occ=first&amp;part=1&amp;cid=9761408" TargetMode="External"/><Relationship Id="rId73" Type="http://schemas.openxmlformats.org/officeDocument/2006/relationships/hyperlink" Target="https://curia.europa.eu/juris/showPdf.jsf?text=&amp;docid=98488&amp;pageIndex=0&amp;doclang=FR&amp;mode=lst&amp;dir=&amp;occ=first&amp;part=1&amp;cid=12994086" TargetMode="External"/><Relationship Id="rId78" Type="http://schemas.openxmlformats.org/officeDocument/2006/relationships/hyperlink" Target="https://curia.europa.eu/juris/showPdf.jsf?text=&amp;docid=98765&amp;pageIndex=0&amp;doclang=FR&amp;mode=lst&amp;dir=&amp;occ=first&amp;part=1&amp;cid=10811412" TargetMode="External"/><Relationship Id="rId81" Type="http://schemas.openxmlformats.org/officeDocument/2006/relationships/hyperlink" Target="https://curia.europa.eu/juris/document/document.jsf?text=&amp;docid=296555&amp;pageIndex=0&amp;doclang=FR&amp;mode=lst&amp;dir=&amp;occ=first&amp;part=1&amp;cid=14002600" TargetMode="External"/><Relationship Id="rId86" Type="http://schemas.openxmlformats.org/officeDocument/2006/relationships/hyperlink" Target="https://curia.europa.eu/juris/document/document.jsf?text=&amp;docid=154825&amp;pageIndex=0&amp;doclang=FR&amp;mode=lst&amp;dir=&amp;occ=first&amp;part=1&amp;cid=9889670" TargetMode="External"/><Relationship Id="rId94" Type="http://schemas.openxmlformats.org/officeDocument/2006/relationships/hyperlink" Target="https://curia.europa.eu/juris/document/document.jsf?text=&amp;docid=226981&amp;pageIndex=0&amp;doclang=FR&amp;mode=lst&amp;dir=&amp;occ=first&amp;part=1&amp;cid=5973987" TargetMode="External"/><Relationship Id="rId99" Type="http://schemas.openxmlformats.org/officeDocument/2006/relationships/hyperlink" Target="https://curia.europa.eu/juris/showPdf.jsf?text=&amp;docid=99809&amp;pageIndex=0&amp;doclang=FR&amp;mode=lst&amp;dir=&amp;occ=first&amp;part=1&amp;cid=10904675" TargetMode="External"/><Relationship Id="rId101" Type="http://schemas.openxmlformats.org/officeDocument/2006/relationships/hyperlink" Target="https://curia.europa.eu/juris/document/document.jsf?text=&amp;docid=47386&amp;pageIndex=0&amp;doclang=FR&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FR/TXT/PDF/?uri=CELEX:01998L0034-19980805" TargetMode="External"/><Relationship Id="rId13" Type="http://schemas.openxmlformats.org/officeDocument/2006/relationships/hyperlink" Target="https://curia.europa.eu/juris/document/document.jsf?text=&amp;docid=45811&amp;pageIndex=0&amp;doclang=FR&amp;mode=lst&amp;dir=&amp;occ=first&amp;part=1&amp;cid=8919687" TargetMode="External"/><Relationship Id="rId18" Type="http://schemas.openxmlformats.org/officeDocument/2006/relationships/hyperlink" Target="https://curia.europa.eu/juris/document/document.jsf?text=&amp;docid=47026&amp;pageIndex=0&amp;doclang=FR&amp;mode=lst&amp;dir=&amp;occ=first&amp;part=1&amp;cid=8919687" TargetMode="External"/><Relationship Id="rId39" Type="http://schemas.openxmlformats.org/officeDocument/2006/relationships/hyperlink" Target="https://curia.europa.eu/juris/document/document.jsf?text=C-98%252F14&amp;docid=164955&amp;pageIndex=0&amp;doclang=FR&amp;mode=req&amp;dir=&amp;occ=first&amp;part=1&amp;cid=9889670" TargetMode="External"/><Relationship Id="rId109" Type="http://schemas.openxmlformats.org/officeDocument/2006/relationships/hyperlink" Target="https://curia.europa.eu/juris/document/document.jsf?text=&amp;docid=165924&amp;pageIndex=0&amp;doclang=FR&amp;mode=lst&amp;dir=&amp;occ=first&amp;part=1&amp;cid=12979947" TargetMode="External"/><Relationship Id="rId34" Type="http://schemas.openxmlformats.org/officeDocument/2006/relationships/hyperlink" Target="https://curia.europa.eu/juris/document/document.jsf?text=&amp;docid=232725&amp;pageIndex=0&amp;doclang=FR&amp;mode=lst&amp;dir=&amp;occ=first&amp;part=1&amp;cid=7847310" TargetMode="External"/><Relationship Id="rId50" Type="http://schemas.openxmlformats.org/officeDocument/2006/relationships/hyperlink" Target="https://curia.europa.eu/juris/document/document.jsf?text=&amp;docid=198047&amp;pageIndex=0&amp;doclang=FR&amp;mode=lst&amp;dir=&amp;occ=first&amp;part=1&amp;cid=10880021" TargetMode="External"/><Relationship Id="rId55" Type="http://schemas.openxmlformats.org/officeDocument/2006/relationships/hyperlink" Target="https://curia.europa.eu/juris/document/document.jsf?text=&amp;docid=232725&amp;pageIndex=0&amp;doclang=FR&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FR&amp;mode=lst&amp;dir=&amp;occ=first&amp;part=1&amp;cid=10779034" TargetMode="External"/><Relationship Id="rId104" Type="http://schemas.openxmlformats.org/officeDocument/2006/relationships/hyperlink" Target="https://curia.europa.eu/juris/document/document.jsf?text=&amp;docid=174105&amp;pageIndex=0&amp;doclang=FR&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fr&amp;mode=lst&amp;dir=&amp;occ=first&amp;part=1&amp;cid=1728241" TargetMode="External"/><Relationship Id="rId92" Type="http://schemas.openxmlformats.org/officeDocument/2006/relationships/hyperlink" Target="https://curia.europa.eu/juris/document/document.jsf?text=&amp;docid=59577&amp;pageIndex=0&amp;doclang=FR&amp;mode=lst&amp;dir=&amp;occ=first&amp;part=1&amp;cid=12994086"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54825&amp;pageIndex=0&amp;doclang=FR&amp;mode=lst&amp;dir=&amp;occ=first&amp;part=1&amp;cid=9889670" TargetMode="External"/><Relationship Id="rId24" Type="http://schemas.openxmlformats.org/officeDocument/2006/relationships/hyperlink" Target="https://curia.europa.eu/juris/document/document.jsf?text=&amp;docid=59577&amp;pageIndex=0&amp;doclang=FR&amp;mode=lst&amp;dir=&amp;occ=first&amp;part=1&amp;cid=12994086" TargetMode="External"/><Relationship Id="rId40" Type="http://schemas.openxmlformats.org/officeDocument/2006/relationships/hyperlink" Target="https://curia.europa.eu/juris/document/document.jsf?text=&amp;docid=184507&amp;pageIndex=0&amp;doclang=FR&amp;mode=lst&amp;dir=&amp;occ=first&amp;part=1&amp;cid=9889670" TargetMode="External"/><Relationship Id="rId45" Type="http://schemas.openxmlformats.org/officeDocument/2006/relationships/hyperlink" Target="https://curia.europa.eu/juris/document/document.jsf?text=&amp;docid=271072&amp;pageIndex=0&amp;doclang=FR&amp;mode=lst&amp;dir=&amp;occ=first&amp;part=1&amp;cid=14061944" TargetMode="External"/><Relationship Id="rId66" Type="http://schemas.openxmlformats.org/officeDocument/2006/relationships/hyperlink" Target="https://curia.europa.eu/juris/showPdf.jsf?text=&amp;docid=100864&amp;pageIndex=0&amp;doclang=FR&amp;mode=lst&amp;dir=&amp;occ=first&amp;part=1&amp;cid=10811412" TargetMode="External"/><Relationship Id="rId87" Type="http://schemas.openxmlformats.org/officeDocument/2006/relationships/hyperlink" Target="https://curia.europa.eu/juris/showPdf.jsf?text=&amp;docid=99992&amp;pageIndex=0&amp;doclang=FR&amp;mode=lst&amp;dir=&amp;occ=first&amp;part=1&amp;cid=10811412" TargetMode="External"/><Relationship Id="rId110" Type="http://schemas.openxmlformats.org/officeDocument/2006/relationships/hyperlink" Target="https://curia.europa.eu/juris/document/document.jsf?text=&amp;docid=280771&amp;pageIndex=0&amp;doclang=FR&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FR&amp;cid=8886921" TargetMode="External"/><Relationship Id="rId82" Type="http://schemas.openxmlformats.org/officeDocument/2006/relationships/hyperlink" Target="https://curia.europa.eu/juris/showPdf.jsf?text=&amp;docid=43725&amp;pageIndex=0&amp;doclang=FR&amp;mode=lst&amp;dir=&amp;occ=first&amp;part=1&amp;cid=10904675" TargetMode="External"/><Relationship Id="rId19" Type="http://schemas.openxmlformats.org/officeDocument/2006/relationships/hyperlink" Target="https://curia.europa.eu/juris/document/document.jsf?text=&amp;docid=45692&amp;pageIndex=0&amp;doclang=FR&amp;mode=lst&amp;dir=&amp;occ=first&amp;part=1&amp;cid=10763343" TargetMode="External"/><Relationship Id="rId14" Type="http://schemas.openxmlformats.org/officeDocument/2006/relationships/hyperlink" Target="https://curia.europa.eu/juris/document/document.jsf?text=&amp;docid=234921&amp;pageIndex=0&amp;doclang=FR&amp;mode=lst&amp;dir=&amp;occ=first&amp;part=1&amp;cid=7739074" TargetMode="External"/><Relationship Id="rId30" Type="http://schemas.openxmlformats.org/officeDocument/2006/relationships/hyperlink" Target="https://curia.europa.eu/juris/document/document.jsf?text=&amp;docid=184891&amp;pageIndex=0&amp;doclang=FR&amp;mode=lst&amp;dir=&amp;occ=first&amp;part=1&amp;cid=9777324" TargetMode="External"/><Relationship Id="rId35" Type="http://schemas.openxmlformats.org/officeDocument/2006/relationships/hyperlink" Target="https://curia.europa.eu/juris/document/document.jsf?text=&amp;docid=58142&amp;pageIndex=0&amp;doclang=FR&amp;mode=lst&amp;dir=&amp;occ=first&amp;part=1&amp;cid=8886921" TargetMode="External"/><Relationship Id="rId56" Type="http://schemas.openxmlformats.org/officeDocument/2006/relationships/hyperlink" Target="https://curia.europa.eu/juris/document/document.jsf?text=&amp;docid=234921&amp;pageIndex=0&amp;doclang=FR&amp;mode=lst&amp;dir=&amp;occ=first&amp;part=1&amp;cid=10811412" TargetMode="External"/><Relationship Id="rId77" Type="http://schemas.openxmlformats.org/officeDocument/2006/relationships/hyperlink" Target="https://curia.europa.eu/juris/document/document.jsf?text=&amp;docid=185545&amp;pageIndex=0&amp;doclang=FR&amp;mode=lst&amp;dir=&amp;occ=first&amp;part=1&amp;cid=13138882" TargetMode="External"/><Relationship Id="rId100" Type="http://schemas.openxmlformats.org/officeDocument/2006/relationships/hyperlink" Target="https://curia.europa.eu/juris/document/document.jsf?text=&amp;docid=43935&amp;pageIndex=0&amp;doclang=FR&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fra" TargetMode="External"/><Relationship Id="rId51" Type="http://schemas.openxmlformats.org/officeDocument/2006/relationships/hyperlink" Target="https://curia.europa.eu/juris/document/document.jsf?text=&amp;docid=200882&amp;pageIndex=0&amp;doclang=FR&amp;mode=lst&amp;dir=&amp;occ=first&amp;part=1&amp;cid=10880021" TargetMode="External"/><Relationship Id="rId72" Type="http://schemas.openxmlformats.org/officeDocument/2006/relationships/hyperlink" Target="https://curia.europa.eu/juris/document/document.jsf?text=&amp;docid=217670&amp;pageIndex=0&amp;doclang=FR&amp;mode=lst&amp;dir=&amp;occ=first&amp;part=1&amp;cid=10880021" TargetMode="External"/><Relationship Id="rId93" Type="http://schemas.openxmlformats.org/officeDocument/2006/relationships/hyperlink" Target="https://curia.europa.eu/juris/document/document.jsf?text=&amp;docid=232150&amp;pageIndex=0&amp;doclang=FR&amp;mode=lst&amp;dir=&amp;occ=first&amp;part=1&amp;cid=12985433" TargetMode="External"/><Relationship Id="rId98" Type="http://schemas.openxmlformats.org/officeDocument/2006/relationships/hyperlink" Target="https://curia.europa.eu/juris/document/document.jsf?text=&amp;docid=58142&amp;pageIndex=0&amp;doclang=FR&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72270&amp;pageIndex=0&amp;doclang=FR&amp;mode=lst&amp;dir=&amp;occ=first&amp;part=1&amp;cid=9945922" TargetMode="External"/><Relationship Id="rId46" Type="http://schemas.openxmlformats.org/officeDocument/2006/relationships/hyperlink" Target="https://curia.europa.eu/juris/document/document.jsf?text=&amp;docid=60336&amp;pageIndex=0&amp;doclang=fr&amp;mode=lst&amp;dir=&amp;occ=first&amp;part=1&amp;cid=1728241" TargetMode="External"/><Relationship Id="rId67" Type="http://schemas.openxmlformats.org/officeDocument/2006/relationships/hyperlink" Target="https://curia.europa.eu/juris/document/document.jsf?text=&amp;docid=154825&amp;pageIndex=0&amp;doclang=FR&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721&amp;pageIndex=0&amp;doclang=FR&amp;mode=lst&amp;dir=&amp;occ=first&amp;part=1&amp;cid=10763343" TargetMode="External"/><Relationship Id="rId41" Type="http://schemas.openxmlformats.org/officeDocument/2006/relationships/hyperlink" Target="https://curia.europa.eu/juris/document/document.jsf?text=&amp;docid=184891&amp;pageIndex=0&amp;doclang=FR&amp;mode=lst&amp;dir=&amp;occ=first&amp;part=1&amp;cid=9777324" TargetMode="External"/><Relationship Id="rId62" Type="http://schemas.openxmlformats.org/officeDocument/2006/relationships/hyperlink" Target="https://curia.europa.eu/juris/document/document.jsf?text=&amp;docid=63941&amp;pageIndex=0&amp;doclang=FR&amp;mode=lst&amp;dir=&amp;occ=first&amp;part=1&amp;cid=8886921" TargetMode="External"/><Relationship Id="rId83" Type="http://schemas.openxmlformats.org/officeDocument/2006/relationships/hyperlink" Target="https://curia.europa.eu/juris/document/document.jsf?text=&amp;docid=43839&amp;pageIndex=0&amp;doclang=FR&amp;mode=lst&amp;dir=&amp;occ=first&amp;part=1&amp;cid=10811412" TargetMode="External"/><Relationship Id="rId88" Type="http://schemas.openxmlformats.org/officeDocument/2006/relationships/hyperlink" Target="https://curia.europa.eu/juris/document/document.jsf?text=&amp;docid=45692&amp;pageIndex=0&amp;doclang=FR&amp;mode=lst&amp;dir=&amp;occ=first&amp;part=1&amp;cid=10763343" TargetMode="External"/><Relationship Id="rId111" Type="http://schemas.openxmlformats.org/officeDocument/2006/relationships/hyperlink" Target="https://curia.europa.eu/juris/document/document.jsf?text=C-98%252F14&amp;docid=164955&amp;pageIndex=0&amp;doclang=FR&amp;mode=req&amp;dir=&amp;occ=first&amp;part=1&amp;cid=9889670" TargetMode="External"/><Relationship Id="rId15" Type="http://schemas.openxmlformats.org/officeDocument/2006/relationships/hyperlink" Target="https://curia.europa.eu/juris/showPdf.jsf?text=&amp;docid=100042&amp;pageIndex=0&amp;doclang=FR&amp;mode=lst&amp;dir=&amp;occ=first&amp;part=1&amp;cid=10811412" TargetMode="External"/><Relationship Id="rId36" Type="http://schemas.openxmlformats.org/officeDocument/2006/relationships/hyperlink" Target="https://curia.europa.eu/juris/document/document.jsf?text=&amp;docid=85136&amp;pageIndex=0&amp;doclang=FR&amp;mode=lst&amp;dir=&amp;occ=first&amp;part=1&amp;cid=15388659" TargetMode="External"/><Relationship Id="rId57" Type="http://schemas.openxmlformats.org/officeDocument/2006/relationships/hyperlink" Target="https://curia.europa.eu/juris/document/document.jsf?text=&amp;docid=283281&amp;pageIndex=0&amp;doclang=FR&amp;mode=lst&amp;dir=&amp;occ=first&amp;part=1&amp;cid=14054161" TargetMode="External"/><Relationship Id="rId106" Type="http://schemas.openxmlformats.org/officeDocument/2006/relationships/hyperlink" Target="https://curia.europa.eu/juris/document/document.jsf?text=&amp;docid=187343&amp;pageIndex=0&amp;doclang=FR&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34809</Words>
  <Characters>189017</Characters>
  <Application>Microsoft Office Word</Application>
  <DocSecurity>0</DocSecurity>
  <Lines>3203</Lines>
  <Paragraphs>891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BAI Brice (GROW)</cp:lastModifiedBy>
  <cp:revision>5</cp:revision>
  <cp:lastPrinted>2025-04-16T10:02:00Z</cp:lastPrinted>
  <dcterms:created xsi:type="dcterms:W3CDTF">2025-07-09T13:16:00Z</dcterms:created>
  <dcterms:modified xsi:type="dcterms:W3CDTF">2025-07-10T08:35:00Z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