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LT-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Specializuotose mažmeninės prekybos alkoholiniais gėrimais vietose neleidžiama prekiauti maisto produktais ir nealkoholiniais gėrimais, išskyrus toniką, vandenį, sultis, nealkoholinį sidrą ir nealkoholinį alų.</w:t>
      </w:r>
    </w:p>
    <w:p w14:paraId="60FAEBD3" w14:textId="77777777" w:rsidR="009E6B39" w:rsidRDefault="009E6B39"/>
    <w:p w14:paraId="1535F850" w14:textId="77777777" w:rsidR="009E6B39" w:rsidRDefault="009E6B39">
      <w:r>
        <w:t xml:space="preserve">Mažmeninė prekyba stipriaisiais gėrimais neleidžiama degalinių parduotuvėse ar šalia degalinių esančiose parduotuvėse, jei atstumas nuo įėjimo į parduotuvę iki artimiausio degalų siurblio yra mažesnis nei 15 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