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575" w:rsidRPr="00244637" w:rsidRDefault="00617575" w:rsidP="00617575">
      <w:pPr>
        <w:jc w:val="center"/>
        <w:rPr>
          <w:rFonts w:ascii="Courier New" w:hAnsi="Courier New"/>
        </w:rPr>
      </w:pPr>
      <w:r w:rsidRPr="00244637">
        <w:rPr>
          <w:rFonts w:ascii="Courier New" w:hAnsi="Courier New"/>
        </w:rPr>
        <w:t>1. ------IND- 2021 0030 F-- BG- ------ 20210129 --- --- PROJET</w:t>
      </w:r>
    </w:p>
    <w:p w:rsidR="006D1B38" w:rsidRPr="00244637" w:rsidRDefault="00BE4644" w:rsidP="00532188">
      <w:pPr>
        <w:pStyle w:val="LO-Normal"/>
        <w:ind w:left="6372"/>
      </w:pPr>
      <w:r w:rsidRPr="00244637">
        <w:t>Версия от 18 ноември 2020 г.</w:t>
      </w:r>
    </w:p>
    <w:tbl>
      <w:tblPr>
        <w:tblW w:w="4054" w:type="dxa"/>
        <w:tblInd w:w="11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7"/>
        <w:gridCol w:w="968"/>
        <w:gridCol w:w="1559"/>
      </w:tblGrid>
      <w:tr w:rsidR="006D1B38" w:rsidRPr="00244637">
        <w:trPr>
          <w:cantSplit/>
        </w:trPr>
        <w:tc>
          <w:tcPr>
            <w:tcW w:w="4054" w:type="dxa"/>
            <w:gridSpan w:val="3"/>
          </w:tcPr>
          <w:p w:rsidR="006D1B38" w:rsidRPr="00244637" w:rsidRDefault="00BE4644" w:rsidP="00532188">
            <w:pPr>
              <w:pStyle w:val="SNREPUBLIQUE"/>
            </w:pPr>
            <w:r w:rsidRPr="00244637">
              <w:t>ФРЕНСКА РЕПУБЛИКА</w:t>
            </w:r>
          </w:p>
        </w:tc>
      </w:tr>
      <w:tr w:rsidR="006D1B38" w:rsidRPr="00244637" w:rsidTr="002A4914">
        <w:trPr>
          <w:cantSplit/>
          <w:trHeight w:hRule="exact" w:val="113"/>
        </w:trPr>
        <w:tc>
          <w:tcPr>
            <w:tcW w:w="1527" w:type="dxa"/>
          </w:tcPr>
          <w:p w:rsidR="006D1B38" w:rsidRPr="00244637" w:rsidRDefault="006D1B38" w:rsidP="00532188">
            <w:pPr>
              <w:pStyle w:val="LO-Normal"/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6D1B38" w:rsidRPr="00244637" w:rsidRDefault="006D1B38" w:rsidP="00532188">
            <w:pPr>
              <w:pStyle w:val="LO-Normal"/>
            </w:pPr>
          </w:p>
        </w:tc>
        <w:tc>
          <w:tcPr>
            <w:tcW w:w="1559" w:type="dxa"/>
          </w:tcPr>
          <w:p w:rsidR="006D1B38" w:rsidRPr="00244637" w:rsidRDefault="006D1B38" w:rsidP="00532188">
            <w:pPr>
              <w:pStyle w:val="LO-Normal"/>
            </w:pPr>
          </w:p>
        </w:tc>
      </w:tr>
      <w:tr w:rsidR="006D1B38" w:rsidRPr="00244637">
        <w:trPr>
          <w:cantSplit/>
        </w:trPr>
        <w:tc>
          <w:tcPr>
            <w:tcW w:w="4054" w:type="dxa"/>
            <w:gridSpan w:val="3"/>
          </w:tcPr>
          <w:p w:rsidR="006D1B38" w:rsidRPr="00244637" w:rsidRDefault="00BE4644" w:rsidP="00532188">
            <w:pPr>
              <w:pStyle w:val="SNTimbre"/>
              <w:widowControl/>
            </w:pPr>
            <w:r w:rsidRPr="00244637">
              <w:t>Министерство на икономиката, финансите и възстановяването</w:t>
            </w:r>
          </w:p>
        </w:tc>
      </w:tr>
      <w:tr w:rsidR="006D1B38" w:rsidRPr="00244637" w:rsidTr="002A4914">
        <w:trPr>
          <w:cantSplit/>
          <w:trHeight w:hRule="exact" w:val="227"/>
        </w:trPr>
        <w:tc>
          <w:tcPr>
            <w:tcW w:w="1527" w:type="dxa"/>
          </w:tcPr>
          <w:p w:rsidR="006D1B38" w:rsidRPr="00244637" w:rsidRDefault="006D1B38" w:rsidP="00532188">
            <w:pPr>
              <w:pStyle w:val="LO-Normal"/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6D1B38" w:rsidRPr="00244637" w:rsidRDefault="006D1B38" w:rsidP="00532188">
            <w:pPr>
              <w:pStyle w:val="LO-Normal"/>
            </w:pPr>
          </w:p>
        </w:tc>
        <w:tc>
          <w:tcPr>
            <w:tcW w:w="1559" w:type="dxa"/>
          </w:tcPr>
          <w:p w:rsidR="006D1B38" w:rsidRPr="00244637" w:rsidRDefault="006D1B38" w:rsidP="00532188">
            <w:pPr>
              <w:pStyle w:val="LO-Normal"/>
            </w:pPr>
          </w:p>
        </w:tc>
      </w:tr>
      <w:tr w:rsidR="006D1B38" w:rsidRPr="00244637">
        <w:trPr>
          <w:cantSplit/>
          <w:trHeight w:hRule="exact" w:val="227"/>
        </w:trPr>
        <w:tc>
          <w:tcPr>
            <w:tcW w:w="1527" w:type="dxa"/>
          </w:tcPr>
          <w:p w:rsidR="006D1B38" w:rsidRPr="00244637" w:rsidRDefault="006D1B38" w:rsidP="00532188">
            <w:pPr>
              <w:pStyle w:val="LO-Normal"/>
            </w:pPr>
          </w:p>
        </w:tc>
        <w:tc>
          <w:tcPr>
            <w:tcW w:w="968" w:type="dxa"/>
          </w:tcPr>
          <w:p w:rsidR="006D1B38" w:rsidRPr="00244637" w:rsidRDefault="006D1B38" w:rsidP="00532188">
            <w:pPr>
              <w:pStyle w:val="LO-Normal"/>
            </w:pPr>
          </w:p>
        </w:tc>
        <w:tc>
          <w:tcPr>
            <w:tcW w:w="1559" w:type="dxa"/>
          </w:tcPr>
          <w:p w:rsidR="006D1B38" w:rsidRPr="00244637" w:rsidRDefault="006D1B38" w:rsidP="00532188">
            <w:pPr>
              <w:pStyle w:val="LO-Normal"/>
            </w:pPr>
          </w:p>
        </w:tc>
      </w:tr>
    </w:tbl>
    <w:p w:rsidR="006D1B38" w:rsidRPr="00244637" w:rsidRDefault="00BE4644" w:rsidP="00532188">
      <w:pPr>
        <w:pStyle w:val="SNNature"/>
        <w:widowControl/>
      </w:pPr>
      <w:r w:rsidRPr="00244637">
        <w:t>Указ от № 2020-… от … 2020 г.</w:t>
      </w:r>
    </w:p>
    <w:p w:rsidR="006D1B38" w:rsidRPr="00244637" w:rsidRDefault="00BE4644" w:rsidP="00532188">
      <w:pPr>
        <w:pStyle w:val="SNtitre"/>
        <w:widowControl/>
      </w:pPr>
      <w:r w:rsidRPr="00244637">
        <w:t>относно условията за използване на понятията „преопакован“ и „преопакован продукт“</w:t>
      </w:r>
    </w:p>
    <w:p w:rsidR="006D1B38" w:rsidRPr="00244637" w:rsidRDefault="00BE4644" w:rsidP="00532188">
      <w:pPr>
        <w:pStyle w:val="SNNORCentr"/>
      </w:pPr>
      <w:r w:rsidRPr="00244637">
        <w:t>Реф. номер: […]</w:t>
      </w:r>
    </w:p>
    <w:p w:rsidR="006D1B38" w:rsidRPr="00244637" w:rsidRDefault="00BE4644" w:rsidP="00C85968">
      <w:pPr>
        <w:pStyle w:val="SNAutorit"/>
      </w:pPr>
      <w:r w:rsidRPr="00244637">
        <w:rPr>
          <w:rStyle w:val="Policepardfaut"/>
          <w:b/>
          <w:i/>
        </w:rPr>
        <w:t>Заинтересовани страни:</w:t>
      </w:r>
      <w:r w:rsidRPr="00244637">
        <w:rPr>
          <w:rStyle w:val="Policepardfaut"/>
          <w:i/>
        </w:rPr>
        <w:t xml:space="preserve"> продавачите на продукти, пуснати на пазара, включително когато те се предлагат за продажба онлайн от интерфейс;</w:t>
      </w:r>
    </w:p>
    <w:p w:rsidR="006D1B38" w:rsidRPr="00244637" w:rsidRDefault="00BE4644" w:rsidP="00C85968">
      <w:pPr>
        <w:pStyle w:val="SNAutorit"/>
      </w:pPr>
      <w:r w:rsidRPr="00244637">
        <w:rPr>
          <w:rStyle w:val="Policepardfaut"/>
          <w:b/>
          <w:i/>
        </w:rPr>
        <w:t>Относно:</w:t>
      </w:r>
      <w:r w:rsidRPr="00244637">
        <w:rPr>
          <w:rStyle w:val="Policepardfaut"/>
          <w:i/>
        </w:rPr>
        <w:t xml:space="preserve"> условията за използване на понятията „преопакован“ или „преопакован продукт“;</w:t>
      </w:r>
    </w:p>
    <w:p w:rsidR="006D1B38" w:rsidRPr="00244637" w:rsidRDefault="00BE4644" w:rsidP="00C85968">
      <w:pPr>
        <w:pStyle w:val="SNAutorit"/>
      </w:pPr>
      <w:r w:rsidRPr="00244637">
        <w:rPr>
          <w:rStyle w:val="Policepardfaut"/>
          <w:b/>
          <w:i/>
        </w:rPr>
        <w:t>Влизане в сила:</w:t>
      </w:r>
      <w:r w:rsidRPr="00244637">
        <w:rPr>
          <w:rStyle w:val="Policepardfaut"/>
          <w:i/>
        </w:rPr>
        <w:t xml:space="preserve"> </w:t>
      </w:r>
    </w:p>
    <w:p w:rsidR="006D1B38" w:rsidRPr="00244637" w:rsidRDefault="00BE4644" w:rsidP="00C85968">
      <w:pPr>
        <w:pStyle w:val="SNAutorit"/>
      </w:pPr>
      <w:r w:rsidRPr="00244637">
        <w:rPr>
          <w:rStyle w:val="Policepardfaut"/>
          <w:b/>
          <w:i/>
        </w:rPr>
        <w:t>Бележка:</w:t>
      </w:r>
      <w:r w:rsidRPr="00244637">
        <w:rPr>
          <w:rStyle w:val="Policepardfaut"/>
          <w:i/>
        </w:rPr>
        <w:t xml:space="preserve"> с настоящия указ се определят условията за прилагане на член L. 122-21-1 от Кодекса за потреблението, с който се предвижда законодателна рамка за използването на понятията „преопакован“ и „преопакован продукт“. За тази цел с него се запазва използването на тези обозначения за продукти втора употреба и се уточняват условията, при които те могат да се използват, когато се отнася до извършването на изпитвания, дори за изискването за една или за няколко техническа(и) интервенция(и), с която(които) се позволява гарантирането на безопасността и функционалните възможности на продукта. Тази </w:t>
      </w:r>
      <w:r w:rsidR="00244637" w:rsidRPr="00244637">
        <w:rPr>
          <w:rStyle w:val="Policepardfaut"/>
          <w:i/>
        </w:rPr>
        <w:t>интервенция</w:t>
      </w:r>
      <w:r w:rsidRPr="00244637">
        <w:rPr>
          <w:rStyle w:val="Policepardfaut"/>
          <w:i/>
        </w:rPr>
        <w:t xml:space="preserve"> или тези интервенции, извършена(и) във връзка с продукта, представлява(т) негова съществена характеристика. От друга страна, за да се избегне потребителят да бъде подведен относно характеристиките на преопакования продукт, с настоящия указ се забранява каквото и да било позоваване на нов продукт и се запазва използването на обозначението „преопаковано във Франция“ за дейностите по преопаковане, които се извършват изцяло на националната територия. Тези правила също така се прилагат за резервните части;</w:t>
      </w:r>
    </w:p>
    <w:p w:rsidR="006D1B38" w:rsidRPr="00244637" w:rsidRDefault="00BE4644" w:rsidP="00C85968">
      <w:pPr>
        <w:pStyle w:val="SNAutorit"/>
        <w:rPr>
          <w:rStyle w:val="Policepardfaut"/>
          <w:i/>
        </w:rPr>
      </w:pPr>
      <w:r w:rsidRPr="00244637">
        <w:rPr>
          <w:rStyle w:val="Policepardfaut"/>
          <w:b/>
          <w:i/>
        </w:rPr>
        <w:t>Позоваване:</w:t>
      </w:r>
      <w:r w:rsidRPr="00244637">
        <w:rPr>
          <w:rStyle w:val="Policepardfaut"/>
          <w:i/>
        </w:rPr>
        <w:t xml:space="preserve"> справка с настоящия указ може да се направи на уебсайта Légifrance (</w:t>
      </w:r>
      <w:hyperlink r:id="rId7" w:tgtFrame="_top">
        <w:r w:rsidRPr="00244637">
          <w:rPr>
            <w:rStyle w:val="Policepardfaut"/>
            <w:b/>
            <w:i/>
          </w:rPr>
          <w:t>http://www.legifrance.gouv.fr</w:t>
        </w:r>
      </w:hyperlink>
      <w:r w:rsidRPr="00244637">
        <w:rPr>
          <w:rStyle w:val="Policepardfaut"/>
          <w:i/>
        </w:rPr>
        <w:t>).]</w:t>
      </w:r>
    </w:p>
    <w:p w:rsidR="003114B3" w:rsidRPr="00244637" w:rsidRDefault="003114B3" w:rsidP="00C85968">
      <w:pPr>
        <w:pStyle w:val="SNAutorit"/>
        <w:rPr>
          <w:b/>
        </w:rPr>
      </w:pPr>
    </w:p>
    <w:p w:rsidR="006D1B38" w:rsidRPr="00244637" w:rsidRDefault="00BE4644" w:rsidP="00C85968">
      <w:pPr>
        <w:pStyle w:val="SNAutorit"/>
        <w:rPr>
          <w:b/>
        </w:rPr>
      </w:pPr>
      <w:r w:rsidRPr="00244637">
        <w:rPr>
          <w:b/>
        </w:rPr>
        <w:t>Министър-председателят,</w:t>
      </w:r>
    </w:p>
    <w:p w:rsidR="006D1B38" w:rsidRPr="00244637" w:rsidRDefault="00BE4644" w:rsidP="00C85968">
      <w:pPr>
        <w:pStyle w:val="SNRapport"/>
      </w:pPr>
      <w:r w:rsidRPr="00244637">
        <w:t>въз основа на доклада на министъра на икономиката, финансите и възстановяването,</w:t>
      </w:r>
    </w:p>
    <w:p w:rsidR="006D1B38" w:rsidRPr="00244637" w:rsidRDefault="00BE4644" w:rsidP="00C85968">
      <w:pPr>
        <w:pStyle w:val="SNVisa"/>
      </w:pPr>
      <w:r w:rsidRPr="00244637">
        <w:t>като взе предвид Регламент (ЕС) 2016/679 на Европейския парламент и на Съвета от 27 април 2016 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данните),</w:t>
      </w:r>
    </w:p>
    <w:p w:rsidR="006D1B38" w:rsidRPr="00244637" w:rsidRDefault="00BE4644" w:rsidP="00C85968">
      <w:pPr>
        <w:ind w:firstLine="720"/>
        <w:rPr>
          <w:rFonts w:ascii="Calibri" w:eastAsia="Calibri" w:hAnsi="Calibri" w:cs="Calibri"/>
          <w:sz w:val="22"/>
          <w:szCs w:val="22"/>
        </w:rPr>
      </w:pPr>
      <w:r w:rsidRPr="00244637">
        <w:rPr>
          <w:rFonts w:ascii="Calibri" w:hAnsi="Calibri"/>
          <w:sz w:val="22"/>
          <w:szCs w:val="22"/>
        </w:rPr>
        <w:t xml:space="preserve">като взе предвид Директива (ЕС) 2015/1535 на Европейския парламент и на Съвета от 9 септември 2015 г. установяваща процедура за предоставянето на информация в сферата на </w:t>
      </w:r>
      <w:r w:rsidRPr="00244637">
        <w:rPr>
          <w:rFonts w:ascii="Calibri" w:hAnsi="Calibri"/>
          <w:sz w:val="22"/>
          <w:szCs w:val="22"/>
        </w:rPr>
        <w:lastRenderedPageBreak/>
        <w:t>техническите регламенти и правила относно услугите на информационното общество (кодифициран текст), и по-специално Нотификация № година/XXX/F,</w:t>
      </w:r>
    </w:p>
    <w:p w:rsidR="006D1B38" w:rsidRPr="00244637" w:rsidRDefault="00BE4644" w:rsidP="00C85968">
      <w:pPr>
        <w:pStyle w:val="SNVisa"/>
      </w:pPr>
      <w:r w:rsidRPr="00244637">
        <w:t>като взе предвид Търговския кодекс, по-специално член L. 321-1 от него,</w:t>
      </w:r>
    </w:p>
    <w:p w:rsidR="006D1B38" w:rsidRPr="00244637" w:rsidRDefault="00BE4644" w:rsidP="00C85968">
      <w:pPr>
        <w:pStyle w:val="SNVisa"/>
      </w:pPr>
      <w:r w:rsidRPr="00244637">
        <w:t>като взе предвид Кодекса за потреблението, по-специално член 122-21-1 от него в редакцията му съгласно член 37 от Закон №°2020-105 от 10 февруари 2020°г. за борба срещу прахосването и за кръгова икономика,</w:t>
      </w:r>
    </w:p>
    <w:p w:rsidR="006D1B38" w:rsidRPr="00244637" w:rsidRDefault="00BE4644" w:rsidP="00C85968">
      <w:pPr>
        <w:pStyle w:val="LO-Normal"/>
        <w:spacing w:before="100" w:after="100"/>
        <w:ind w:firstLine="720"/>
        <w:jc w:val="both"/>
      </w:pPr>
      <w:r w:rsidRPr="00244637">
        <w:t>като взе предвид Закон № 78-17 от 6 януари 1978 г. за информатиката, архивите и свободите, изменен,</w:t>
      </w:r>
    </w:p>
    <w:p w:rsidR="006D1B38" w:rsidRPr="00244637" w:rsidRDefault="00BE4644" w:rsidP="00C85968">
      <w:pPr>
        <w:pStyle w:val="SNVisa"/>
      </w:pPr>
      <w:r w:rsidRPr="00244637">
        <w:t>след като се консултира с държавния съвет (отдел „Финанси“),</w:t>
      </w:r>
    </w:p>
    <w:p w:rsidR="006D1B38" w:rsidRPr="00244637" w:rsidRDefault="00BE4644" w:rsidP="00532188">
      <w:pPr>
        <w:pStyle w:val="SNActe"/>
      </w:pPr>
      <w:r w:rsidRPr="00244637">
        <w:t>реши:</w:t>
      </w:r>
    </w:p>
    <w:p w:rsidR="006D1B38" w:rsidRPr="00244637" w:rsidRDefault="00BE4644" w:rsidP="00532188">
      <w:pPr>
        <w:pStyle w:val="SNArticle"/>
        <w:keepNext/>
        <w:keepLines/>
      </w:pPr>
      <w:r w:rsidRPr="00244637">
        <w:t>Член 1</w:t>
      </w:r>
    </w:p>
    <w:p w:rsidR="006D1B38" w:rsidRPr="00244637" w:rsidRDefault="00BE4644" w:rsidP="00532188">
      <w:pPr>
        <w:pStyle w:val="BodyText"/>
      </w:pPr>
      <w:r w:rsidRPr="00244637">
        <w:t>Книга I, дял II, глава II от Кодекса за потреблението се изменя, както следва:</w:t>
      </w:r>
    </w:p>
    <w:p w:rsidR="006D1B38" w:rsidRPr="00244637" w:rsidRDefault="00BE4644" w:rsidP="00532188">
      <w:pPr>
        <w:pStyle w:val="BodyText"/>
      </w:pPr>
      <w:r w:rsidRPr="00244637">
        <w:t>1) Единственият раздел се променя на раздел 1;</w:t>
      </w:r>
    </w:p>
    <w:p w:rsidR="006D1B38" w:rsidRPr="00244637" w:rsidRDefault="00BE4644" w:rsidP="00532188">
      <w:pPr>
        <w:pStyle w:val="BodyText"/>
      </w:pPr>
      <w:r w:rsidRPr="00244637">
        <w:t>2) Той се допълва с раздел 2 със следното съдържание:</w:t>
      </w:r>
    </w:p>
    <w:p w:rsidR="006D1B38" w:rsidRPr="00244637" w:rsidRDefault="00BE4644" w:rsidP="00532188">
      <w:pPr>
        <w:pStyle w:val="BodyText"/>
        <w:keepNext/>
        <w:keepLines/>
        <w:jc w:val="center"/>
      </w:pPr>
      <w:r w:rsidRPr="00244637">
        <w:t>„Раздел 2</w:t>
      </w:r>
    </w:p>
    <w:p w:rsidR="006D1B38" w:rsidRPr="00244637" w:rsidRDefault="00BE4644" w:rsidP="00532188">
      <w:pPr>
        <w:pStyle w:val="BodyText"/>
        <w:keepNext/>
        <w:keepLines/>
        <w:jc w:val="center"/>
      </w:pPr>
      <w:r w:rsidRPr="00244637">
        <w:t>„Използване на понятията „преопакован“ и „преопакован продукт“</w:t>
      </w:r>
    </w:p>
    <w:p w:rsidR="006D1B38" w:rsidRPr="00244637" w:rsidRDefault="00BE4644" w:rsidP="00532188">
      <w:pPr>
        <w:pStyle w:val="BodyText"/>
        <w:spacing w:before="100" w:after="100"/>
      </w:pPr>
      <w:r w:rsidRPr="00244637">
        <w:t>„</w:t>
      </w:r>
      <w:r w:rsidRPr="00244637">
        <w:rPr>
          <w:i/>
        </w:rPr>
        <w:t>Член R. 122-4.</w:t>
      </w:r>
      <w:r w:rsidRPr="00244637">
        <w:t xml:space="preserve"> — Продукт или резервна част могат да бъдат квалифицирани като „преопакован продукт“ или да бъдат придружени от понятието „преопакован“, щом всички от следните условия бъдат обединени:</w:t>
      </w:r>
    </w:p>
    <w:p w:rsidR="006D1B38" w:rsidRPr="00244637" w:rsidRDefault="00BE4644" w:rsidP="00532188">
      <w:pPr>
        <w:pStyle w:val="BodyText"/>
        <w:spacing w:before="100" w:after="100"/>
      </w:pPr>
      <w:r w:rsidRPr="00244637">
        <w:t>„1) Трябва да се отнася до продукт или резервна част втора употреба, по смисъла на член L. 321-1 от Търговския кодекс, които са преминали изпитвания относно всички функционални възможности, за да се установи дали той или тя отговарят на правните задължения за безопасност и на използването, което потребителят може законно да очаква, както и, по целесъобразност, една или няколко интервенции, за да се възстановят техните функционални възможности;</w:t>
      </w:r>
    </w:p>
    <w:p w:rsidR="006D1B38" w:rsidRPr="00244637" w:rsidRDefault="00BE4644" w:rsidP="00532188">
      <w:pPr>
        <w:pStyle w:val="LO-Normal"/>
        <w:spacing w:before="100" w:after="100"/>
        <w:jc w:val="both"/>
      </w:pPr>
      <w:r w:rsidRPr="00244637">
        <w:t>„2) Всеки път, когато е необходимо, интервенцията или интервенциите, уточнена(и) в предходната алинея, включва(т) заличаването на всички лични данни, регистрирани или съхранявани във връзка с предходно използване или предходен ползвател при спазване на разпоредбите на Регламент (ЕС) 2016/679 на Европейския парламент и на Съвета от 27 април 2016 г. относно защитата на физическите лица във връзка с обработването на лични данни и относно свободното движение на такива данни и на Закон № 78-17 от 6 януари 1978 г. за информатиката, архивите и свободите, по-специално, по отношение на правото на възстановяване и на преносимост на личните данни;</w:t>
      </w:r>
    </w:p>
    <w:p w:rsidR="006D1B38" w:rsidRPr="00244637" w:rsidRDefault="00BE4644" w:rsidP="00532188">
      <w:pPr>
        <w:pStyle w:val="LO-Normal"/>
        <w:spacing w:before="100" w:after="100"/>
        <w:jc w:val="both"/>
      </w:pPr>
      <w:r w:rsidRPr="00244637">
        <w:t>Професионалистът, който предлага за продажба продукт или резервна част, квалифицирани като „преопакован продукт“ или придружени от понятието „преопакован“, следва да докаже, че дейностите, предвидени в предходните алинеи, са извършени.</w:t>
      </w:r>
    </w:p>
    <w:p w:rsidR="006D1B38" w:rsidRPr="00244637" w:rsidRDefault="00BE4644" w:rsidP="00532188">
      <w:pPr>
        <w:pStyle w:val="BodyText"/>
        <w:spacing w:before="100" w:after="100"/>
      </w:pPr>
      <w:r w:rsidRPr="00244637">
        <w:t>„</w:t>
      </w:r>
      <w:r w:rsidRPr="00244637">
        <w:rPr>
          <w:i/>
        </w:rPr>
        <w:t>Член R. 122-5.</w:t>
      </w:r>
      <w:r w:rsidRPr="00244637">
        <w:t xml:space="preserve"> — Интервенцията или интервенциите, извършена(и) във връзка с продукта или резервната част, с която(които) се обосновава използването на понятията „преопакован продукт“, „преопакован“ или „преопаковано във Франция“, представлява(т) тяхна съществена характеристика.</w:t>
      </w:r>
    </w:p>
    <w:p w:rsidR="006D1B38" w:rsidRPr="00244637" w:rsidRDefault="00BE4644" w:rsidP="00532188">
      <w:pPr>
        <w:pStyle w:val="BodyText"/>
        <w:spacing w:before="100" w:after="100"/>
      </w:pPr>
      <w:r w:rsidRPr="00244637">
        <w:rPr>
          <w:rStyle w:val="Policepardfaut"/>
          <w:i/>
        </w:rPr>
        <w:t>„Член R. 122-6.</w:t>
      </w:r>
      <w:r w:rsidRPr="00244637">
        <w:t xml:space="preserve"> — Думите „ново състояние“, „като нов“ , „за нов“ или каквото и да било еквивалентно обозначение не могат да се използват за продукт или резервна част, квалифицирани като „преопакован продукт“ или придружени от обозначението „преопакован“.</w:t>
      </w:r>
    </w:p>
    <w:p w:rsidR="006D1B38" w:rsidRPr="00244637" w:rsidRDefault="00BE4644" w:rsidP="00532188">
      <w:pPr>
        <w:pStyle w:val="BodyText"/>
        <w:spacing w:before="100" w:after="100"/>
      </w:pPr>
      <w:r w:rsidRPr="00244637">
        <w:rPr>
          <w:rStyle w:val="Policepardfaut"/>
          <w:i/>
        </w:rPr>
        <w:lastRenderedPageBreak/>
        <w:t>„Член R. 122-7.</w:t>
      </w:r>
      <w:r w:rsidRPr="00244637">
        <w:t xml:space="preserve"> — Използването на обозначението „преопаковано във Франция“ се запазва за дейностите, посочени в член R. 122-4, които се извършват изцяло на националната територия.</w:t>
      </w:r>
    </w:p>
    <w:p w:rsidR="006D1B38" w:rsidRPr="00244637" w:rsidRDefault="00BE4644" w:rsidP="00532188">
      <w:pPr>
        <w:pStyle w:val="BodyText"/>
        <w:keepNext/>
        <w:keepLines/>
        <w:spacing w:before="100" w:after="100" w:line="244" w:lineRule="auto"/>
        <w:jc w:val="center"/>
        <w:rPr>
          <w:b/>
        </w:rPr>
      </w:pPr>
      <w:r w:rsidRPr="00244637">
        <w:rPr>
          <w:b/>
        </w:rPr>
        <w:t>Член 2</w:t>
      </w:r>
    </w:p>
    <w:p w:rsidR="006D1B38" w:rsidRPr="00244637" w:rsidRDefault="00BE4644" w:rsidP="00532188">
      <w:pPr>
        <w:pStyle w:val="BodyText"/>
        <w:spacing w:before="100" w:after="100" w:line="244" w:lineRule="auto"/>
      </w:pPr>
      <w:r w:rsidRPr="00244637">
        <w:t>Настоящият указ влиза в сила на 1 април 2021 г.</w:t>
      </w:r>
    </w:p>
    <w:p w:rsidR="006D1B38" w:rsidRPr="00244637" w:rsidRDefault="00BE4644" w:rsidP="00532188">
      <w:pPr>
        <w:pStyle w:val="BodyText"/>
        <w:keepNext/>
        <w:keepLines/>
        <w:spacing w:before="100" w:after="100" w:line="244" w:lineRule="auto"/>
        <w:jc w:val="center"/>
        <w:rPr>
          <w:b/>
        </w:rPr>
      </w:pPr>
      <w:r w:rsidRPr="00244637">
        <w:rPr>
          <w:b/>
        </w:rPr>
        <w:t>Член 3</w:t>
      </w:r>
    </w:p>
    <w:p w:rsidR="006D1B38" w:rsidRPr="00244637" w:rsidRDefault="00BE4644" w:rsidP="00532188">
      <w:pPr>
        <w:pStyle w:val="BodyText"/>
      </w:pPr>
      <w:r w:rsidRPr="00244637">
        <w:t>Министърът по въпросите на екологичния преход и министърът на икономиката, финансите и възстановяването се задължават, всеки в съответната област, с изпълнението на настоящия указ, който ще бъде публикуван в Официален вестник на Френската република.</w:t>
      </w:r>
    </w:p>
    <w:p w:rsidR="006D1B38" w:rsidRPr="00244637" w:rsidRDefault="006D1B38" w:rsidP="00532188">
      <w:pPr>
        <w:pStyle w:val="BodyText"/>
      </w:pPr>
    </w:p>
    <w:p w:rsidR="006D1B38" w:rsidRPr="00244637" w:rsidRDefault="006D1B38" w:rsidP="00532188">
      <w:pPr>
        <w:pStyle w:val="BodyText"/>
      </w:pPr>
    </w:p>
    <w:p w:rsidR="006D1B38" w:rsidRPr="00244637" w:rsidRDefault="00BE4644" w:rsidP="00532188">
      <w:pPr>
        <w:pStyle w:val="SNContreseing"/>
      </w:pPr>
      <w:r w:rsidRPr="00244637">
        <w:t>Съставено на</w:t>
      </w:r>
    </w:p>
    <w:p w:rsidR="006D1B38" w:rsidRPr="00244637" w:rsidRDefault="00BE4644" w:rsidP="00532188">
      <w:pPr>
        <w:pStyle w:val="SNContreseing"/>
      </w:pPr>
      <w:r w:rsidRPr="00244637">
        <w:t>От министър-председателя</w:t>
      </w:r>
    </w:p>
    <w:p w:rsidR="006D1B38" w:rsidRPr="00244637" w:rsidRDefault="006D1B38" w:rsidP="00532188">
      <w:pPr>
        <w:pStyle w:val="LO-Normal"/>
        <w:spacing w:before="100" w:after="100" w:line="240" w:lineRule="auto"/>
        <w:rPr>
          <w:rFonts w:eastAsia="Times New Roman"/>
          <w:lang w:eastAsia="fr-FR"/>
        </w:rPr>
      </w:pPr>
    </w:p>
    <w:p w:rsidR="006D1B38" w:rsidRPr="00244637" w:rsidRDefault="00BE4644" w:rsidP="00532188">
      <w:pPr>
        <w:pStyle w:val="LO-Normal"/>
        <w:keepNext/>
        <w:keepLines/>
        <w:spacing w:before="100" w:after="100" w:line="240" w:lineRule="auto"/>
        <w:rPr>
          <w:rFonts w:eastAsia="Times New Roman"/>
        </w:rPr>
      </w:pPr>
      <w:r w:rsidRPr="00244637">
        <w:t>Министър по въпросите на екологичния преход</w:t>
      </w:r>
    </w:p>
    <w:p w:rsidR="006D1B38" w:rsidRPr="00244637" w:rsidRDefault="00BE4644" w:rsidP="00532188">
      <w:pPr>
        <w:pStyle w:val="LO-Normal"/>
        <w:spacing w:after="0" w:line="240" w:lineRule="auto"/>
        <w:rPr>
          <w:rFonts w:eastAsia="Times New Roman"/>
        </w:rPr>
      </w:pPr>
      <w:r w:rsidRPr="00244637">
        <w:t>Barbara POMPILI</w:t>
      </w:r>
    </w:p>
    <w:p w:rsidR="006D1B38" w:rsidRPr="00244637" w:rsidRDefault="00BE4644" w:rsidP="00532188">
      <w:pPr>
        <w:pStyle w:val="LO-Normal"/>
        <w:keepNext/>
        <w:keepLines/>
        <w:spacing w:before="100" w:after="100" w:line="240" w:lineRule="auto"/>
        <w:ind w:left="5040"/>
        <w:rPr>
          <w:rFonts w:eastAsia="Times New Roman"/>
        </w:rPr>
      </w:pPr>
      <w:r w:rsidRPr="00244637">
        <w:t>Министър на икономиката, финансите и възстановяването</w:t>
      </w:r>
    </w:p>
    <w:p w:rsidR="006D1B38" w:rsidRPr="00244637" w:rsidRDefault="00BE4644" w:rsidP="00532188">
      <w:pPr>
        <w:pStyle w:val="LO-Normal"/>
        <w:spacing w:before="100" w:after="100" w:line="240" w:lineRule="auto"/>
        <w:ind w:left="5040"/>
        <w:rPr>
          <w:rFonts w:eastAsia="Times New Roman"/>
        </w:rPr>
      </w:pPr>
      <w:r w:rsidRPr="00244637">
        <w:t>Bruno LE MAIRE</w:t>
      </w:r>
      <w:bookmarkStart w:id="0" w:name="_GoBack"/>
      <w:bookmarkEnd w:id="0"/>
    </w:p>
    <w:sectPr w:rsidR="006D1B38" w:rsidRPr="00244637">
      <w:pgSz w:w="11906" w:h="16838"/>
      <w:pgMar w:top="1134" w:right="1418" w:bottom="1418" w:left="1134" w:header="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6B4" w:rsidRDefault="00F926B4" w:rsidP="00451EFE">
      <w:r>
        <w:separator/>
      </w:r>
    </w:p>
  </w:endnote>
  <w:endnote w:type="continuationSeparator" w:id="0">
    <w:p w:rsidR="00F926B4" w:rsidRDefault="00F926B4" w:rsidP="0045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6B4" w:rsidRDefault="00F926B4" w:rsidP="00451EFE">
      <w:r>
        <w:separator/>
      </w:r>
    </w:p>
  </w:footnote>
  <w:footnote w:type="continuationSeparator" w:id="0">
    <w:p w:rsidR="00F926B4" w:rsidRDefault="00F926B4" w:rsidP="00451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4719C"/>
    <w:multiLevelType w:val="multilevel"/>
    <w:tmpl w:val="80ACE59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1B38"/>
    <w:rsid w:val="00244637"/>
    <w:rsid w:val="002A4914"/>
    <w:rsid w:val="003114B3"/>
    <w:rsid w:val="00451EFE"/>
    <w:rsid w:val="00532188"/>
    <w:rsid w:val="00617575"/>
    <w:rsid w:val="0063400E"/>
    <w:rsid w:val="006D1B38"/>
    <w:rsid w:val="00BE4644"/>
    <w:rsid w:val="00C85968"/>
    <w:rsid w:val="00F9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3A5017A-2E1A-4E48-AAA5-5DD331F6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fr-FR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LO-Normal"/>
    <w:next w:val="LO-Normal"/>
    <w:uiPriority w:val="9"/>
    <w:qFormat/>
    <w:pPr>
      <w:keepNext/>
      <w:numPr>
        <w:numId w:val="1"/>
      </w:numPr>
      <w:spacing w:before="240" w:after="0"/>
      <w:jc w:val="center"/>
      <w:outlineLvl w:val="0"/>
    </w:pPr>
    <w:rPr>
      <w:rFonts w:cs="Arial"/>
      <w:bCs/>
      <w:caps/>
      <w:kern w:val="2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numPr>
        <w:ilvl w:val="1"/>
        <w:numId w:val="1"/>
      </w:numPr>
      <w:spacing w:before="240" w:after="0"/>
      <w:jc w:val="center"/>
      <w:outlineLvl w:val="1"/>
    </w:pPr>
    <w:rPr>
      <w:bCs/>
      <w:iCs/>
      <w:smallCaps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numPr>
        <w:ilvl w:val="2"/>
        <w:numId w:val="1"/>
      </w:numPr>
      <w:spacing w:before="120" w:after="0"/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">
    <w:name w:val="Police par défaut"/>
    <w:qFormat/>
  </w:style>
  <w:style w:type="character" w:customStyle="1" w:styleId="SNTimbreCar">
    <w:name w:val="SNTimbre Car"/>
    <w:basedOn w:val="Policepardfaut"/>
    <w:qFormat/>
    <w:rPr>
      <w:rFonts w:eastAsia="Lucida Sans Unicode"/>
      <w:sz w:val="24"/>
      <w:szCs w:val="24"/>
      <w:lang w:val="bg-BG" w:bidi="ar-SA"/>
    </w:rPr>
  </w:style>
  <w:style w:type="character" w:customStyle="1" w:styleId="SNDateCar">
    <w:name w:val="SNDate Car"/>
    <w:basedOn w:val="Policepardfaut"/>
    <w:qFormat/>
    <w:rPr>
      <w:sz w:val="24"/>
      <w:szCs w:val="24"/>
      <w:lang w:val="bg-BG" w:eastAsia="fr-FR" w:bidi="ar-SA"/>
    </w:rPr>
  </w:style>
  <w:style w:type="character" w:customStyle="1" w:styleId="SNArticleCar">
    <w:name w:val="SNArticle Car"/>
    <w:basedOn w:val="Policepardfaut"/>
    <w:qFormat/>
    <w:rPr>
      <w:b/>
      <w:sz w:val="24"/>
      <w:szCs w:val="24"/>
      <w:lang w:val="bg-BG" w:eastAsia="fr-FR" w:bidi="ar-SA"/>
    </w:rPr>
  </w:style>
  <w:style w:type="character" w:customStyle="1" w:styleId="En-tteCar">
    <w:name w:val="En-tête Car"/>
    <w:basedOn w:val="Policepardfaut"/>
    <w:qFormat/>
  </w:style>
  <w:style w:type="character" w:customStyle="1" w:styleId="Marquedecommentaire">
    <w:name w:val="Marque de commentaire"/>
    <w:basedOn w:val="Policepardfaut"/>
    <w:qFormat/>
    <w:rPr>
      <w:rFonts w:cs="Times New Roman"/>
      <w:sz w:val="16"/>
    </w:rPr>
  </w:style>
  <w:style w:type="character" w:customStyle="1" w:styleId="CommentaireCar">
    <w:name w:val="Commentaire Car"/>
    <w:basedOn w:val="Policepardfaut"/>
    <w:qFormat/>
  </w:style>
  <w:style w:type="character" w:customStyle="1" w:styleId="ObjetducommentaireCar">
    <w:name w:val="Objet du commentaire Car"/>
    <w:basedOn w:val="CommentaireCar"/>
    <w:qFormat/>
    <w:rPr>
      <w:b/>
      <w:bCs/>
    </w:rPr>
  </w:style>
  <w:style w:type="character" w:customStyle="1" w:styleId="CitationintenseCar">
    <w:name w:val="Citation intense Car"/>
    <w:basedOn w:val="Policepardfaut"/>
    <w:qFormat/>
    <w:rPr>
      <w:rFonts w:ascii="Calibri" w:eastAsia="Calibri" w:hAnsi="Calibri" w:cs="Calibri"/>
      <w:i/>
      <w:iCs/>
      <w:color w:val="5B9BD5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qFormat/>
    <w:rPr>
      <w:sz w:val="24"/>
      <w:szCs w:val="24"/>
    </w:rPr>
  </w:style>
  <w:style w:type="character" w:customStyle="1" w:styleId="LienInternet">
    <w:name w:val="Lien Internet"/>
    <w:rPr>
      <w:color w:val="0000FF"/>
      <w:u w:val="single"/>
    </w:rPr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BodyText">
    <w:name w:val="Body Text"/>
    <w:basedOn w:val="LO-Normal"/>
    <w:pPr>
      <w:spacing w:after="120"/>
      <w:jc w:val="both"/>
    </w:pPr>
  </w:style>
  <w:style w:type="paragraph" w:customStyle="1" w:styleId="LO-Normal">
    <w:name w:val="LO-Normal"/>
    <w:qFormat/>
    <w:pPr>
      <w:suppressAutoHyphens/>
      <w:spacing w:after="160" w:line="242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NREPUBLIQUE">
    <w:name w:val="SNREPUBLIQUE"/>
    <w:basedOn w:val="LO-Normal"/>
    <w:qFormat/>
    <w:pPr>
      <w:jc w:val="center"/>
    </w:pPr>
    <w:rPr>
      <w:b/>
      <w:bCs/>
      <w:szCs w:val="20"/>
    </w:rPr>
  </w:style>
  <w:style w:type="paragraph" w:customStyle="1" w:styleId="puce1">
    <w:name w:val="puce1"/>
    <w:basedOn w:val="LO-Normal"/>
    <w:qFormat/>
    <w:pPr>
      <w:widowControl w:val="0"/>
      <w:tabs>
        <w:tab w:val="left" w:pos="0"/>
      </w:tabs>
      <w:spacing w:before="240" w:after="0"/>
      <w:ind w:left="1429" w:hanging="360"/>
    </w:pPr>
    <w:rPr>
      <w:rFonts w:eastAsia="Lucida Sans Unicode"/>
    </w:rPr>
  </w:style>
  <w:style w:type="paragraph" w:customStyle="1" w:styleId="puce2">
    <w:name w:val="puce2"/>
    <w:basedOn w:val="LO-Normal"/>
    <w:qFormat/>
    <w:pPr>
      <w:widowControl w:val="0"/>
      <w:tabs>
        <w:tab w:val="left" w:pos="0"/>
      </w:tabs>
      <w:spacing w:before="240" w:after="0"/>
      <w:ind w:left="2149" w:hanging="360"/>
    </w:pPr>
    <w:rPr>
      <w:rFonts w:eastAsia="Lucida Sans Unicode"/>
    </w:rPr>
  </w:style>
  <w:style w:type="paragraph" w:customStyle="1" w:styleId="puce3">
    <w:name w:val="puce3"/>
    <w:basedOn w:val="LO-Normal"/>
    <w:qFormat/>
    <w:pPr>
      <w:widowControl w:val="0"/>
      <w:tabs>
        <w:tab w:val="left" w:pos="0"/>
      </w:tabs>
      <w:spacing w:before="240" w:after="0"/>
      <w:ind w:left="2869" w:hanging="360"/>
    </w:pPr>
    <w:rPr>
      <w:rFonts w:eastAsia="Lucida Sans Unicode"/>
    </w:rPr>
  </w:style>
  <w:style w:type="paragraph" w:customStyle="1" w:styleId="num1">
    <w:name w:val="num1"/>
    <w:basedOn w:val="LO-Normal"/>
    <w:qFormat/>
    <w:pPr>
      <w:widowControl w:val="0"/>
      <w:tabs>
        <w:tab w:val="left" w:pos="0"/>
      </w:tabs>
      <w:spacing w:before="240" w:after="0"/>
      <w:ind w:left="1429" w:hanging="360"/>
    </w:pPr>
    <w:rPr>
      <w:rFonts w:eastAsia="Lucida Sans Unicode"/>
    </w:rPr>
  </w:style>
  <w:style w:type="paragraph" w:customStyle="1" w:styleId="num2">
    <w:name w:val="num2"/>
    <w:basedOn w:val="LO-Normal"/>
    <w:qFormat/>
    <w:pPr>
      <w:widowControl w:val="0"/>
      <w:tabs>
        <w:tab w:val="left" w:pos="0"/>
      </w:tabs>
      <w:spacing w:before="240" w:after="0"/>
      <w:ind w:left="2149" w:hanging="360"/>
    </w:pPr>
    <w:rPr>
      <w:rFonts w:eastAsia="Lucida Sans Unicode"/>
    </w:rPr>
  </w:style>
  <w:style w:type="paragraph" w:customStyle="1" w:styleId="num3">
    <w:name w:val="num3"/>
    <w:basedOn w:val="LO-Normal"/>
    <w:qFormat/>
    <w:pPr>
      <w:widowControl w:val="0"/>
      <w:tabs>
        <w:tab w:val="left" w:pos="0"/>
      </w:tabs>
      <w:spacing w:before="240" w:after="0"/>
      <w:ind w:left="2869" w:hanging="180"/>
    </w:pPr>
    <w:rPr>
      <w:rFonts w:eastAsia="Lucida Sans Unicode"/>
    </w:rPr>
  </w:style>
  <w:style w:type="paragraph" w:customStyle="1" w:styleId="SNConsultation">
    <w:name w:val="SNConsultation"/>
    <w:basedOn w:val="LO-Normal"/>
    <w:autoRedefine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LO-Normal"/>
    <w:next w:val="SNtitre"/>
    <w:autoRedefine/>
    <w:qFormat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LO-Normal"/>
    <w:next w:val="SNNORCentr"/>
    <w:autoRedefine/>
    <w:qFormat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qFormat/>
    <w:pPr>
      <w:suppressAutoHyphens/>
      <w:jc w:val="center"/>
    </w:pPr>
    <w:rPr>
      <w:bCs/>
      <w:sz w:val="24"/>
    </w:rPr>
  </w:style>
  <w:style w:type="paragraph" w:customStyle="1" w:styleId="SNAutorit">
    <w:name w:val="SNAutorité"/>
    <w:basedOn w:val="LO-Normal"/>
    <w:autoRedefine/>
    <w:qFormat/>
    <w:pPr>
      <w:spacing w:before="100" w:after="100"/>
      <w:ind w:firstLine="720"/>
      <w:jc w:val="both"/>
    </w:pPr>
  </w:style>
  <w:style w:type="paragraph" w:customStyle="1" w:styleId="SNSignatureprnomnomDroite">
    <w:name w:val="SNSignature prénom+nom Droite"/>
    <w:basedOn w:val="SNSignatureDroite"/>
    <w:next w:val="SNSignatureGauche"/>
    <w:qFormat/>
    <w:pPr>
      <w:spacing w:before="0" w:after="120"/>
      <w:ind w:left="5041"/>
    </w:pPr>
  </w:style>
  <w:style w:type="paragraph" w:customStyle="1" w:styleId="SNSignatureDroite">
    <w:name w:val="SNSignatureDroite"/>
    <w:basedOn w:val="LO-Normal"/>
    <w:next w:val="SNSignatureprnomnomDroite"/>
    <w:autoRedefine/>
    <w:qFormat/>
    <w:pPr>
      <w:spacing w:before="120" w:after="1680"/>
      <w:ind w:left="5040"/>
      <w:jc w:val="right"/>
    </w:pPr>
    <w:rPr>
      <w:color w:val="000000"/>
    </w:rPr>
  </w:style>
  <w:style w:type="paragraph" w:customStyle="1" w:styleId="SNSignatureGauche">
    <w:name w:val="SNSignatureGauche"/>
    <w:basedOn w:val="LO-Normal"/>
    <w:next w:val="SNSignatureprnomnomGauche"/>
    <w:autoRedefine/>
    <w:qFormat/>
    <w:pPr>
      <w:spacing w:before="120" w:after="1680"/>
      <w:ind w:left="720" w:right="4494"/>
    </w:pPr>
  </w:style>
  <w:style w:type="paragraph" w:customStyle="1" w:styleId="SNSignatureprnomnomGauche">
    <w:name w:val="SNSignature prénom+nom Gauche"/>
    <w:basedOn w:val="SNSignatureGauche"/>
    <w:next w:val="SNSignatureDroite"/>
    <w:qFormat/>
    <w:pPr>
      <w:spacing w:before="0" w:after="120"/>
    </w:pPr>
    <w:rPr>
      <w:color w:val="000000"/>
    </w:rPr>
  </w:style>
  <w:style w:type="paragraph" w:customStyle="1" w:styleId="SNTimbre">
    <w:name w:val="SNTimbre"/>
    <w:basedOn w:val="LO-Normal"/>
    <w:autoRedefine/>
    <w:qFormat/>
    <w:pPr>
      <w:widowControl w:val="0"/>
      <w:snapToGrid w:val="0"/>
      <w:spacing w:before="120" w:after="0"/>
      <w:jc w:val="center"/>
    </w:pPr>
    <w:rPr>
      <w:rFonts w:eastAsia="Lucida Sans Unicode"/>
    </w:rPr>
  </w:style>
  <w:style w:type="paragraph" w:customStyle="1" w:styleId="SNRapport">
    <w:name w:val="SNRapport"/>
    <w:basedOn w:val="LO-Normal"/>
    <w:autoRedefine/>
    <w:qFormat/>
    <w:pPr>
      <w:spacing w:before="240" w:after="120"/>
      <w:ind w:firstLine="720"/>
    </w:pPr>
  </w:style>
  <w:style w:type="paragraph" w:customStyle="1" w:styleId="SNVisa">
    <w:name w:val="SNVisa"/>
    <w:basedOn w:val="LO-Normal"/>
    <w:autoRedefine/>
    <w:qFormat/>
    <w:pPr>
      <w:spacing w:before="120" w:after="120"/>
      <w:ind w:firstLine="720"/>
      <w:jc w:val="both"/>
    </w:pPr>
  </w:style>
  <w:style w:type="paragraph" w:customStyle="1" w:styleId="SNDate">
    <w:name w:val="SNDate"/>
    <w:basedOn w:val="LO-Normal"/>
    <w:next w:val="SNContreseing"/>
    <w:autoRedefine/>
    <w:qFormat/>
    <w:pPr>
      <w:spacing w:before="480" w:after="2760"/>
      <w:ind w:firstLine="720"/>
    </w:pPr>
  </w:style>
  <w:style w:type="paragraph" w:customStyle="1" w:styleId="SNContreseing">
    <w:name w:val="SNContreseing"/>
    <w:basedOn w:val="LO-Normal"/>
    <w:next w:val="SNSignatureGauche"/>
    <w:autoRedefine/>
    <w:qFormat/>
    <w:pPr>
      <w:spacing w:before="480" w:after="0"/>
      <w:ind w:firstLine="720"/>
    </w:pPr>
  </w:style>
  <w:style w:type="paragraph" w:customStyle="1" w:styleId="SNActe">
    <w:name w:val="SNActe"/>
    <w:basedOn w:val="LO-Normal"/>
    <w:autoRedefine/>
    <w:qFormat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LO-Normal"/>
    <w:next w:val="BodyText"/>
    <w:autoRedefine/>
    <w:qFormat/>
    <w:pPr>
      <w:spacing w:before="240" w:after="240"/>
      <w:jc w:val="center"/>
    </w:pPr>
    <w:rPr>
      <w:b/>
    </w:rPr>
  </w:style>
  <w:style w:type="paragraph" w:customStyle="1" w:styleId="SNConsidrant">
    <w:name w:val="SNConsidérant"/>
    <w:basedOn w:val="LO-Normal"/>
    <w:autoRedefine/>
    <w:qFormat/>
    <w:pPr>
      <w:ind w:firstLine="720"/>
    </w:pPr>
  </w:style>
  <w:style w:type="paragraph" w:customStyle="1" w:styleId="SNConsultationCE">
    <w:name w:val="SNConsultationCE"/>
    <w:basedOn w:val="SNConsultation"/>
    <w:autoRedefine/>
    <w:qFormat/>
  </w:style>
  <w:style w:type="paragraph" w:customStyle="1" w:styleId="SNConsultationCM">
    <w:name w:val="SNConsultationCM"/>
    <w:basedOn w:val="SNConsultation"/>
    <w:autoRedefine/>
    <w:qFormat/>
  </w:style>
  <w:style w:type="paragraph" w:customStyle="1" w:styleId="SNDirection">
    <w:name w:val="SNDirection"/>
    <w:basedOn w:val="LO-Normal"/>
    <w:autoRedefine/>
    <w:qFormat/>
    <w:pPr>
      <w:spacing w:before="720" w:after="0"/>
      <w:jc w:val="center"/>
    </w:pPr>
    <w:rPr>
      <w:b/>
    </w:rPr>
  </w:style>
  <w:style w:type="paragraph" w:customStyle="1" w:styleId="SNIntitul">
    <w:name w:val="SNIntitulé"/>
    <w:basedOn w:val="LO-Normal"/>
    <w:autoRedefine/>
    <w:qFormat/>
    <w:pPr>
      <w:jc w:val="center"/>
    </w:pPr>
  </w:style>
  <w:style w:type="paragraph" w:customStyle="1" w:styleId="SNTitreRapport">
    <w:name w:val="SNTitreRapport"/>
    <w:basedOn w:val="SNActe"/>
    <w:autoRedefine/>
    <w:qFormat/>
  </w:style>
  <w:style w:type="paragraph" w:customStyle="1" w:styleId="SNRfrence">
    <w:name w:val="SNRéférence"/>
    <w:basedOn w:val="LO-Normal"/>
    <w:autoRedefine/>
    <w:qFormat/>
  </w:style>
  <w:style w:type="paragraph" w:customStyle="1" w:styleId="Textedebulles">
    <w:name w:val="Texte de bulles"/>
    <w:basedOn w:val="LO-Normal"/>
    <w:qFormat/>
    <w:rPr>
      <w:rFonts w:ascii="Tahoma" w:eastAsia="Tahoma" w:hAnsi="Tahoma" w:cs="Tahoma"/>
      <w:sz w:val="16"/>
      <w:szCs w:val="16"/>
    </w:rPr>
  </w:style>
  <w:style w:type="paragraph" w:customStyle="1" w:styleId="TITRE1OBJET">
    <w:name w:val="TITRE 1 OBJET"/>
    <w:basedOn w:val="Heading1"/>
    <w:next w:val="LO-Normal"/>
    <w:qFormat/>
    <w:pPr>
      <w:numPr>
        <w:numId w:val="0"/>
      </w:numPr>
      <w:spacing w:before="0" w:after="120"/>
    </w:pPr>
    <w:rPr>
      <w:b/>
    </w:rPr>
  </w:style>
  <w:style w:type="paragraph" w:customStyle="1" w:styleId="Titre2objet">
    <w:name w:val="Titre 2 objet"/>
    <w:basedOn w:val="Heading2"/>
    <w:next w:val="LO-Normal"/>
    <w:qFormat/>
    <w:pPr>
      <w:numPr>
        <w:ilvl w:val="0"/>
        <w:numId w:val="0"/>
      </w:numPr>
      <w:spacing w:before="0" w:after="120"/>
    </w:pPr>
    <w:rPr>
      <w:b/>
    </w:rPr>
  </w:style>
  <w:style w:type="paragraph" w:customStyle="1" w:styleId="titre3objet">
    <w:name w:val="titre 3 objet"/>
    <w:basedOn w:val="Heading3"/>
    <w:next w:val="LO-Normal"/>
    <w:qFormat/>
    <w:pPr>
      <w:numPr>
        <w:ilvl w:val="0"/>
        <w:numId w:val="0"/>
      </w:numPr>
      <w:spacing w:before="0"/>
    </w:pPr>
    <w:rPr>
      <w:b/>
      <w:szCs w:val="24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LO-Normal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rpsdetexte">
    <w:name w:val="corps de texte"/>
    <w:basedOn w:val="LO-Normal"/>
    <w:qFormat/>
    <w:pPr>
      <w:spacing w:after="240"/>
      <w:ind w:firstLine="709"/>
      <w:jc w:val="both"/>
    </w:pPr>
  </w:style>
  <w:style w:type="paragraph" w:customStyle="1" w:styleId="Commentaire">
    <w:name w:val="Commentaire"/>
    <w:basedOn w:val="LO-Normal"/>
    <w:qFormat/>
    <w:rPr>
      <w:sz w:val="20"/>
      <w:szCs w:val="20"/>
    </w:rPr>
  </w:style>
  <w:style w:type="paragraph" w:customStyle="1" w:styleId="Paragraphedeliste">
    <w:name w:val="Paragraphe de liste"/>
    <w:basedOn w:val="LO-Normal"/>
    <w:qFormat/>
    <w:pPr>
      <w:ind w:left="720"/>
    </w:pPr>
  </w:style>
  <w:style w:type="paragraph" w:customStyle="1" w:styleId="Objetducommentaire">
    <w:name w:val="Objet du commentaire"/>
    <w:basedOn w:val="Commentaire"/>
    <w:next w:val="Commentaire"/>
    <w:qFormat/>
    <w:rPr>
      <w:b/>
      <w:bCs/>
    </w:rPr>
  </w:style>
  <w:style w:type="paragraph" w:customStyle="1" w:styleId="Citationintense">
    <w:name w:val="Citation intense"/>
    <w:basedOn w:val="LO-Normal"/>
    <w:next w:val="LO-Normal"/>
    <w:qFormat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paragraph" w:customStyle="1" w:styleId="Rvision">
    <w:name w:val="Révision"/>
    <w:qFormat/>
    <w:pPr>
      <w:suppressAutoHyphens/>
    </w:pPr>
    <w:rPr>
      <w:sz w:val="24"/>
      <w:szCs w:val="24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DocumentMap">
    <w:name w:val="DocumentMap"/>
    <w:qFormat/>
    <w:pPr>
      <w:textAlignment w:val="auto"/>
    </w:pPr>
  </w:style>
  <w:style w:type="paragraph" w:styleId="Footer">
    <w:name w:val="footer"/>
    <w:basedOn w:val="Normal"/>
    <w:link w:val="FooterChar"/>
    <w:uiPriority w:val="99"/>
    <w:unhideWhenUsed/>
    <w:rsid w:val="00451E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gifrance.gouv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/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CHAUVELOT-RATTIER Raphaël (3A)</dc:creator>
  <dc:description/>
  <cp:lastModifiedBy>DENEVA, Vaska</cp:lastModifiedBy>
  <cp:revision>5</cp:revision>
  <cp:lastPrinted>2011-01-06T11:21:00Z</cp:lastPrinted>
  <dcterms:created xsi:type="dcterms:W3CDTF">2020-10-28T14:37:00Z</dcterms:created>
  <dcterms:modified xsi:type="dcterms:W3CDTF">2021-01-28T09:00:00Z</dcterms:modified>
  <dc:language>fr-FR</dc:language>
</cp:coreProperties>
</file>