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 xml:space="preserve">1.</w:t>
      </w:r>
      <w:r>
        <w:rPr>
          <w:rFonts w:ascii="Courier New" w:hAnsi="Courier New"/>
        </w:rPr>
        <w:t xml:space="preserve"> </w:t>
      </w:r>
      <w:r>
        <w:rPr>
          <w:rFonts w:ascii="Courier New" w:hAnsi="Courier New"/>
        </w:rPr>
        <w:t xml:space="preserve">------IND- 2021 0030 F-- LV- ------ 20210129 --- --- PROJET</w:t>
      </w:r>
    </w:p>
    <w:p w:rsidR="006D1B38" w:rsidRDefault="00BE4644" w:rsidP="00532188">
      <w:pPr>
        <w:pStyle w:val="LO-Normal"/>
        <w:ind w:left="6372"/>
      </w:pPr>
      <w:r>
        <w:t xml:space="preserve">2020. gada 18. novembra redakcija</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 xml:space="preserve">FRANCIJAS REPUBLIKA</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 xml:space="preserve">Ekonomikas, finanšu un atveseļošanas ministrija</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 xml:space="preserve">2020. gada [datums] Dekrēts</w:t>
      </w:r>
      <w:r>
        <w:t xml:space="preserve"> Nr. 2020-[numurs]</w:t>
      </w:r>
    </w:p>
    <w:p w:rsidR="006D1B38" w:rsidRDefault="00BE4644" w:rsidP="00532188">
      <w:pPr>
        <w:pStyle w:val="SNtitre"/>
        <w:widowControl/>
      </w:pPr>
      <w:r>
        <w:t xml:space="preserve">par terminu “pārpakots” un “pārpakota prece” lietošanas nosacījumiem</w:t>
      </w:r>
    </w:p>
    <w:p w:rsidR="006D1B38" w:rsidRDefault="00BE4644" w:rsidP="00532188">
      <w:pPr>
        <w:pStyle w:val="SNNORCentr"/>
      </w:pPr>
      <w:r>
        <w:rPr>
          <w:i/>
          <w:iCs/>
        </w:rPr>
        <w:t xml:space="preserve">NOR</w:t>
      </w:r>
      <w:r>
        <w:t xml:space="preserve">:</w:t>
      </w:r>
      <w:r>
        <w:t xml:space="preserve"> </w:t>
      </w:r>
      <w:r>
        <w:t xml:space="preserve">[…]</w:t>
      </w:r>
    </w:p>
    <w:p w:rsidR="006D1B38" w:rsidRDefault="00BE4644" w:rsidP="00C85968">
      <w:pPr>
        <w:pStyle w:val="SNAutorit"/>
      </w:pPr>
      <w:r>
        <w:rPr>
          <w:rStyle w:val="Policepardfaut"/>
          <w:i/>
          <w:b/>
        </w:rPr>
        <w:t xml:space="preserve">Mērķauditorija:</w:t>
      </w:r>
      <w:r>
        <w:rPr>
          <w:rStyle w:val="Policepardfaut"/>
          <w:i/>
        </w:rPr>
        <w:t xml:space="preserve"> </w:t>
      </w:r>
      <w:r>
        <w:rPr>
          <w:rStyle w:val="Policepardfaut"/>
          <w:i/>
        </w:rPr>
        <w:t xml:space="preserve">tirgū laistu preču pārdevēji, tostarp tādi pārdevēji, kas preces piedāvā pārdošanai, izmantojot tiešsaistes saskarni.</w:t>
      </w:r>
    </w:p>
    <w:p w:rsidR="006D1B38" w:rsidRDefault="00BE4644" w:rsidP="00C85968">
      <w:pPr>
        <w:pStyle w:val="SNAutorit"/>
      </w:pPr>
      <w:r>
        <w:rPr>
          <w:rStyle w:val="Policepardfaut"/>
          <w:i/>
          <w:b/>
        </w:rPr>
        <w:t xml:space="preserve">Priekšmets:</w:t>
      </w:r>
      <w:r>
        <w:rPr>
          <w:rStyle w:val="Policepardfaut"/>
          <w:i/>
        </w:rPr>
        <w:t xml:space="preserve"> </w:t>
      </w:r>
      <w:r>
        <w:rPr>
          <w:rStyle w:val="Policepardfaut"/>
          <w:i/>
        </w:rPr>
        <w:t xml:space="preserve">terminu “pārpakots” un “pārpakota prece” lietošanas nosacījumi.</w:t>
      </w:r>
    </w:p>
    <w:p w:rsidR="006D1B38" w:rsidRDefault="00BE4644" w:rsidP="00C85968">
      <w:pPr>
        <w:pStyle w:val="SNAutorit"/>
      </w:pPr>
      <w:r>
        <w:rPr>
          <w:rStyle w:val="Policepardfaut"/>
          <w:i/>
          <w:b/>
        </w:rPr>
        <w:t xml:space="preserve">Spēkā stāšanās datums:</w:t>
      </w:r>
      <w:r>
        <w:rPr>
          <w:rStyle w:val="Policepardfaut"/>
          <w:i/>
        </w:rPr>
        <w:t xml:space="preserve"> </w:t>
      </w:r>
    </w:p>
    <w:p w:rsidR="006D1B38" w:rsidRDefault="00BE4644" w:rsidP="00C85968">
      <w:pPr>
        <w:pStyle w:val="SNAutorit"/>
      </w:pPr>
      <w:r>
        <w:rPr>
          <w:rStyle w:val="Policepardfaut"/>
          <w:i/>
          <w:b/>
        </w:rPr>
        <w:t xml:space="preserve">Īss apraksts:</w:t>
      </w:r>
      <w:r>
        <w:rPr>
          <w:rStyle w:val="Policepardfaut"/>
          <w:i/>
        </w:rPr>
        <w:t xml:space="preserve"> </w:t>
      </w:r>
      <w:r>
        <w:rPr>
          <w:rStyle w:val="Policepardfaut"/>
          <w:i/>
        </w:rPr>
        <w:t xml:space="preserve">šis dekrēts nosaka piemērošanas nosacījumus Patēriņa kodeksa L. 122-21-1. pantam, kas paredz terminu “pārpakots” un “pārpakota prece” lietošanas tiesisko regulējumu.</w:t>
      </w:r>
      <w:r>
        <w:rPr>
          <w:rStyle w:val="Policepardfaut"/>
          <w:i/>
        </w:rPr>
        <w:t xml:space="preserve"> </w:t>
      </w:r>
      <w:r>
        <w:rPr>
          <w:rStyle w:val="Policepardfaut"/>
          <w:i/>
        </w:rPr>
        <w:t xml:space="preserve">Tas ļauj lietot šos apzīmējumus attiecībā uz lietotām precēm un paredz nosacījumus, saskaņā ar kuriem tos var lietot; tas prasa veikt pārbaudes vai pat vienu vai vairākus tehniskus pasākumus, kas ļauj nodrošināt preces drošību un funkcionalitāti.</w:t>
      </w:r>
      <w:r>
        <w:rPr>
          <w:rStyle w:val="Policepardfaut"/>
          <w:i/>
        </w:rPr>
        <w:t xml:space="preserve"> </w:t>
      </w:r>
      <w:r>
        <w:rPr>
          <w:rStyle w:val="Policepardfaut"/>
          <w:i/>
        </w:rPr>
        <w:t xml:space="preserve">Šāds tehnisks pasākums vai pasākumi, ko veic attiecībā uz preci, veido tās neatņemamu iezīmi. Turklāt, lai novērstu patērētāju maldināšanu par pārpakotas preces īpašībām, šis dekrēts aizliedz jebkādas atsauces uz jaunu preci un ļauj lietot apzīmējumu “pārpakots Francijā” tikai tad, ja pārpakošanas darbības tiek pilnībā veiktas valsts teritorijā.</w:t>
      </w:r>
      <w:r>
        <w:rPr>
          <w:rStyle w:val="Policepardfaut"/>
          <w:i/>
        </w:rPr>
        <w:t xml:space="preserve"> </w:t>
      </w:r>
      <w:r>
        <w:rPr>
          <w:rStyle w:val="Policepardfaut"/>
          <w:i/>
        </w:rPr>
        <w:t xml:space="preserve">Šie noteikumi attiecas arī uz rezerves daļām.</w:t>
      </w:r>
    </w:p>
    <w:p w:rsidR="006D1B38" w:rsidRPr="003114B3" w:rsidRDefault="00BE4644" w:rsidP="00C85968">
      <w:pPr>
        <w:pStyle w:val="SNAutorit"/>
        <w:rPr>
          <w:rStyle w:val="Policepardfaut"/>
          <w:i/>
        </w:rPr>
      </w:pPr>
      <w:r>
        <w:rPr>
          <w:rStyle w:val="Policepardfaut"/>
          <w:i/>
          <w:b/>
        </w:rPr>
        <w:t xml:space="preserve">Atsauce:</w:t>
      </w:r>
      <w:r>
        <w:rPr>
          <w:rStyle w:val="Policepardfaut"/>
          <w:i/>
        </w:rPr>
        <w:t xml:space="preserve"> </w:t>
      </w:r>
      <w:r>
        <w:rPr>
          <w:rStyle w:val="Policepardfaut"/>
          <w:i/>
        </w:rPr>
        <w:t xml:space="preserve">šis dekrēts būs pieejams tīmekļa vietnē Légifrance (</w:t>
      </w:r>
      <w:hyperlink r:id="rId7" w:tgtFrame="_top">
        <w:r>
          <w:rPr>
            <w:rStyle w:val="Policepardfaut"/>
            <w:b/>
            <w:i/>
          </w:rPr>
          <w:t xml:space="preserve">http://www.legifrance.gouv.fr</w:t>
        </w:r>
      </w:hyperlink>
      <w:r>
        <w:rPr>
          <w:rStyle w:val="Policepardfaut"/>
          <w:i/>
        </w:rPr>
        <w:t xml:space="preserve">).</w:t>
      </w:r>
    </w:p>
    <w:p w:rsidR="003114B3" w:rsidRDefault="003114B3" w:rsidP="00C85968">
      <w:pPr>
        <w:pStyle w:val="SNAutorit"/>
        <w:rPr>
          <w:b/>
        </w:rPr>
      </w:pPr>
    </w:p>
    <w:p w:rsidR="006D1B38" w:rsidRDefault="00BE4644" w:rsidP="00C85968">
      <w:pPr>
        <w:pStyle w:val="SNAutorit"/>
        <w:rPr>
          <w:b/>
        </w:rPr>
      </w:pPr>
      <w:r>
        <w:rPr>
          <w:b/>
        </w:rPr>
        <w:t xml:space="preserve">Premjerministrs,</w:t>
      </w:r>
    </w:p>
    <w:p w:rsidR="006D1B38" w:rsidRDefault="00BE4644" w:rsidP="00C85968">
      <w:pPr>
        <w:pStyle w:val="SNRapport"/>
      </w:pPr>
      <w:r>
        <w:t xml:space="preserve">pamatojoties uz ekonomikas, finanšu un atveseļošanas ministra ziņojumu,</w:t>
      </w:r>
    </w:p>
    <w:p w:rsidR="006D1B38" w:rsidRDefault="00BE4644" w:rsidP="00C85968">
      <w:pPr>
        <w:pStyle w:val="SNVisa"/>
      </w:pPr>
      <w:r>
        <w:t xml:space="preserve">ņemot vērā Eiropas Parlamenta un Padomes 2016. gada 27. aprīļa Regulu (ES) 2016/679 par fizisku personu aizsardzību attiecībā uz personas datu apstrādi un šādu datu brīvu apriti un ar ko atceļ Direktīvu 95/46/EK (Vispārīgo datu aizsardzības regulu),</w:t>
      </w:r>
    </w:p>
    <w:p w:rsidR="006D1B38" w:rsidRDefault="00BE4644" w:rsidP="00C85968">
      <w:pPr>
        <w:ind w:firstLine="720"/>
        <w:rPr>
          <w:sz w:val="22"/>
          <w:szCs w:val="22"/>
          <w:rFonts w:ascii="Calibri" w:eastAsia="Calibri" w:hAnsi="Calibri" w:cs="Calibri"/>
        </w:rPr>
      </w:pPr>
      <w:r>
        <w:rPr>
          <w:sz w:val="22"/>
          <w:rFonts w:ascii="Calibri" w:hAnsi="Calibri"/>
        </w:rPr>
        <w:t xml:space="preserve">ņemot vērā Eiropas Parlamenta un Padomes 2015. gada 9. septembra Direktīvu (ES) 2015/1535, ar ko nosaka informācijas sniegšanas kārtību tehnisko noteikumu un Informācijas sabiedrības pakalpojumu noteikumu jomā (kodificēta redakcija), un jo īpaši paziņojumu Nr. [gads]/XXX/F,</w:t>
      </w:r>
    </w:p>
    <w:p w:rsidR="006D1B38" w:rsidRDefault="00BE4644" w:rsidP="00C85968">
      <w:pPr>
        <w:pStyle w:val="SNVisa"/>
      </w:pPr>
      <w:r>
        <w:t xml:space="preserve">ņemot vērā Komerckodeksu, jo īpaši tā L. 321-1. pantu,</w:t>
      </w:r>
    </w:p>
    <w:p w:rsidR="006D1B38" w:rsidRDefault="00BE4644" w:rsidP="00C85968">
      <w:pPr>
        <w:pStyle w:val="SNVisa"/>
      </w:pPr>
      <w:r>
        <w:t xml:space="preserve">ņemot vērā Patēriņa kodeksu, jo īpaši tā L. 122-21-1. pantu redakcijā, kas izriet no 2020. gada 10. februāra Likuma Nr. 2020-105 par cīņu pret izšķērdēšanu un par aprites ekonomiku 37. panta,</w:t>
      </w:r>
    </w:p>
    <w:p w:rsidR="006D1B38" w:rsidRDefault="00BE4644" w:rsidP="00C85968">
      <w:pPr>
        <w:pStyle w:val="LO-Normal"/>
        <w:spacing w:before="100" w:after="100"/>
        <w:ind w:firstLine="720"/>
        <w:jc w:val="both"/>
      </w:pPr>
      <w:r>
        <w:t xml:space="preserve">ņemot vērā grozīto 1978. gada 6. janvāra Likumu Nr. 78–17 par informātiku, datnēm un brīvībām,</w:t>
      </w:r>
    </w:p>
    <w:p w:rsidR="006D1B38" w:rsidRDefault="00BE4644" w:rsidP="00C85968">
      <w:pPr>
        <w:pStyle w:val="SNVisa"/>
      </w:pPr>
      <w:r>
        <w:t xml:space="preserve">uzklausījis Valsts padomi (Finanšu nodaļu),</w:t>
      </w:r>
    </w:p>
    <w:p w:rsidR="006D1B38" w:rsidRDefault="00BE4644" w:rsidP="00532188">
      <w:pPr>
        <w:pStyle w:val="SNActe"/>
      </w:pPr>
      <w:r>
        <w:t xml:space="preserve">izdod šādu dekrētu.</w:t>
      </w:r>
    </w:p>
    <w:p w:rsidR="006D1B38" w:rsidRDefault="00BE4644" w:rsidP="00532188">
      <w:pPr>
        <w:pStyle w:val="SNArticle"/>
        <w:keepNext/>
        <w:keepLines/>
      </w:pPr>
      <w:r>
        <w:t xml:space="preserve">1. pants</w:t>
      </w:r>
    </w:p>
    <w:p w:rsidR="006D1B38" w:rsidRDefault="00BE4644" w:rsidP="00532188">
      <w:pPr>
        <w:pStyle w:val="BodyText"/>
      </w:pPr>
      <w:r>
        <w:t xml:space="preserve">Patēriņa kodeksa I sējuma II sadaļas II nodaļu groza šādi:</w:t>
      </w:r>
    </w:p>
    <w:p w:rsidR="006D1B38" w:rsidRDefault="00BE4644" w:rsidP="00532188">
      <w:pPr>
        <w:pStyle w:val="BodyText"/>
      </w:pPr>
      <w:r>
        <w:t xml:space="preserve">1) nodaļas vienīgo iedaļu pārnumurē par 1. iedaļu;</w:t>
      </w:r>
    </w:p>
    <w:p w:rsidR="006D1B38" w:rsidRDefault="00BE4644" w:rsidP="00532188">
      <w:pPr>
        <w:pStyle w:val="BodyText"/>
      </w:pPr>
      <w:r>
        <w:t xml:space="preserve">2) nodaļu papildina ar šādu 2. iedaļu:</w:t>
      </w:r>
    </w:p>
    <w:p w:rsidR="006D1B38" w:rsidRDefault="00BE4644" w:rsidP="00532188">
      <w:pPr>
        <w:pStyle w:val="BodyText"/>
        <w:keepNext/>
        <w:keepLines/>
        <w:jc w:val="center"/>
      </w:pPr>
      <w:r>
        <w:t xml:space="preserve">“2. iedaļa</w:t>
      </w:r>
    </w:p>
    <w:p w:rsidR="006D1B38" w:rsidRDefault="00BE4644" w:rsidP="00532188">
      <w:pPr>
        <w:pStyle w:val="BodyText"/>
        <w:keepNext/>
        <w:keepLines/>
        <w:jc w:val="center"/>
      </w:pPr>
      <w:r>
        <w:t xml:space="preserve">Terminu “pārpakots” un “pārpakota prece” lietošana</w:t>
      </w:r>
    </w:p>
    <w:p w:rsidR="006D1B38" w:rsidRDefault="00BE4644" w:rsidP="00532188">
      <w:pPr>
        <w:pStyle w:val="BodyText"/>
        <w:spacing w:before="100" w:after="100"/>
      </w:pPr>
      <w:r>
        <w:rPr>
          <w:i/>
          <w:iCs/>
        </w:rPr>
        <w:t xml:space="preserve">R. 122-4. pants.</w:t>
      </w:r>
      <w:r>
        <w:t xml:space="preserve"> </w:t>
      </w:r>
      <w:r>
        <w:t xml:space="preserve">— Preci vai rezerves daļu var uzskatīt par “pārpakotu preci” vai uz to var attiecināt terminu “pārpakots”, ja ir izpildīti visi šeit minētie nosacījumi:</w:t>
      </w:r>
    </w:p>
    <w:p w:rsidR="006D1B38" w:rsidRDefault="00BE4644" w:rsidP="00532188">
      <w:pPr>
        <w:pStyle w:val="BodyText"/>
        <w:spacing w:before="100" w:after="100"/>
      </w:pPr>
      <w:r>
        <w:t xml:space="preserve">1) tai ir jābūt lietotai precei vai rezerves daļai Komerckodeksa L. 321-1. panta nozīmē, kurai ir veiktas pārbaudes, kas aptver visas tās funkcijas, lai pārliecinātos, ka prece vai rezerves daļa atbilst likumiskajām drošības prasībām un tādam lietojumam, ko patērētājs var likumīgi sagaidīt, kā arī, ja nepieciešams, viens vai vairāki tehniski pasākumi, ar ko tās funkcijas ir atjaunotas;</w:t>
      </w:r>
    </w:p>
    <w:p w:rsidR="006D1B38" w:rsidRDefault="00BE4644" w:rsidP="00532188">
      <w:pPr>
        <w:pStyle w:val="LO-Normal"/>
        <w:spacing w:before="100" w:after="100"/>
        <w:jc w:val="both"/>
      </w:pPr>
      <w:r>
        <w:t xml:space="preserve">2) ikreiz, kad tas ir nepieciešams, iepriekšējā punktā norādītais tehniskais pasākums vai pasākumi ietver visu tādu personas datu dzēšanu, kas ir reģistrēti vai saglabāti saistībā ar iepriekšējo lietošanu vai iepriekšējo lietotāju, ievērojot Eiropas Parlamenta un Padomes 2016. gada 27. aprīļa Regulas (ES) 2016/679 par fizisku personu aizsardzību attiecībā uz personas datu apstrādi un šādu datu brīvu apriti un 1978. gada 6. janvāra Likuma Nr. 78–17 par informātiku, datnēm un brīvībām noteikumus, it īpaši saistībā ar tiesībām uz personas datu atjaunošanu un pārnesamību.</w:t>
      </w:r>
    </w:p>
    <w:p w:rsidR="006D1B38" w:rsidRDefault="00BE4644" w:rsidP="00532188">
      <w:pPr>
        <w:pStyle w:val="LO-Normal"/>
        <w:spacing w:before="100" w:after="100"/>
        <w:jc w:val="both"/>
      </w:pPr>
      <w:r>
        <w:t xml:space="preserve">Komersantam, kurš piedāvā pārdošanai preci vai rezerves daļu, kas ir uzskatāma par “pārpakotu preci” vai uz ko ir attiecināts termins “pārpakots”, ir jāspēj pierādīt, ka šā panta iepriekšējās daļās paredzētās darbības ir veiktas.</w:t>
      </w:r>
    </w:p>
    <w:p w:rsidR="006D1B38" w:rsidRDefault="00BE4644" w:rsidP="00532188">
      <w:pPr>
        <w:pStyle w:val="BodyText"/>
        <w:spacing w:before="100" w:after="100"/>
      </w:pPr>
      <w:r>
        <w:rPr>
          <w:i/>
          <w:iCs/>
        </w:rPr>
        <w:t xml:space="preserve">R. 122-5. pants.</w:t>
      </w:r>
      <w:r>
        <w:t xml:space="preserve"> </w:t>
      </w:r>
      <w:r>
        <w:t xml:space="preserve">— Tehniskais pasākums vai pasākumi, ko veic attiecībā uz preci vai rezerves daļu un kas attaisno terminu “pārpakota prece”, “pārpakots” vai “pārpakots Francijā” lietošanu, veido preces vai rezerves daļas neatņemamu iezīmi.</w:t>
      </w:r>
    </w:p>
    <w:p w:rsidR="006D1B38" w:rsidRDefault="00BE4644" w:rsidP="00532188">
      <w:pPr>
        <w:pStyle w:val="BodyText"/>
        <w:spacing w:before="100" w:after="100"/>
      </w:pPr>
      <w:r>
        <w:rPr>
          <w:rStyle w:val="Policepardfaut"/>
          <w:i/>
        </w:rPr>
        <w:t xml:space="preserve">R. 122-6. pants.</w:t>
      </w:r>
      <w:r>
        <w:t xml:space="preserve"> </w:t>
      </w:r>
      <w:r>
        <w:t xml:space="preserve">— Attiecībā uz preci vai rezerves daļu, kas ir uzskatāma par “pārpakotu preci” vai uz ko ir attiecināta norāde “pārpakots”, nevar izmantot apzīmējumus “jaunas preces stāvoklis”, “kā jauns”, “jauns” vai jebkuru līdzīgu apzīmējumu.</w:t>
      </w:r>
    </w:p>
    <w:p w:rsidR="006D1B38" w:rsidRDefault="00BE4644" w:rsidP="00532188">
      <w:pPr>
        <w:pStyle w:val="BodyText"/>
        <w:spacing w:before="100" w:after="100"/>
      </w:pPr>
      <w:r>
        <w:rPr>
          <w:rStyle w:val="Policepardfaut"/>
          <w:i/>
        </w:rPr>
        <w:t xml:space="preserve">R. 122-7. pants.</w:t>
      </w:r>
      <w:r>
        <w:t xml:space="preserve"> </w:t>
      </w:r>
      <w:r>
        <w:t xml:space="preserve">— Norādes “pārpakots Francijā” lietošana ir atļauta attiecībā uz R. 122-4. pantā minētajām darbībām tikai tad, ja tās tiek pilnībā veiktas valsts teritorijā.”</w:t>
      </w:r>
    </w:p>
    <w:p w:rsidR="006D1B38" w:rsidRDefault="00BE4644" w:rsidP="00532188">
      <w:pPr>
        <w:pStyle w:val="BodyText"/>
        <w:keepNext/>
        <w:keepLines/>
        <w:spacing w:before="100" w:after="100" w:line="244" w:lineRule="auto"/>
        <w:jc w:val="center"/>
        <w:rPr>
          <w:b/>
        </w:rPr>
      </w:pPr>
      <w:r>
        <w:rPr>
          <w:b/>
        </w:rPr>
        <w:t xml:space="preserve">2. pants</w:t>
      </w:r>
    </w:p>
    <w:p w:rsidR="006D1B38" w:rsidRDefault="00BE4644" w:rsidP="00532188">
      <w:pPr>
        <w:pStyle w:val="BodyText"/>
        <w:spacing w:before="100" w:after="100" w:line="244" w:lineRule="auto"/>
      </w:pPr>
      <w:r>
        <w:t xml:space="preserve">Šis dekrēts stājas spēkā 2021. gada 1. aprīlī.</w:t>
      </w:r>
    </w:p>
    <w:p w:rsidR="006D1B38" w:rsidRDefault="00BE4644" w:rsidP="00532188">
      <w:pPr>
        <w:pStyle w:val="BodyText"/>
        <w:keepNext/>
        <w:keepLines/>
        <w:spacing w:before="100" w:after="100" w:line="244" w:lineRule="auto"/>
        <w:jc w:val="center"/>
        <w:rPr>
          <w:b/>
        </w:rPr>
      </w:pPr>
      <w:r>
        <w:rPr>
          <w:b/>
        </w:rPr>
        <w:t xml:space="preserve">3. pants</w:t>
      </w:r>
    </w:p>
    <w:p w:rsidR="006D1B38" w:rsidRDefault="00BE4644" w:rsidP="00532188">
      <w:pPr>
        <w:pStyle w:val="BodyText"/>
      </w:pPr>
      <w:r>
        <w:t xml:space="preserve">Par šā dekrēta īstenošanu katrs savā jomā atbild ekoloģiskas pārkārtošanas ministre un ekonomikas, finanšu un atveseļošanas ministrs, un dekrēts tiks publicēts </w:t>
      </w:r>
      <w:r>
        <w:rPr>
          <w:i/>
          <w:iCs/>
        </w:rPr>
        <w:t xml:space="preserve">Journal officiel de la République française</w:t>
      </w:r>
      <w:r>
        <w:t xml:space="preserve"> [Francijas Republikas oficiālajā vēstnesī].</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t xml:space="preserve">[Datums]</w:t>
      </w:r>
    </w:p>
    <w:p w:rsidR="006D1B38" w:rsidRDefault="00BE4644" w:rsidP="00532188">
      <w:pPr>
        <w:pStyle w:val="SNContreseing"/>
      </w:pPr>
      <w:r>
        <w:t xml:space="preserve">Premjerministra vārdā —</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 xml:space="preserve">ekoloģiskas pārkārtošanas ministre</w:t>
      </w:r>
    </w:p>
    <w:p w:rsidR="006D1B38" w:rsidRDefault="00BE4644" w:rsidP="00532188">
      <w:pPr>
        <w:pStyle w:val="LO-Normal"/>
        <w:spacing w:after="0" w:line="240" w:lineRule="auto"/>
        <w:rPr>
          <w:rFonts w:eastAsia="Times New Roman"/>
        </w:rPr>
      </w:pPr>
      <w:r>
        <w:rPr>
          <w:i/>
          <w:iCs/>
        </w:rPr>
        <w:t xml:space="preserve">Barbara POMPILI</w:t>
      </w:r>
    </w:p>
    <w:p w:rsidR="006D1B38" w:rsidRDefault="00BE4644" w:rsidP="00532188">
      <w:pPr>
        <w:pStyle w:val="LO-Normal"/>
        <w:keepNext/>
        <w:keepLines/>
        <w:spacing w:before="100" w:after="100" w:line="240" w:lineRule="auto"/>
        <w:ind w:left="5040"/>
        <w:rPr>
          <w:rFonts w:eastAsia="Times New Roman"/>
        </w:rPr>
      </w:pPr>
      <w:r>
        <w:t xml:space="preserve">ekonomikas, finanšu un atveseļošanas ministrs</w:t>
      </w:r>
    </w:p>
    <w:p w:rsidR="006D1B38" w:rsidRDefault="00BE4644" w:rsidP="00532188">
      <w:pPr>
        <w:pStyle w:val="LO-Normal"/>
        <w:spacing w:before="100" w:after="100" w:line="240" w:lineRule="auto"/>
        <w:ind w:left="5040"/>
        <w:rPr>
          <w:rFonts w:eastAsia="Times New Roman"/>
        </w:rPr>
      </w:pPr>
      <w:r>
        <w:rPr>
          <w:i/>
          <w:iCs/>
        </w:rPr>
        <w:t xml:space="preserve">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6B4" w:rsidRDefault="00F926B4" w:rsidP="00451EFE">
      <w:r>
        <w:separator/>
      </w:r>
    </w:p>
  </w:endnote>
  <w:endnote w:type="continuationSeparator" w:id="0">
    <w:p w:rsidR="00F926B4" w:rsidRDefault="00F926B4"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6B4" w:rsidRDefault="00F926B4" w:rsidP="00451EFE">
      <w:r>
        <w:separator/>
      </w:r>
    </w:p>
  </w:footnote>
  <w:footnote w:type="continuationSeparator" w:id="0">
    <w:p w:rsidR="00F926B4" w:rsidRDefault="00F926B4"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dirty"/>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2A4914"/>
    <w:rsid w:val="003114B3"/>
    <w:rsid w:val="00451EFE"/>
    <w:rsid w:val="00532188"/>
    <w:rsid w:val="00617575"/>
    <w:rsid w:val="0063400E"/>
    <w:rsid w:val="006D1B38"/>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A71C"/>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lv-LV" w:bidi="ar-SA"/>
    </w:rPr>
  </w:style>
  <w:style w:type="character" w:customStyle="1" w:styleId="SNDateCar">
    <w:name w:val="SNDate Car"/>
    <w:basedOn w:val="Policepardfaut"/>
    <w:qFormat/>
    <w:rPr>
      <w:sz w:val="24"/>
      <w:szCs w:val="24"/>
      <w:lang w:val="lv-LV" w:eastAsia="fr-FR" w:bidi="ar-SA"/>
    </w:rPr>
  </w:style>
  <w:style w:type="character" w:customStyle="1" w:styleId="SNArticleCar">
    <w:name w:val="SNArticle Car"/>
    <w:basedOn w:val="Policepardfaut"/>
    <w:qFormat/>
    <w:rPr>
      <w:b/>
      <w:sz w:val="24"/>
      <w:szCs w:val="24"/>
      <w:lang w:val="lv-LV"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Ke, Tingting</cp:lastModifiedBy>
  <cp:revision>4</cp:revision>
  <cp:lastPrinted>2011-01-06T11:21:00Z</cp:lastPrinted>
  <dcterms:created xsi:type="dcterms:W3CDTF">2020-10-28T14:37:00Z</dcterms:created>
  <dcterms:modified xsi:type="dcterms:W3CDTF">2021-01-22T08:38:00Z</dcterms:modified>
  <dc:language>fr-FR</dc:language>
</cp:coreProperties>
</file>