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8F0" w:rsidRPr="00583B72" w:rsidRDefault="004A68F0" w:rsidP="004A68F0">
      <w:pPr>
        <w:pStyle w:val="PlainText"/>
        <w:ind w:left="1418"/>
        <w:jc w:val="center"/>
        <w:rPr>
          <w:rStyle w:val="BodyTextChar"/>
          <w:rFonts w:ascii="Courier New" w:hAnsi="Courier New" w:cs="Courier New"/>
        </w:rPr>
      </w:pPr>
      <w:r w:rsidRPr="00583B72">
        <w:rPr>
          <w:rStyle w:val="BodyTextChar"/>
          <w:rFonts w:ascii="Courier New" w:hAnsi="Courier New"/>
        </w:rPr>
        <w:t>1. ------IND- 2018 0094 I-- RO- ------ 20180326 --- --- PROJET</w:t>
      </w:r>
    </w:p>
    <w:p w:rsidR="00952519" w:rsidRPr="00583B72" w:rsidRDefault="00952519" w:rsidP="00B310BB">
      <w:pPr>
        <w:jc w:val="center"/>
        <w:rPr>
          <w:rFonts w:ascii="Times New Roman" w:hAnsi="Times New Roman" w:cs="Times New Roman"/>
          <w:sz w:val="28"/>
          <w:szCs w:val="28"/>
        </w:rPr>
      </w:pPr>
      <w:r w:rsidRPr="00583B72">
        <w:rPr>
          <w:rFonts w:ascii="Times New Roman" w:hAnsi="Times New Roman"/>
          <w:sz w:val="28"/>
        </w:rPr>
        <w:t>DECRET</w:t>
      </w:r>
    </w:p>
    <w:p w:rsidR="00BF7796" w:rsidRPr="00583B72" w:rsidRDefault="009E4D53" w:rsidP="00BF7796">
      <w:pPr>
        <w:jc w:val="center"/>
        <w:rPr>
          <w:rFonts w:ascii="Times New Roman" w:hAnsi="Times New Roman" w:cs="Times New Roman"/>
          <w:b/>
          <w:sz w:val="24"/>
          <w:szCs w:val="24"/>
        </w:rPr>
      </w:pPr>
      <w:r w:rsidRPr="00583B72">
        <w:rPr>
          <w:rFonts w:ascii="Times New Roman" w:hAnsi="Times New Roman"/>
          <w:b/>
          <w:sz w:val="24"/>
        </w:rPr>
        <w:t xml:space="preserve">de punere în aplicare a articolului 157 alineatul (3) din Decretul legislativ nr. 230 din 17 martie 1995, astfel cum a fost modificat, de stabilire a metodelor de punere în aplicare, a conținutului certificatelor de monitorizare radiometrică și a unei liste a produselor semifabricate din metal care fac obiectul monitorizării radiometrice </w:t>
      </w:r>
    </w:p>
    <w:p w:rsidR="00AB0F43" w:rsidRPr="00583B72" w:rsidRDefault="00AB0F43" w:rsidP="00BF7796">
      <w:pPr>
        <w:jc w:val="center"/>
        <w:rPr>
          <w:rFonts w:ascii="Times New Roman" w:hAnsi="Times New Roman" w:cs="Times New Roman"/>
          <w:b/>
          <w:sz w:val="24"/>
          <w:szCs w:val="24"/>
        </w:rPr>
      </w:pPr>
    </w:p>
    <w:p w:rsidR="000501D0" w:rsidRPr="00583B72" w:rsidRDefault="00B310BB" w:rsidP="000501D0">
      <w:pPr>
        <w:jc w:val="center"/>
        <w:rPr>
          <w:rFonts w:ascii="Times New Roman" w:hAnsi="Times New Roman" w:cs="Times New Roman"/>
          <w:sz w:val="24"/>
          <w:szCs w:val="24"/>
        </w:rPr>
      </w:pPr>
      <w:r w:rsidRPr="00583B72">
        <w:rPr>
          <w:rFonts w:ascii="Times New Roman" w:hAnsi="Times New Roman"/>
          <w:sz w:val="24"/>
        </w:rPr>
        <w:t>MINISTRUL DEZVOLTĂRII ECONOMICE</w:t>
      </w:r>
    </w:p>
    <w:p w:rsidR="00AB0F43" w:rsidRPr="00583B72" w:rsidRDefault="00B310BB" w:rsidP="00AB0F43">
      <w:pPr>
        <w:jc w:val="center"/>
        <w:rPr>
          <w:rFonts w:ascii="Times New Roman" w:hAnsi="Times New Roman" w:cs="Times New Roman"/>
          <w:sz w:val="24"/>
          <w:szCs w:val="24"/>
        </w:rPr>
      </w:pPr>
      <w:r w:rsidRPr="00583B72">
        <w:rPr>
          <w:rFonts w:ascii="Times New Roman" w:hAnsi="Times New Roman"/>
          <w:sz w:val="24"/>
        </w:rPr>
        <w:t xml:space="preserve">ÎN ACORD CU </w:t>
      </w:r>
    </w:p>
    <w:p w:rsidR="00AB0F43" w:rsidRPr="00583B72" w:rsidRDefault="001B3A1F" w:rsidP="00AB0F43">
      <w:pPr>
        <w:jc w:val="center"/>
        <w:rPr>
          <w:rFonts w:ascii="Times New Roman" w:hAnsi="Times New Roman" w:cs="Times New Roman"/>
          <w:sz w:val="24"/>
          <w:szCs w:val="24"/>
        </w:rPr>
      </w:pPr>
      <w:r w:rsidRPr="00583B72">
        <w:rPr>
          <w:rFonts w:ascii="Times New Roman" w:hAnsi="Times New Roman"/>
          <w:sz w:val="24"/>
        </w:rPr>
        <w:t>SECRETARUL DE STAT PENTRU AFACERI EUROPENE</w:t>
      </w:r>
    </w:p>
    <w:p w:rsidR="00AB0F43" w:rsidRPr="00583B72" w:rsidRDefault="001B3A1F" w:rsidP="00AB0F43">
      <w:pPr>
        <w:jc w:val="center"/>
        <w:rPr>
          <w:rFonts w:ascii="Times New Roman" w:hAnsi="Times New Roman" w:cs="Times New Roman"/>
          <w:sz w:val="24"/>
          <w:szCs w:val="24"/>
        </w:rPr>
      </w:pPr>
      <w:r w:rsidRPr="00583B72">
        <w:rPr>
          <w:rFonts w:ascii="Times New Roman" w:hAnsi="Times New Roman"/>
          <w:sz w:val="24"/>
        </w:rPr>
        <w:t>MINISTRUL SĂNĂTĂȚII</w:t>
      </w:r>
    </w:p>
    <w:p w:rsidR="001B3A1F" w:rsidRPr="00583B72" w:rsidRDefault="001B3A1F" w:rsidP="00AB0F43">
      <w:pPr>
        <w:jc w:val="center"/>
        <w:rPr>
          <w:rFonts w:ascii="Times New Roman" w:hAnsi="Times New Roman" w:cs="Times New Roman"/>
          <w:sz w:val="24"/>
          <w:szCs w:val="24"/>
        </w:rPr>
      </w:pPr>
      <w:r w:rsidRPr="00583B72">
        <w:rPr>
          <w:rFonts w:ascii="Times New Roman" w:hAnsi="Times New Roman"/>
          <w:sz w:val="24"/>
        </w:rPr>
        <w:t xml:space="preserve">MINISTRUL MEDIULUI ȘI PROTECȚIEI TERITORIULUI ȘI MĂRII </w:t>
      </w:r>
    </w:p>
    <w:p w:rsidR="00AB0F43" w:rsidRPr="00583B72" w:rsidRDefault="001B3A1F" w:rsidP="00AB0F43">
      <w:pPr>
        <w:jc w:val="center"/>
        <w:rPr>
          <w:rFonts w:ascii="Times New Roman" w:hAnsi="Times New Roman" w:cs="Times New Roman"/>
          <w:sz w:val="24"/>
          <w:szCs w:val="24"/>
        </w:rPr>
      </w:pPr>
      <w:r w:rsidRPr="00583B72">
        <w:rPr>
          <w:rFonts w:ascii="Times New Roman" w:hAnsi="Times New Roman"/>
          <w:sz w:val="24"/>
        </w:rPr>
        <w:t>MINISTRUL MUNCII ȘI POLITICII SOCIALE</w:t>
      </w:r>
    </w:p>
    <w:p w:rsidR="00AB0F43" w:rsidRPr="00583B72" w:rsidRDefault="001B3A1F" w:rsidP="00AB0F43">
      <w:pPr>
        <w:jc w:val="center"/>
        <w:rPr>
          <w:rFonts w:ascii="Times New Roman" w:hAnsi="Times New Roman" w:cs="Times New Roman"/>
          <w:sz w:val="24"/>
          <w:szCs w:val="24"/>
        </w:rPr>
      </w:pPr>
      <w:r w:rsidRPr="00583B72">
        <w:rPr>
          <w:rFonts w:ascii="Times New Roman" w:hAnsi="Times New Roman"/>
          <w:sz w:val="24"/>
        </w:rPr>
        <w:t>MINISTRUL INTERNELOR</w:t>
      </w:r>
    </w:p>
    <w:p w:rsidR="00AB0F43" w:rsidRPr="00583B72" w:rsidRDefault="001B3A1F" w:rsidP="00AB0F43">
      <w:pPr>
        <w:jc w:val="center"/>
        <w:rPr>
          <w:rFonts w:ascii="Times New Roman" w:hAnsi="Times New Roman" w:cs="Times New Roman"/>
          <w:sz w:val="24"/>
          <w:szCs w:val="24"/>
        </w:rPr>
      </w:pPr>
      <w:r w:rsidRPr="00583B72">
        <w:rPr>
          <w:rFonts w:ascii="Times New Roman" w:hAnsi="Times New Roman"/>
          <w:sz w:val="24"/>
        </w:rPr>
        <w:t>MINISTRUL ECONOMIEI ȘI FINANȚELOR</w:t>
      </w:r>
    </w:p>
    <w:p w:rsidR="00B310BB" w:rsidRPr="00583B72" w:rsidRDefault="001B3A1F" w:rsidP="00AB0F43">
      <w:pPr>
        <w:jc w:val="center"/>
        <w:rPr>
          <w:rFonts w:ascii="Times New Roman" w:hAnsi="Times New Roman" w:cs="Times New Roman"/>
          <w:sz w:val="24"/>
          <w:szCs w:val="24"/>
        </w:rPr>
      </w:pPr>
      <w:r w:rsidRPr="00583B72">
        <w:rPr>
          <w:rFonts w:ascii="Times New Roman" w:hAnsi="Times New Roman"/>
          <w:sz w:val="24"/>
        </w:rPr>
        <w:t>MINISTRUL INFRASTRUCTURII ȘI TRANSPORTURILOR</w:t>
      </w:r>
    </w:p>
    <w:p w:rsidR="00B310BB" w:rsidRPr="00583B72" w:rsidRDefault="00B310BB" w:rsidP="00C213BF">
      <w:pPr>
        <w:jc w:val="both"/>
        <w:rPr>
          <w:rFonts w:ascii="Times New Roman" w:hAnsi="Times New Roman" w:cs="Times New Roman"/>
          <w:sz w:val="24"/>
          <w:szCs w:val="24"/>
        </w:rPr>
      </w:pPr>
    </w:p>
    <w:p w:rsidR="002938E4" w:rsidRPr="00583B72" w:rsidRDefault="002938E4" w:rsidP="00114FDF">
      <w:pPr>
        <w:spacing w:line="240" w:lineRule="auto"/>
        <w:jc w:val="both"/>
        <w:rPr>
          <w:rFonts w:ascii="Times New Roman" w:hAnsi="Times New Roman" w:cs="Times New Roman"/>
          <w:sz w:val="24"/>
          <w:szCs w:val="24"/>
        </w:rPr>
      </w:pPr>
      <w:r w:rsidRPr="00583B72">
        <w:rPr>
          <w:rFonts w:ascii="Times New Roman" w:hAnsi="Times New Roman"/>
          <w:sz w:val="24"/>
        </w:rPr>
        <w:t xml:space="preserve">AVÂND ÎN VEDERE Decretul legislativ nr. 230 din 17 martie 1995, astfel cum a fost modificat, de punere în aplicare a Directivelor 89/618/Euratom, 90/641/Euratom, 96/29/Euratom, 2006/117/Euratom ale Consiliului în domeniul radiațiilor ionizante, Directiva 2009/71/Euratom a Consiliului din 25 iunie 2009 de instituire a unui cadru comunitar pentru securitatea nucleară a instalațiilor nucleare și a Directivei 2011/70/Euratom a Consiliului din 19 iulie 2011 de instituire a unui cadru comunitar pentru gestionarea responsabilă și în condiții de siguranță a combustibilului uzat și a deșeurilor radioactive, </w:t>
      </w:r>
    </w:p>
    <w:p w:rsidR="00C22B35" w:rsidRPr="00583B72" w:rsidRDefault="00B310BB" w:rsidP="00146EE7">
      <w:pPr>
        <w:spacing w:line="240" w:lineRule="auto"/>
        <w:jc w:val="both"/>
        <w:rPr>
          <w:rFonts w:ascii="Times New Roman" w:hAnsi="Times New Roman" w:cs="Times New Roman"/>
          <w:sz w:val="24"/>
          <w:szCs w:val="24"/>
        </w:rPr>
      </w:pPr>
      <w:r w:rsidRPr="00583B72">
        <w:rPr>
          <w:rFonts w:ascii="Times New Roman" w:hAnsi="Times New Roman"/>
          <w:sz w:val="24"/>
        </w:rPr>
        <w:t>AVÂND ÎN VEDERE Decretul legislativ nr. 100 din 1 iunie 2011 de stabilire a dispozițiilor complementare și corective ale Decretului legislativ nr. 23 din 20 februarie 2009 de punere în aplicare a Directivei 2006/117/Euratom, al cărui articol 1 modifică, în special, articolul 157 din Decretul legislativ menționat anterior din 17 martie 1995 privind monitorizarea și controlul transporturilor de deșeuri radioactive și combustibil nuclear uzat - monitorizarea radiometrică a materialelor sau produselor semifabricate din metal,</w:t>
      </w:r>
    </w:p>
    <w:p w:rsidR="00B310BB" w:rsidRPr="00583B72" w:rsidRDefault="00B310BB" w:rsidP="00146EE7">
      <w:pPr>
        <w:tabs>
          <w:tab w:val="left" w:pos="0"/>
        </w:tabs>
        <w:spacing w:line="240" w:lineRule="auto"/>
        <w:jc w:val="both"/>
        <w:rPr>
          <w:rFonts w:ascii="Times New Roman" w:hAnsi="Times New Roman" w:cs="Times New Roman"/>
          <w:sz w:val="24"/>
          <w:szCs w:val="24"/>
        </w:rPr>
      </w:pPr>
      <w:r w:rsidRPr="00583B72">
        <w:rPr>
          <w:rFonts w:ascii="Times New Roman" w:hAnsi="Times New Roman"/>
          <w:sz w:val="24"/>
        </w:rPr>
        <w:t xml:space="preserve">AVÂND ÎN VEDERE Decretul legislativ nr. 230 din 17 martie 1995, în special articolul 157 alineatul (3), care prin decret al ministrului dezvoltării economice, în acord cu miniștrii politicii europene, sănătății, mediului și protecției teritoriului și mării, muncii și politicii sociale, internelor, economiei și finanțelor, infrastructurii și transporturilor, după consultarea Agenției Vamale și pentru Monopoluri și a Institutului Italian pentru Protecția și Cercetarea Mediului (ISPRA), care urmează să fie adoptat după notificarea Comisiei Europene, în conformitate cu Directiva 98/34/CE </w:t>
      </w:r>
      <w:r w:rsidRPr="00583B72">
        <w:rPr>
          <w:rFonts w:ascii="Times New Roman" w:hAnsi="Times New Roman"/>
          <w:sz w:val="24"/>
          <w:highlight w:val="yellow"/>
        </w:rPr>
        <w:t>(astfel cum a fost modificată prin Directiva (UE) 2015/1535)</w:t>
      </w:r>
      <w:r w:rsidRPr="00583B72">
        <w:rPr>
          <w:rFonts w:ascii="Times New Roman" w:hAnsi="Times New Roman"/>
          <w:sz w:val="24"/>
        </w:rPr>
        <w:t xml:space="preserve"> și a Organizației Mondiale a Comerțului, în conformitate cu Acordul privind barierele tehnice în calea comerțului în vigoare de </w:t>
      </w:r>
      <w:r w:rsidRPr="00583B72">
        <w:rPr>
          <w:rFonts w:ascii="Times New Roman" w:hAnsi="Times New Roman"/>
          <w:sz w:val="24"/>
        </w:rPr>
        <w:lastRenderedPageBreak/>
        <w:t>la 1 ianuarie 1995 - specifică metodele de punere în aplicare și conținutul certificatelor de monitorizare radiometrică și enumeră produsele semifabricate din metal care fac obiectul monitorizării,</w:t>
      </w:r>
    </w:p>
    <w:p w:rsidR="00A756ED" w:rsidRPr="00583B72" w:rsidRDefault="00A756ED" w:rsidP="00146EE7">
      <w:pPr>
        <w:tabs>
          <w:tab w:val="left" w:pos="0"/>
        </w:tabs>
        <w:spacing w:line="240" w:lineRule="auto"/>
        <w:jc w:val="both"/>
        <w:rPr>
          <w:rFonts w:ascii="Times New Roman" w:hAnsi="Times New Roman" w:cs="Times New Roman"/>
          <w:sz w:val="24"/>
          <w:szCs w:val="24"/>
        </w:rPr>
      </w:pPr>
      <w:r w:rsidRPr="00583B72">
        <w:rPr>
          <w:rFonts w:ascii="Times New Roman" w:hAnsi="Times New Roman"/>
          <w:sz w:val="24"/>
        </w:rPr>
        <w:t>AVÂND ÎN VEDERE Decretul-lege nr. 321 din 17 iunie 1996, în special articolul 10, astfel cum a fost modificat prin Legea nr. 421 din 8 august 1996 privind achiziționarea și instalarea sistemelor de monitorizare a radioactivității,</w:t>
      </w:r>
    </w:p>
    <w:p w:rsidR="00A756ED" w:rsidRPr="00583B72" w:rsidRDefault="00A756ED" w:rsidP="00146EE7">
      <w:pPr>
        <w:tabs>
          <w:tab w:val="left" w:pos="0"/>
        </w:tabs>
        <w:spacing w:line="240" w:lineRule="auto"/>
        <w:jc w:val="both"/>
        <w:rPr>
          <w:rFonts w:ascii="Times New Roman" w:hAnsi="Times New Roman" w:cs="Times New Roman"/>
          <w:sz w:val="24"/>
          <w:szCs w:val="24"/>
        </w:rPr>
      </w:pPr>
      <w:r w:rsidRPr="00583B72">
        <w:rPr>
          <w:rFonts w:ascii="Times New Roman" w:hAnsi="Times New Roman"/>
          <w:sz w:val="24"/>
        </w:rPr>
        <w:t>AVÂND ÎN VEDERE Decretul Ministerului de Finanțe din 22 mai 1995 privind identificarea punctelor de trecere a frontierei în care trebuie să se instaleze pe uși sisteme de scintilație pentru detectarea automată a radioactivității materialelor,</w:t>
      </w:r>
    </w:p>
    <w:p w:rsidR="00F66476" w:rsidRPr="00583B72" w:rsidRDefault="009E4D53" w:rsidP="000501D0">
      <w:pPr>
        <w:tabs>
          <w:tab w:val="left" w:pos="0"/>
        </w:tabs>
        <w:spacing w:line="240" w:lineRule="auto"/>
        <w:jc w:val="both"/>
        <w:rPr>
          <w:rFonts w:ascii="Times New Roman" w:hAnsi="Times New Roman" w:cs="Times New Roman"/>
          <w:sz w:val="24"/>
          <w:szCs w:val="24"/>
        </w:rPr>
      </w:pPr>
      <w:r w:rsidRPr="00583B72">
        <w:rPr>
          <w:rFonts w:ascii="Times New Roman" w:hAnsi="Times New Roman"/>
          <w:sz w:val="24"/>
        </w:rPr>
        <w:t>AVÂND ÎN VEDERE Decretul legislativ nr. 52 din 6 februarie 2007 de punere în aplicare a Directivei 2003/122/Euratom a Consiliului din 22 decembrie 2003 privind controlul surselor radioactive sigilate cu grad ridicat de activitate și a surselor orfane, în special articolul 15 privind introducerea sistemelor de localizare și evaluare a surselor orfane,</w:t>
      </w:r>
    </w:p>
    <w:p w:rsidR="00BF7796" w:rsidRPr="00583B72" w:rsidRDefault="009E4D53" w:rsidP="00687712">
      <w:pPr>
        <w:spacing w:line="240" w:lineRule="auto"/>
        <w:jc w:val="both"/>
        <w:rPr>
          <w:rFonts w:ascii="Times New Roman" w:hAnsi="Times New Roman" w:cs="Times New Roman"/>
          <w:sz w:val="24"/>
          <w:szCs w:val="24"/>
        </w:rPr>
      </w:pPr>
      <w:r w:rsidRPr="00583B72">
        <w:rPr>
          <w:rFonts w:ascii="Times New Roman" w:hAnsi="Times New Roman"/>
          <w:sz w:val="24"/>
        </w:rPr>
        <w:t>AVÂND ÎN VEDERE articolul 191 (ex-articolul 174 TCE) alineatul (2) din Tratatul privind funcționarea Uniunii Europene, cu privire la principiul precauției, care prevede că, în cazul amenințărilor, chiar și numai potențiale, pentru sănătatea umană și pentru mediu, trebuie să se asigure un nivel ridicat de protecție,</w:t>
      </w:r>
    </w:p>
    <w:p w:rsidR="00F044D6" w:rsidRPr="00583B72" w:rsidRDefault="00F044D6" w:rsidP="00146EE7">
      <w:pPr>
        <w:spacing w:line="240" w:lineRule="auto"/>
        <w:jc w:val="both"/>
        <w:rPr>
          <w:rFonts w:ascii="Times New Roman" w:hAnsi="Times New Roman" w:cs="Times New Roman"/>
          <w:sz w:val="24"/>
          <w:szCs w:val="24"/>
        </w:rPr>
      </w:pPr>
      <w:r w:rsidRPr="00583B72">
        <w:rPr>
          <w:rFonts w:ascii="Times New Roman" w:hAnsi="Times New Roman"/>
          <w:sz w:val="24"/>
        </w:rPr>
        <w:t>AVÂND ÎN VEDERE articolul 17 alineatul (3) din Legea nr. 400 din 23 august 1988,</w:t>
      </w:r>
    </w:p>
    <w:p w:rsidR="00EC6946" w:rsidRPr="00583B72" w:rsidRDefault="001E58F8" w:rsidP="00146EE7">
      <w:pPr>
        <w:spacing w:line="240" w:lineRule="auto"/>
        <w:jc w:val="both"/>
        <w:rPr>
          <w:rFonts w:ascii="Times New Roman" w:eastAsia="Times New Roman" w:hAnsi="Times New Roman"/>
          <w:sz w:val="24"/>
          <w:szCs w:val="24"/>
        </w:rPr>
      </w:pPr>
      <w:r w:rsidRPr="00583B72">
        <w:rPr>
          <w:rFonts w:ascii="Times New Roman" w:hAnsi="Times New Roman"/>
          <w:sz w:val="24"/>
        </w:rPr>
        <w:t>AVÂND ÎN VEDERE Decretul legislativ nr. 45 din 4 martie 2014, în special articolul 6, de înființare a Inspectoratului național pentru securitate nucleară și protecția împotriva radiațiilor (ISIN) ca autoritate de reglementare competentă în domeniul securității nucleare și protecției împotriva radiațiilor, conferindu-i printre altele, atribuțiile relevante, și articolul 9 prin care se atribuie, în mod provizoriu, Departamentului pentru riscuri tehnologice și industriale și nucleare al ISPRA responsabilitatea de a continua îndeplinirea acestor sarcini până la intrarea în vigoare a regulamentului de identificare a organizării și funcționării interne a inspectoratului,</w:t>
      </w:r>
    </w:p>
    <w:p w:rsidR="00B144CD" w:rsidRPr="00583B72" w:rsidRDefault="00B144CD" w:rsidP="00146EE7">
      <w:pPr>
        <w:spacing w:line="240" w:lineRule="auto"/>
        <w:jc w:val="both"/>
        <w:rPr>
          <w:rFonts w:ascii="Times New Roman" w:hAnsi="Times New Roman" w:cs="Times New Roman"/>
          <w:sz w:val="24"/>
          <w:szCs w:val="24"/>
        </w:rPr>
      </w:pPr>
      <w:r w:rsidRPr="00583B72">
        <w:rPr>
          <w:rFonts w:ascii="Times New Roman" w:hAnsi="Times New Roman"/>
          <w:sz w:val="24"/>
        </w:rPr>
        <w:t>ÎNTRUCÂT prezentul decret încheie regimul provizoriu pentru monitorizarea radiometrică obligatorie a produselor semifabricate din metal, menționate la articolul 2 din Decretul legislativ nr. 100 din 1 iunie 2011 și că, prin urmare, dispozițiile relevante sunt înlocuite cu cele prevăzute în prezentul regulament la data intrării în vigoare a acestuia.</w:t>
      </w:r>
    </w:p>
    <w:p w:rsidR="008162CB" w:rsidRPr="00583B72" w:rsidRDefault="00E50D7C" w:rsidP="00146EE7">
      <w:pPr>
        <w:spacing w:line="240" w:lineRule="auto"/>
        <w:jc w:val="both"/>
        <w:rPr>
          <w:rFonts w:ascii="Times New Roman" w:hAnsi="Times New Roman" w:cs="Times New Roman"/>
          <w:strike/>
          <w:sz w:val="24"/>
          <w:szCs w:val="24"/>
        </w:rPr>
      </w:pPr>
      <w:r w:rsidRPr="00583B72">
        <w:rPr>
          <w:rFonts w:ascii="Times New Roman" w:hAnsi="Times New Roman"/>
          <w:sz w:val="24"/>
        </w:rPr>
        <w:t xml:space="preserve">ÎNTRUCÂT s-au înregistrat progrese în domeniul monitorizării radiometrice a deșeurilor și a altor produse secundare din metal și a produselor semifabricate din metal pentru detectarea nivelurilor anormale de radioactivitate sau a oricăror surse neutilizate. </w:t>
      </w:r>
    </w:p>
    <w:p w:rsidR="00231A56" w:rsidRPr="00583B72" w:rsidRDefault="00E50D7C" w:rsidP="00146EE7">
      <w:pPr>
        <w:spacing w:line="240" w:lineRule="auto"/>
        <w:jc w:val="both"/>
        <w:rPr>
          <w:rFonts w:ascii="Times New Roman" w:hAnsi="Times New Roman" w:cs="Times New Roman"/>
          <w:sz w:val="24"/>
          <w:szCs w:val="24"/>
        </w:rPr>
      </w:pPr>
      <w:r w:rsidRPr="00583B72">
        <w:rPr>
          <w:rFonts w:ascii="Times New Roman" w:hAnsi="Times New Roman"/>
          <w:sz w:val="24"/>
        </w:rPr>
        <w:t xml:space="preserve">ÎNTRUCÂT este necesar să se actualizeze codurile de identificare pentru categoriile de produse care se referă la lista produselor semifabricate din metal, în conformitate cu modificările la nivel internațional, în conformitate cu anexa I la Decretul legislativ nr. 100 1 iunie 2011. </w:t>
      </w:r>
    </w:p>
    <w:p w:rsidR="004213AA" w:rsidRPr="00583B72" w:rsidRDefault="00146EE7" w:rsidP="00146EE7">
      <w:pPr>
        <w:spacing w:line="240" w:lineRule="auto"/>
        <w:jc w:val="both"/>
        <w:rPr>
          <w:rFonts w:ascii="Times New Roman" w:hAnsi="Times New Roman" w:cs="Times New Roman"/>
          <w:sz w:val="24"/>
          <w:szCs w:val="24"/>
        </w:rPr>
      </w:pPr>
      <w:r w:rsidRPr="00583B72">
        <w:rPr>
          <w:rFonts w:ascii="Times New Roman" w:hAnsi="Times New Roman"/>
          <w:sz w:val="24"/>
        </w:rPr>
        <w:t>ÎN URMA CONSULTĂRII Agenției Vamale și pentru Monopoluri,</w:t>
      </w:r>
    </w:p>
    <w:p w:rsidR="00836745" w:rsidRPr="00583B72" w:rsidRDefault="004F1DE0" w:rsidP="00146EE7">
      <w:pPr>
        <w:spacing w:line="240" w:lineRule="auto"/>
        <w:jc w:val="both"/>
        <w:rPr>
          <w:rFonts w:ascii="Times New Roman" w:hAnsi="Times New Roman" w:cs="Times New Roman"/>
          <w:sz w:val="24"/>
          <w:szCs w:val="24"/>
        </w:rPr>
      </w:pPr>
      <w:r w:rsidRPr="00583B72">
        <w:rPr>
          <w:rFonts w:ascii="Times New Roman" w:hAnsi="Times New Roman"/>
          <w:sz w:val="24"/>
        </w:rPr>
        <w:t>ÎN URMA CONSULTĂRII Departamentului pentru riscuri tehnologice, industriale și nucleare din cadrul Institutului Italian pentru Protecția și Cercetarea Mediului,</w:t>
      </w:r>
    </w:p>
    <w:p w:rsidR="00231A56" w:rsidRPr="00583B72" w:rsidRDefault="00231A56" w:rsidP="00146EE7">
      <w:pPr>
        <w:spacing w:line="240" w:lineRule="auto"/>
        <w:jc w:val="both"/>
        <w:rPr>
          <w:rFonts w:ascii="Times New Roman" w:hAnsi="Times New Roman" w:cs="Times New Roman"/>
          <w:sz w:val="24"/>
          <w:szCs w:val="24"/>
        </w:rPr>
      </w:pPr>
      <w:r w:rsidRPr="00583B72">
        <w:rPr>
          <w:rFonts w:ascii="Times New Roman" w:hAnsi="Times New Roman"/>
          <w:sz w:val="24"/>
        </w:rPr>
        <w:t>ÎN URMA CONSULTĂRII Conferinței permanente pentru relațiile dintre stat, regiunile și provinciile autonome din Trento și Bolzano, în conformitate cu articolul 161 din Decretul legislativ nr. 230 din 17 martie 1995,</w:t>
      </w:r>
    </w:p>
    <w:p w:rsidR="00B310BB" w:rsidRPr="00583B72" w:rsidRDefault="004213AA" w:rsidP="00146EE7">
      <w:pPr>
        <w:spacing w:line="240" w:lineRule="auto"/>
        <w:jc w:val="both"/>
        <w:rPr>
          <w:rFonts w:ascii="Times New Roman" w:hAnsi="Times New Roman" w:cs="Times New Roman"/>
          <w:sz w:val="24"/>
          <w:szCs w:val="24"/>
        </w:rPr>
      </w:pPr>
      <w:r w:rsidRPr="00583B72">
        <w:rPr>
          <w:rFonts w:ascii="Times New Roman" w:hAnsi="Times New Roman"/>
          <w:sz w:val="24"/>
        </w:rPr>
        <w:lastRenderedPageBreak/>
        <w:t xml:space="preserve">ÎN URMA ÎNDEPLINIRII procedurii de notificare a Comisiei Europene în conformitate cu </w:t>
      </w:r>
      <w:r w:rsidRPr="00583B72">
        <w:rPr>
          <w:rFonts w:ascii="Times New Roman" w:hAnsi="Times New Roman"/>
          <w:sz w:val="24"/>
          <w:highlight w:val="yellow"/>
        </w:rPr>
        <w:t>Directiva (UE) 2015/1535</w:t>
      </w:r>
      <w:r w:rsidRPr="00583B72">
        <w:rPr>
          <w:rFonts w:ascii="Times New Roman" w:hAnsi="Times New Roman"/>
          <w:sz w:val="24"/>
        </w:rPr>
        <w:t xml:space="preserve"> și a Organizației Mondiale a Comerțului, în conformitate cu Acordul privind barierele tehnice în calea comerțului în vigoare de la 1 ianuarie 1995, </w:t>
      </w:r>
    </w:p>
    <w:p w:rsidR="00A91928" w:rsidRPr="00583B72" w:rsidRDefault="009E4D53" w:rsidP="00146EE7">
      <w:pPr>
        <w:spacing w:line="240" w:lineRule="auto"/>
        <w:jc w:val="both"/>
        <w:rPr>
          <w:rFonts w:ascii="Times New Roman" w:hAnsi="Times New Roman" w:cs="Times New Roman"/>
          <w:sz w:val="24"/>
          <w:szCs w:val="24"/>
        </w:rPr>
      </w:pPr>
      <w:r w:rsidRPr="00583B72">
        <w:rPr>
          <w:rFonts w:ascii="Times New Roman" w:hAnsi="Times New Roman"/>
          <w:sz w:val="24"/>
          <w:highlight w:val="yellow"/>
        </w:rPr>
        <w:t>ÎN URMA PRIMIRII avizului Consiliului de Stat, exprimat în cursul reuniunii consultative pentru acte juridice în cadrul sesiunii plenare din _________________</w:t>
      </w:r>
    </w:p>
    <w:p w:rsidR="004213AA" w:rsidRPr="00583B72" w:rsidRDefault="004213AA" w:rsidP="004213AA">
      <w:pPr>
        <w:jc w:val="center"/>
        <w:rPr>
          <w:rFonts w:ascii="Times New Roman" w:hAnsi="Times New Roman" w:cs="Times New Roman"/>
          <w:b/>
          <w:sz w:val="24"/>
          <w:szCs w:val="24"/>
        </w:rPr>
      </w:pPr>
      <w:r w:rsidRPr="00583B72">
        <w:rPr>
          <w:rFonts w:ascii="Times New Roman" w:hAnsi="Times New Roman"/>
          <w:b/>
          <w:sz w:val="24"/>
        </w:rPr>
        <w:t>HOTĂRĂȘTE</w:t>
      </w:r>
    </w:p>
    <w:p w:rsidR="002A06FD" w:rsidRPr="00583B72" w:rsidRDefault="002A06FD" w:rsidP="00160CDF">
      <w:pPr>
        <w:spacing w:after="0" w:line="240" w:lineRule="auto"/>
        <w:jc w:val="center"/>
        <w:rPr>
          <w:rFonts w:ascii="Times New Roman" w:hAnsi="Times New Roman" w:cs="Times New Roman"/>
          <w:sz w:val="24"/>
          <w:szCs w:val="24"/>
        </w:rPr>
      </w:pPr>
      <w:r w:rsidRPr="00583B72">
        <w:rPr>
          <w:rFonts w:ascii="Times New Roman" w:hAnsi="Times New Roman"/>
          <w:sz w:val="24"/>
        </w:rPr>
        <w:t>Articolul 1</w:t>
      </w:r>
    </w:p>
    <w:p w:rsidR="001E58F8" w:rsidRPr="00583B72" w:rsidRDefault="001E58F8" w:rsidP="001E58F8">
      <w:pPr>
        <w:jc w:val="center"/>
        <w:rPr>
          <w:rFonts w:ascii="Times New Roman" w:hAnsi="Times New Roman"/>
          <w:i/>
          <w:sz w:val="24"/>
          <w:szCs w:val="24"/>
        </w:rPr>
      </w:pPr>
      <w:r w:rsidRPr="00583B72">
        <w:rPr>
          <w:rFonts w:ascii="Times New Roman" w:hAnsi="Times New Roman"/>
          <w:i/>
          <w:sz w:val="24"/>
        </w:rPr>
        <w:t>Obiectul și domeniul de aplicare</w:t>
      </w:r>
    </w:p>
    <w:p w:rsidR="001E58F8" w:rsidRPr="00583B72" w:rsidRDefault="001E58F8" w:rsidP="009C46FC">
      <w:pPr>
        <w:pStyle w:val="ListParagraph"/>
        <w:numPr>
          <w:ilvl w:val="0"/>
          <w:numId w:val="10"/>
        </w:numPr>
        <w:spacing w:after="0" w:line="240" w:lineRule="auto"/>
        <w:jc w:val="both"/>
        <w:rPr>
          <w:rFonts w:ascii="Times New Roman" w:hAnsi="Times New Roman" w:cs="Times New Roman"/>
          <w:sz w:val="24"/>
          <w:szCs w:val="24"/>
        </w:rPr>
      </w:pPr>
      <w:r w:rsidRPr="00583B72">
        <w:rPr>
          <w:rFonts w:ascii="Times New Roman" w:hAnsi="Times New Roman"/>
          <w:sz w:val="24"/>
        </w:rPr>
        <w:t>Prezentul decret stabilește procedurile de aplicare a monitorizării radiometrice, în conformitate cu articolul 157 alineatul (1) din Decretul legislativ nr 230 din 17 martie 1995 de către entitățile implicate în importul, colectarea sau depozitarea în scop industrial sau comercial sau în operațiunile de topire a deșeurilor de metal sau a altor subproduse din metal, precum și entitățile implicate în importul în scop industrial sau comercial al produselor semifabricate din metal, pentru a detecta niveluri anormale de radioactivitate sau surse posibile scoase din utilizare, pentru a asigura protecția sănătății lucrătorilor și a populației împotriva evenimentelor care ar putea duce la expunerea la radiații ionizante și pentru a preveni contaminarea mediului.</w:t>
      </w:r>
    </w:p>
    <w:p w:rsidR="00224337" w:rsidRPr="00583B72" w:rsidRDefault="009C46FC" w:rsidP="00073A90">
      <w:pPr>
        <w:pStyle w:val="ListParagraph"/>
        <w:numPr>
          <w:ilvl w:val="0"/>
          <w:numId w:val="10"/>
        </w:numPr>
        <w:spacing w:after="0" w:line="240" w:lineRule="auto"/>
        <w:jc w:val="both"/>
        <w:rPr>
          <w:rFonts w:ascii="Times New Roman" w:hAnsi="Times New Roman" w:cs="Times New Roman"/>
          <w:sz w:val="24"/>
          <w:szCs w:val="24"/>
        </w:rPr>
      </w:pPr>
      <w:r w:rsidRPr="00583B72">
        <w:rPr>
          <w:rFonts w:ascii="Times New Roman" w:hAnsi="Times New Roman"/>
          <w:sz w:val="24"/>
        </w:rPr>
        <w:t>Prezentul decret specifică, de asemenea, conținutul certificatului de efectuare a monitorizării radiometrice, în temeiul articolului 157 alineatul (2) din Decretul legislativ nr. 230 din 17 martie 1995, lista produselor semifabricate din metal care fac obiectul monitorizării radiometrice, care abrogă anexa I la Decretul legislativ nr. 100 din 1 iunie 2011, precum și recunoașterea reciprocă a certificatelor de testare radiometrică efectuată la locul de origine al încărcăturilor importate de deșeuri de metale sau alte subproduse din metal și produse semifabricate din metal, în cadrul procedurilor vamale.</w:t>
      </w:r>
    </w:p>
    <w:p w:rsidR="00146EE7" w:rsidRPr="00583B72" w:rsidRDefault="00146EE7" w:rsidP="00160CDF">
      <w:pPr>
        <w:spacing w:after="0"/>
        <w:ind w:left="360"/>
        <w:jc w:val="both"/>
        <w:rPr>
          <w:rFonts w:ascii="Times New Roman" w:hAnsi="Times New Roman" w:cs="Times New Roman"/>
          <w:i/>
          <w:sz w:val="24"/>
          <w:szCs w:val="24"/>
        </w:rPr>
      </w:pPr>
    </w:p>
    <w:p w:rsidR="006F7602" w:rsidRPr="00583B72" w:rsidRDefault="002028A7" w:rsidP="00160CDF">
      <w:pPr>
        <w:spacing w:after="0" w:line="240" w:lineRule="auto"/>
        <w:ind w:left="360"/>
        <w:jc w:val="center"/>
        <w:rPr>
          <w:rFonts w:ascii="Times New Roman" w:hAnsi="Times New Roman" w:cs="Times New Roman"/>
          <w:sz w:val="24"/>
          <w:szCs w:val="24"/>
        </w:rPr>
      </w:pPr>
      <w:r w:rsidRPr="00583B72">
        <w:rPr>
          <w:rFonts w:ascii="Times New Roman" w:hAnsi="Times New Roman"/>
          <w:sz w:val="24"/>
        </w:rPr>
        <w:t>Articolul 2</w:t>
      </w:r>
    </w:p>
    <w:p w:rsidR="00231A56" w:rsidRPr="00583B72" w:rsidRDefault="00EC26E1" w:rsidP="00160CDF">
      <w:pPr>
        <w:spacing w:after="0" w:line="240" w:lineRule="auto"/>
        <w:ind w:left="360"/>
        <w:jc w:val="center"/>
        <w:rPr>
          <w:rFonts w:ascii="Times New Roman" w:hAnsi="Times New Roman" w:cs="Times New Roman"/>
          <w:i/>
          <w:sz w:val="24"/>
          <w:szCs w:val="24"/>
        </w:rPr>
      </w:pPr>
      <w:r w:rsidRPr="00583B72">
        <w:rPr>
          <w:rFonts w:ascii="Times New Roman" w:hAnsi="Times New Roman"/>
          <w:i/>
          <w:sz w:val="24"/>
        </w:rPr>
        <w:t>Criterii de monitorizare radiometrică</w:t>
      </w:r>
    </w:p>
    <w:p w:rsidR="00EC26E1" w:rsidRPr="00583B72" w:rsidRDefault="00EC26E1" w:rsidP="00160CDF">
      <w:pPr>
        <w:spacing w:after="0" w:line="240" w:lineRule="auto"/>
        <w:ind w:left="360"/>
        <w:jc w:val="center"/>
        <w:rPr>
          <w:rFonts w:ascii="Times New Roman" w:hAnsi="Times New Roman" w:cs="Times New Roman"/>
          <w:sz w:val="24"/>
          <w:szCs w:val="24"/>
        </w:rPr>
      </w:pPr>
    </w:p>
    <w:p w:rsidR="003B3C39" w:rsidRPr="00583B72" w:rsidRDefault="00D24F86" w:rsidP="00D24F86">
      <w:pPr>
        <w:pStyle w:val="Footer"/>
        <w:numPr>
          <w:ilvl w:val="0"/>
          <w:numId w:val="11"/>
        </w:numPr>
        <w:jc w:val="both"/>
        <w:rPr>
          <w:rFonts w:ascii="Times New Roman" w:hAnsi="Times New Roman" w:cs="Times New Roman"/>
          <w:sz w:val="24"/>
        </w:rPr>
      </w:pPr>
      <w:r w:rsidRPr="00583B72">
        <w:rPr>
          <w:rFonts w:ascii="Times New Roman" w:hAnsi="Times New Roman"/>
          <w:sz w:val="24"/>
        </w:rPr>
        <w:t xml:space="preserve">Monitorizarea radiometrică a încărcăturilor de deșeuri de metal sau a altor subproduse din metal și a produselor semifabricate din metal se efectuează prin monitorizarea nivelului dozei absorbite în aer, detectabilă în afara încărcăturii, pentru a detecta prezența surselor orfane sau a nivelurilor anormale de radioactivitate, identificate în conformitate cu cele mai bune practici în domeniu sau cu orientările tehnice emise în conformitate cu articolul 153 din Decretul legislativ nr. 230 din 17 martie 1995, dacă este cazul, precum și în scopul îndeplinirii obligațiilor prevăzute la articolul 157 alineatul (4) din decretul legislativ menționat. „Încărcătură” înseamnă containerul, vehiculul sau vagonul de cale ferată sau orice alt container utilizat pentru deșeurile de metale, produsele din metal sau produsele semifabricate din metal, menționate anterior. </w:t>
      </w:r>
    </w:p>
    <w:p w:rsidR="00D24F86" w:rsidRPr="00583B72" w:rsidRDefault="00707A33" w:rsidP="00D24F86">
      <w:pPr>
        <w:pStyle w:val="Footer"/>
        <w:numPr>
          <w:ilvl w:val="0"/>
          <w:numId w:val="11"/>
        </w:numPr>
        <w:jc w:val="both"/>
        <w:rPr>
          <w:rFonts w:ascii="Times New Roman" w:hAnsi="Times New Roman" w:cs="Times New Roman"/>
          <w:sz w:val="24"/>
        </w:rPr>
      </w:pPr>
      <w:r w:rsidRPr="00583B72">
        <w:rPr>
          <w:rFonts w:ascii="Times New Roman" w:hAnsi="Times New Roman"/>
          <w:sz w:val="24"/>
        </w:rPr>
        <w:t>Monitorizarea radiometrică se efectuează, de asemenea, în timpul descărcării sau manipulării, prin monitorizarea nivelului dozei absorbite în aer, detectabilă în afara deșeurilor de metale sau a altor produse secundare din metal și a produselor semifabricate din metal.</w:t>
      </w:r>
    </w:p>
    <w:p w:rsidR="00707A33" w:rsidRPr="00583B72" w:rsidRDefault="00707A33" w:rsidP="00D24F86">
      <w:pPr>
        <w:pStyle w:val="Footer"/>
        <w:numPr>
          <w:ilvl w:val="0"/>
          <w:numId w:val="11"/>
        </w:numPr>
        <w:jc w:val="both"/>
        <w:rPr>
          <w:rFonts w:ascii="Times New Roman" w:hAnsi="Times New Roman" w:cs="Times New Roman"/>
          <w:sz w:val="24"/>
        </w:rPr>
      </w:pPr>
      <w:r w:rsidRPr="00583B72">
        <w:rPr>
          <w:rFonts w:ascii="Times New Roman" w:hAnsi="Times New Roman"/>
          <w:sz w:val="24"/>
        </w:rPr>
        <w:t>În cazul în care se detectează surse radioactive sau dacă măsurătorile radiometrice indică niveluri anormale de radioactivitate, pereții interiori ai containerelor utilizate pentru transport trebuie să fie supuși unei încercări la contaminarea suprafeței.</w:t>
      </w:r>
    </w:p>
    <w:p w:rsidR="00EC26E1" w:rsidRPr="00583B72" w:rsidRDefault="00D138EC" w:rsidP="00D24F86">
      <w:pPr>
        <w:pStyle w:val="Footer"/>
        <w:numPr>
          <w:ilvl w:val="0"/>
          <w:numId w:val="11"/>
        </w:numPr>
        <w:jc w:val="both"/>
        <w:rPr>
          <w:rFonts w:ascii="Times New Roman" w:hAnsi="Times New Roman" w:cs="Times New Roman"/>
          <w:sz w:val="24"/>
        </w:rPr>
      </w:pPr>
      <w:r w:rsidRPr="00583B72">
        <w:rPr>
          <w:rFonts w:ascii="Times New Roman" w:hAnsi="Times New Roman"/>
          <w:sz w:val="24"/>
        </w:rPr>
        <w:t xml:space="preserve">În cadrul controlului planificat al calității eșantioanelor de turnare sau în cazul unei suspiciuni de topire a surselor radioactive sau a materialului contaminat, concentrațiile în </w:t>
      </w:r>
      <w:r w:rsidRPr="00583B72">
        <w:rPr>
          <w:rFonts w:ascii="Times New Roman" w:hAnsi="Times New Roman"/>
          <w:sz w:val="24"/>
        </w:rPr>
        <w:lastRenderedPageBreak/>
        <w:t>activitatea pe unitate de masă trebuie măsurate pe produs și pe zgura de topire, precum și pe praful provenit din sistemul de evacuare a fumului din instalație.</w:t>
      </w:r>
    </w:p>
    <w:p w:rsidR="00D24F86" w:rsidRPr="00583B72" w:rsidRDefault="00F32D90" w:rsidP="00D24F86">
      <w:pPr>
        <w:pStyle w:val="Footer"/>
        <w:numPr>
          <w:ilvl w:val="0"/>
          <w:numId w:val="11"/>
        </w:numPr>
        <w:jc w:val="both"/>
        <w:rPr>
          <w:rFonts w:ascii="Times New Roman" w:hAnsi="Times New Roman" w:cs="Times New Roman"/>
          <w:sz w:val="24"/>
        </w:rPr>
      </w:pPr>
      <w:r w:rsidRPr="00583B72">
        <w:rPr>
          <w:rFonts w:ascii="Times New Roman" w:hAnsi="Times New Roman"/>
          <w:sz w:val="24"/>
        </w:rPr>
        <w:t>Pentru deșeuri și alte produse secundare din metal, transportate în vrac pe mare, monitorizarea radiometrică se realizează treptat pe sarcinile formate.</w:t>
      </w:r>
    </w:p>
    <w:p w:rsidR="00EC26E1" w:rsidRPr="00583B72" w:rsidRDefault="00EC26E1" w:rsidP="00160CDF">
      <w:pPr>
        <w:spacing w:after="0" w:line="240" w:lineRule="auto"/>
        <w:ind w:left="360"/>
        <w:jc w:val="center"/>
        <w:rPr>
          <w:rFonts w:ascii="Times New Roman" w:hAnsi="Times New Roman" w:cs="Times New Roman"/>
          <w:sz w:val="24"/>
          <w:szCs w:val="24"/>
        </w:rPr>
      </w:pPr>
    </w:p>
    <w:p w:rsidR="00F32D90" w:rsidRPr="00583B72" w:rsidRDefault="00F32D90" w:rsidP="00223553">
      <w:pPr>
        <w:keepNext/>
        <w:spacing w:after="0" w:line="240" w:lineRule="auto"/>
        <w:ind w:left="357"/>
        <w:jc w:val="center"/>
        <w:rPr>
          <w:rFonts w:ascii="Times New Roman" w:hAnsi="Times New Roman" w:cs="Times New Roman"/>
          <w:sz w:val="24"/>
          <w:szCs w:val="24"/>
        </w:rPr>
      </w:pPr>
      <w:r w:rsidRPr="00583B72">
        <w:rPr>
          <w:rFonts w:ascii="Times New Roman" w:hAnsi="Times New Roman"/>
          <w:sz w:val="24"/>
        </w:rPr>
        <w:t>Articolul 3</w:t>
      </w:r>
    </w:p>
    <w:p w:rsidR="002028A7" w:rsidRPr="00583B72" w:rsidRDefault="002028A7" w:rsidP="00223553">
      <w:pPr>
        <w:keepNext/>
        <w:spacing w:after="0" w:line="240" w:lineRule="auto"/>
        <w:ind w:left="357"/>
        <w:jc w:val="center"/>
        <w:rPr>
          <w:rFonts w:ascii="Times New Roman" w:hAnsi="Times New Roman" w:cs="Times New Roman"/>
          <w:i/>
          <w:sz w:val="24"/>
          <w:szCs w:val="24"/>
        </w:rPr>
      </w:pPr>
      <w:r w:rsidRPr="00583B72">
        <w:rPr>
          <w:rFonts w:ascii="Times New Roman" w:hAnsi="Times New Roman"/>
          <w:i/>
          <w:sz w:val="24"/>
        </w:rPr>
        <w:t>Metode de punere în aplicare a monitorizării radiometrice</w:t>
      </w:r>
    </w:p>
    <w:p w:rsidR="003B3C39" w:rsidRPr="00583B72" w:rsidRDefault="003B3C39" w:rsidP="00223553">
      <w:pPr>
        <w:keepNext/>
        <w:spacing w:after="0" w:line="240" w:lineRule="auto"/>
        <w:ind w:left="357"/>
        <w:jc w:val="center"/>
        <w:rPr>
          <w:rFonts w:ascii="Times New Roman" w:hAnsi="Times New Roman" w:cs="Times New Roman"/>
          <w:i/>
          <w:sz w:val="24"/>
          <w:szCs w:val="24"/>
        </w:rPr>
      </w:pPr>
    </w:p>
    <w:p w:rsidR="00586CE6" w:rsidRPr="00583B72" w:rsidRDefault="00E976DA">
      <w:pPr>
        <w:pStyle w:val="ListParagraph"/>
        <w:numPr>
          <w:ilvl w:val="0"/>
          <w:numId w:val="5"/>
        </w:numPr>
        <w:spacing w:after="0" w:line="240" w:lineRule="auto"/>
        <w:jc w:val="both"/>
        <w:rPr>
          <w:rFonts w:ascii="Times New Roman" w:hAnsi="Times New Roman" w:cs="Times New Roman"/>
          <w:sz w:val="24"/>
          <w:szCs w:val="24"/>
        </w:rPr>
      </w:pPr>
      <w:r w:rsidRPr="00583B72">
        <w:rPr>
          <w:rFonts w:ascii="Times New Roman" w:hAnsi="Times New Roman"/>
          <w:sz w:val="24"/>
        </w:rPr>
        <w:t xml:space="preserve">Entitățile menționate la articolul 157 alineatul (1) din Decretul legislativ nr. 230 din 17 martie 1995, care sunt implicate în colectarea sau depozitarea în scop industrial sau comercial a deșeurilor de metal sau a altor subproduse din metal au obligația să efectueze o monitorizare radiometrică la intrarea în fabrică prin testarea nivelului dozei absorbite în aer, detectabilă în afara fiecărei încărcături. </w:t>
      </w:r>
    </w:p>
    <w:p w:rsidR="00760AF9" w:rsidRPr="00583B72" w:rsidRDefault="00D27263">
      <w:pPr>
        <w:pStyle w:val="ListParagraph"/>
        <w:numPr>
          <w:ilvl w:val="0"/>
          <w:numId w:val="5"/>
        </w:numPr>
        <w:spacing w:after="0" w:line="240" w:lineRule="auto"/>
        <w:jc w:val="both"/>
        <w:rPr>
          <w:rFonts w:ascii="Times New Roman" w:hAnsi="Times New Roman" w:cs="Times New Roman"/>
          <w:sz w:val="24"/>
          <w:szCs w:val="24"/>
        </w:rPr>
      </w:pPr>
      <w:r w:rsidRPr="00583B72">
        <w:rPr>
          <w:rFonts w:ascii="Times New Roman" w:hAnsi="Times New Roman"/>
          <w:sz w:val="24"/>
        </w:rPr>
        <w:t>Pe lângă dispozițiile de la alineatul (1) de mai sus, entitățile menționate la acesta trebuie să efectueze, în timpul descărcării și manipulării acestor materiale, luând în considerare caracteristicile cele mai comune ale surselor radioactive și ale containerelor în care sunt incluse, o inspecție vizuală inițială a materialului pentru a constata prezența oricărui material suspect și pentru a măsura nivelul dozei absorbite în aer, detectabile în afara materialului descărcat.</w:t>
      </w:r>
    </w:p>
    <w:p w:rsidR="00BF09C2" w:rsidRPr="00583B72" w:rsidRDefault="00BF09C2">
      <w:pPr>
        <w:pStyle w:val="ListParagraph"/>
        <w:numPr>
          <w:ilvl w:val="0"/>
          <w:numId w:val="5"/>
        </w:numPr>
        <w:spacing w:after="0" w:line="240" w:lineRule="auto"/>
        <w:jc w:val="both"/>
        <w:rPr>
          <w:rFonts w:ascii="Times New Roman" w:hAnsi="Times New Roman" w:cs="Times New Roman"/>
          <w:sz w:val="24"/>
          <w:szCs w:val="24"/>
        </w:rPr>
      </w:pPr>
      <w:r w:rsidRPr="00583B72">
        <w:rPr>
          <w:rFonts w:ascii="Times New Roman" w:hAnsi="Times New Roman"/>
          <w:sz w:val="24"/>
        </w:rPr>
        <w:t>Pentru entitățile care efectuează operațiuni industriale sau comerciale, care implică topirea deșeurilor de metale sau a altor subproduse de metal, ca parte a controlului planificat al calității eșantioanelor de turnare și în cazul unei suspiciuni de topire a surselor radioactive sau a materialului contaminat, concentrația activității pe unitate de masă, trebuie să fie măsurată utilizând eșantioanele pentru stabilirea calității și de ieșire, care provin din fiecare încărcătură a cuptorului de topire. Aceleași entități trebuie, de asemenea, să efectueze teste radiometrice pe eșantioane reprezentative de deșeuri și praf, provenite din sistemul de evacuare a fumului din instalație. Pentru a fi reprezentativă, frecvența testelor și numărul de eșantioane corelate trebuie determinate printr-o procedură internă specifică, întocmită pe baza caracteristicilor instalației și a activităților desfășurate în aceasta. Autoritățile de supraveghere pot solicita modificarea frecvenței.</w:t>
      </w:r>
    </w:p>
    <w:p w:rsidR="00D27263" w:rsidRPr="00583B72" w:rsidRDefault="00D138EC">
      <w:pPr>
        <w:pStyle w:val="ListParagraph"/>
        <w:numPr>
          <w:ilvl w:val="0"/>
          <w:numId w:val="5"/>
        </w:numPr>
        <w:spacing w:after="0" w:line="240" w:lineRule="auto"/>
        <w:jc w:val="both"/>
        <w:rPr>
          <w:rFonts w:ascii="Times New Roman" w:hAnsi="Times New Roman" w:cs="Times New Roman"/>
          <w:sz w:val="24"/>
          <w:szCs w:val="24"/>
        </w:rPr>
      </w:pPr>
      <w:r w:rsidRPr="00583B72">
        <w:rPr>
          <w:rFonts w:ascii="Times New Roman" w:hAnsi="Times New Roman"/>
          <w:sz w:val="24"/>
        </w:rPr>
        <w:t>Testele menționate la alineatele (1) și (3) de mai sus trebuie finalizate înainte ca materialele sau produsele să fie transportate departe de fabrică.</w:t>
      </w:r>
    </w:p>
    <w:p w:rsidR="00D27263" w:rsidRPr="00583B72" w:rsidRDefault="00D27263">
      <w:pPr>
        <w:pStyle w:val="ListParagraph"/>
        <w:numPr>
          <w:ilvl w:val="0"/>
          <w:numId w:val="5"/>
        </w:numPr>
        <w:spacing w:after="0" w:line="240" w:lineRule="auto"/>
        <w:jc w:val="both"/>
        <w:rPr>
          <w:rFonts w:ascii="Times New Roman" w:hAnsi="Times New Roman" w:cs="Times New Roman"/>
          <w:sz w:val="24"/>
          <w:szCs w:val="24"/>
        </w:rPr>
      </w:pPr>
      <w:r w:rsidRPr="00583B72">
        <w:rPr>
          <w:rFonts w:ascii="Times New Roman" w:hAnsi="Times New Roman"/>
          <w:sz w:val="24"/>
        </w:rPr>
        <w:t>Entitățile care sunt implicate în importul în scop industrial sau comercial de deșeuri de metal sau alte subproduse de metal și produse semifabricate de metal, fără a aduce atingere dispozițiilor articolului 7 din prezentul decret, au obligația să efectueze o monitorizare radiometrică la intrarea în fabrică și în timp ce deșeurile de metal și produsele sunt descărcate, să testeze atât nivelul dozei absorbite în aer, detectabilă în afara fiecărei încărcături, cât și în materialul descărcat.</w:t>
      </w:r>
    </w:p>
    <w:p w:rsidR="00BF09C2" w:rsidRPr="00583B72" w:rsidRDefault="00BF09C2" w:rsidP="00223553">
      <w:pPr>
        <w:widowControl w:val="0"/>
        <w:autoSpaceDE w:val="0"/>
        <w:autoSpaceDN w:val="0"/>
        <w:adjustRightInd w:val="0"/>
        <w:spacing w:after="0" w:line="240" w:lineRule="auto"/>
        <w:rPr>
          <w:rFonts w:ascii="Times New Roman" w:hAnsi="Times New Roman" w:cs="Times New Roman"/>
          <w:sz w:val="24"/>
          <w:szCs w:val="24"/>
        </w:rPr>
      </w:pPr>
    </w:p>
    <w:p w:rsidR="008E72DD" w:rsidRPr="00583B72" w:rsidRDefault="008E72DD" w:rsidP="008E72DD">
      <w:pPr>
        <w:spacing w:after="0" w:line="240" w:lineRule="auto"/>
        <w:ind w:left="360"/>
        <w:jc w:val="center"/>
        <w:rPr>
          <w:rFonts w:ascii="Times New Roman" w:hAnsi="Times New Roman" w:cs="Times New Roman"/>
          <w:sz w:val="24"/>
          <w:szCs w:val="24"/>
        </w:rPr>
      </w:pPr>
      <w:r w:rsidRPr="00583B72">
        <w:rPr>
          <w:rFonts w:ascii="Times New Roman" w:hAnsi="Times New Roman"/>
          <w:sz w:val="24"/>
        </w:rPr>
        <w:t>Articolul 4</w:t>
      </w:r>
    </w:p>
    <w:p w:rsidR="008E72DD" w:rsidRPr="00583B72" w:rsidRDefault="008E72DD" w:rsidP="008E72DD">
      <w:pPr>
        <w:spacing w:after="0" w:line="240" w:lineRule="auto"/>
        <w:ind w:left="360"/>
        <w:jc w:val="center"/>
        <w:rPr>
          <w:rFonts w:ascii="Times New Roman" w:hAnsi="Times New Roman" w:cs="Times New Roman"/>
          <w:i/>
          <w:sz w:val="24"/>
          <w:szCs w:val="24"/>
        </w:rPr>
      </w:pPr>
      <w:r w:rsidRPr="00583B72">
        <w:rPr>
          <w:rFonts w:ascii="Times New Roman" w:hAnsi="Times New Roman"/>
          <w:i/>
          <w:sz w:val="24"/>
        </w:rPr>
        <w:t>Certificat de monitorizare radiometrică</w:t>
      </w:r>
    </w:p>
    <w:p w:rsidR="00502D9D" w:rsidRPr="00583B72" w:rsidRDefault="00502D9D" w:rsidP="008E72DD">
      <w:pPr>
        <w:spacing w:after="0" w:line="240" w:lineRule="auto"/>
        <w:jc w:val="both"/>
        <w:rPr>
          <w:rFonts w:ascii="Times New Roman" w:hAnsi="Times New Roman" w:cs="Times New Roman"/>
          <w:sz w:val="24"/>
          <w:szCs w:val="24"/>
        </w:rPr>
      </w:pPr>
    </w:p>
    <w:p w:rsidR="00BD4BEC" w:rsidRPr="00583B72" w:rsidRDefault="008E72DD" w:rsidP="00C0795E">
      <w:pPr>
        <w:pStyle w:val="ListParagraph"/>
        <w:numPr>
          <w:ilvl w:val="0"/>
          <w:numId w:val="12"/>
        </w:numPr>
        <w:spacing w:after="0" w:line="240" w:lineRule="auto"/>
        <w:jc w:val="both"/>
        <w:rPr>
          <w:rFonts w:ascii="Times New Roman" w:hAnsi="Times New Roman" w:cs="Times New Roman"/>
          <w:sz w:val="24"/>
          <w:szCs w:val="24"/>
        </w:rPr>
      </w:pPr>
      <w:r w:rsidRPr="00583B72">
        <w:rPr>
          <w:rFonts w:ascii="Times New Roman" w:hAnsi="Times New Roman"/>
          <w:sz w:val="24"/>
        </w:rPr>
        <w:t>Certificatul de efectuare a monitorizării radiometrice, eliberat de experți calificați, în conformitate cu articolul 157 alineatul (2) din Decretul legislativ nr. 230 din 17 martie 1995, trebuie să includă cel puțin următoarele informații:</w:t>
      </w:r>
    </w:p>
    <w:p w:rsidR="00C0795E" w:rsidRPr="00583B72" w:rsidRDefault="00C0795E" w:rsidP="00C0795E">
      <w:pPr>
        <w:pStyle w:val="ListParagraph"/>
        <w:numPr>
          <w:ilvl w:val="0"/>
          <w:numId w:val="13"/>
        </w:numPr>
        <w:spacing w:after="0" w:line="240" w:lineRule="auto"/>
        <w:ind w:left="1276"/>
        <w:jc w:val="both"/>
        <w:rPr>
          <w:rFonts w:ascii="Times New Roman" w:hAnsi="Times New Roman" w:cs="Times New Roman"/>
          <w:sz w:val="24"/>
          <w:szCs w:val="24"/>
        </w:rPr>
      </w:pPr>
      <w:r w:rsidRPr="00583B72">
        <w:rPr>
          <w:rFonts w:ascii="Times New Roman" w:hAnsi="Times New Roman"/>
          <w:sz w:val="24"/>
        </w:rPr>
        <w:t>detalii privind sarcina;</w:t>
      </w:r>
    </w:p>
    <w:p w:rsidR="00085F28" w:rsidRPr="00583B72" w:rsidRDefault="00085F28" w:rsidP="00C0795E">
      <w:pPr>
        <w:pStyle w:val="ListParagraph"/>
        <w:numPr>
          <w:ilvl w:val="0"/>
          <w:numId w:val="13"/>
        </w:numPr>
        <w:spacing w:after="0" w:line="240" w:lineRule="auto"/>
        <w:ind w:left="1276"/>
        <w:jc w:val="both"/>
        <w:rPr>
          <w:rFonts w:ascii="Times New Roman" w:hAnsi="Times New Roman" w:cs="Times New Roman"/>
          <w:sz w:val="24"/>
          <w:szCs w:val="24"/>
        </w:rPr>
      </w:pPr>
      <w:r w:rsidRPr="00583B72">
        <w:rPr>
          <w:rFonts w:ascii="Times New Roman" w:hAnsi="Times New Roman"/>
          <w:sz w:val="24"/>
        </w:rPr>
        <w:t>tipul de material metalic;</w:t>
      </w:r>
    </w:p>
    <w:p w:rsidR="00C0795E" w:rsidRPr="00583B72" w:rsidRDefault="00C0795E" w:rsidP="00C0795E">
      <w:pPr>
        <w:pStyle w:val="ListParagraph"/>
        <w:numPr>
          <w:ilvl w:val="0"/>
          <w:numId w:val="13"/>
        </w:numPr>
        <w:spacing w:after="0" w:line="240" w:lineRule="auto"/>
        <w:ind w:left="1276"/>
        <w:jc w:val="both"/>
        <w:rPr>
          <w:rFonts w:ascii="Times New Roman" w:hAnsi="Times New Roman" w:cs="Times New Roman"/>
          <w:sz w:val="24"/>
          <w:szCs w:val="24"/>
        </w:rPr>
      </w:pPr>
      <w:r w:rsidRPr="00583B72">
        <w:rPr>
          <w:rFonts w:ascii="Times New Roman" w:hAnsi="Times New Roman"/>
          <w:sz w:val="24"/>
        </w:rPr>
        <w:t>originea;</w:t>
      </w:r>
    </w:p>
    <w:p w:rsidR="00C0795E" w:rsidRPr="00583B72" w:rsidRDefault="00C0795E" w:rsidP="00C0795E">
      <w:pPr>
        <w:pStyle w:val="ListParagraph"/>
        <w:numPr>
          <w:ilvl w:val="0"/>
          <w:numId w:val="13"/>
        </w:numPr>
        <w:spacing w:after="0" w:line="240" w:lineRule="auto"/>
        <w:ind w:left="1276"/>
        <w:jc w:val="both"/>
        <w:rPr>
          <w:rFonts w:ascii="Times New Roman" w:hAnsi="Times New Roman" w:cs="Times New Roman"/>
          <w:sz w:val="24"/>
          <w:szCs w:val="24"/>
        </w:rPr>
      </w:pPr>
      <w:r w:rsidRPr="00583B72">
        <w:rPr>
          <w:rFonts w:ascii="Times New Roman" w:hAnsi="Times New Roman"/>
          <w:sz w:val="24"/>
        </w:rPr>
        <w:t>data monitorizării radiometrice;</w:t>
      </w:r>
    </w:p>
    <w:p w:rsidR="00085F28" w:rsidRPr="00583B72" w:rsidRDefault="00085F28" w:rsidP="00C0795E">
      <w:pPr>
        <w:pStyle w:val="ListParagraph"/>
        <w:numPr>
          <w:ilvl w:val="0"/>
          <w:numId w:val="13"/>
        </w:numPr>
        <w:spacing w:after="0" w:line="240" w:lineRule="auto"/>
        <w:ind w:left="1276"/>
        <w:jc w:val="both"/>
        <w:rPr>
          <w:rFonts w:ascii="Times New Roman" w:hAnsi="Times New Roman" w:cs="Times New Roman"/>
          <w:sz w:val="24"/>
          <w:szCs w:val="24"/>
        </w:rPr>
      </w:pPr>
      <w:r w:rsidRPr="00583B72">
        <w:rPr>
          <w:rFonts w:ascii="Times New Roman" w:hAnsi="Times New Roman"/>
          <w:sz w:val="24"/>
        </w:rPr>
        <w:t>valoarea condițiilor locale de mediu, înregistrată înainte de monitorizarea radiometrică;</w:t>
      </w:r>
    </w:p>
    <w:p w:rsidR="00C0795E" w:rsidRPr="00583B72" w:rsidRDefault="00F516F1" w:rsidP="00C0795E">
      <w:pPr>
        <w:pStyle w:val="ListParagraph"/>
        <w:numPr>
          <w:ilvl w:val="0"/>
          <w:numId w:val="13"/>
        </w:numPr>
        <w:spacing w:after="0" w:line="240" w:lineRule="auto"/>
        <w:ind w:left="1276"/>
        <w:jc w:val="both"/>
        <w:rPr>
          <w:rFonts w:ascii="Times New Roman" w:hAnsi="Times New Roman" w:cs="Times New Roman"/>
          <w:sz w:val="24"/>
          <w:szCs w:val="24"/>
        </w:rPr>
      </w:pPr>
      <w:r w:rsidRPr="00583B72">
        <w:rPr>
          <w:rFonts w:ascii="Times New Roman" w:hAnsi="Times New Roman"/>
          <w:sz w:val="24"/>
        </w:rPr>
        <w:lastRenderedPageBreak/>
        <w:t>tipul de măsurători radiometrice efectuate și instrumentele utilizate;</w:t>
      </w:r>
    </w:p>
    <w:p w:rsidR="00085F28" w:rsidRPr="00583B72" w:rsidRDefault="00085F28" w:rsidP="00C0795E">
      <w:pPr>
        <w:pStyle w:val="ListParagraph"/>
        <w:numPr>
          <w:ilvl w:val="0"/>
          <w:numId w:val="13"/>
        </w:numPr>
        <w:spacing w:after="0" w:line="240" w:lineRule="auto"/>
        <w:ind w:left="1276"/>
        <w:jc w:val="both"/>
        <w:rPr>
          <w:rFonts w:ascii="Times New Roman" w:hAnsi="Times New Roman" w:cs="Times New Roman"/>
          <w:sz w:val="24"/>
          <w:szCs w:val="24"/>
        </w:rPr>
      </w:pPr>
      <w:r w:rsidRPr="00583B72">
        <w:rPr>
          <w:rFonts w:ascii="Times New Roman" w:hAnsi="Times New Roman"/>
          <w:sz w:val="24"/>
        </w:rPr>
        <w:t>verificarea funcțională finală efectuată pe sistemul de măsurare folosit;</w:t>
      </w:r>
    </w:p>
    <w:p w:rsidR="00085F28" w:rsidRPr="00583B72" w:rsidRDefault="00085F28" w:rsidP="00C0795E">
      <w:pPr>
        <w:pStyle w:val="ListParagraph"/>
        <w:numPr>
          <w:ilvl w:val="0"/>
          <w:numId w:val="13"/>
        </w:numPr>
        <w:spacing w:after="0" w:line="240" w:lineRule="auto"/>
        <w:ind w:left="1276"/>
        <w:jc w:val="both"/>
        <w:rPr>
          <w:rFonts w:ascii="Times New Roman" w:hAnsi="Times New Roman" w:cs="Times New Roman"/>
          <w:sz w:val="24"/>
          <w:szCs w:val="24"/>
        </w:rPr>
      </w:pPr>
      <w:r w:rsidRPr="00583B72">
        <w:rPr>
          <w:rFonts w:ascii="Times New Roman" w:hAnsi="Times New Roman"/>
          <w:sz w:val="24"/>
        </w:rPr>
        <w:t>numele angajatului responsabil pentru efectuarea măsurătorilor radiometrice;</w:t>
      </w:r>
    </w:p>
    <w:p w:rsidR="00C0795E" w:rsidRPr="00583B72" w:rsidRDefault="00085F28" w:rsidP="00C0795E">
      <w:pPr>
        <w:pStyle w:val="ListParagraph"/>
        <w:numPr>
          <w:ilvl w:val="0"/>
          <w:numId w:val="13"/>
        </w:numPr>
        <w:spacing w:after="0" w:line="240" w:lineRule="auto"/>
        <w:ind w:left="1276"/>
        <w:jc w:val="both"/>
        <w:rPr>
          <w:rFonts w:ascii="Times New Roman" w:hAnsi="Times New Roman" w:cs="Times New Roman"/>
          <w:sz w:val="24"/>
          <w:szCs w:val="24"/>
        </w:rPr>
      </w:pPr>
      <w:r w:rsidRPr="00583B72">
        <w:rPr>
          <w:rFonts w:ascii="Times New Roman" w:hAnsi="Times New Roman"/>
          <w:sz w:val="24"/>
        </w:rPr>
        <w:t>rezultatele măsurătorilor efectuate;</w:t>
      </w:r>
    </w:p>
    <w:p w:rsidR="00C0795E" w:rsidRPr="00583B72" w:rsidRDefault="00E87B3C" w:rsidP="00C0795E">
      <w:pPr>
        <w:pStyle w:val="ListParagraph"/>
        <w:numPr>
          <w:ilvl w:val="0"/>
          <w:numId w:val="13"/>
        </w:numPr>
        <w:spacing w:after="0" w:line="240" w:lineRule="auto"/>
        <w:ind w:left="1276"/>
        <w:jc w:val="both"/>
        <w:rPr>
          <w:rFonts w:ascii="Times New Roman" w:hAnsi="Times New Roman" w:cs="Times New Roman"/>
          <w:sz w:val="24"/>
          <w:szCs w:val="24"/>
        </w:rPr>
      </w:pPr>
      <w:r w:rsidRPr="00583B72">
        <w:rPr>
          <w:rFonts w:ascii="Times New Roman" w:hAnsi="Times New Roman"/>
          <w:sz w:val="24"/>
        </w:rPr>
        <w:t>concluziile privind acceptarea/respingerea încărcăturii/materialelor.</w:t>
      </w:r>
    </w:p>
    <w:p w:rsidR="00577A7D" w:rsidRPr="00583B72" w:rsidRDefault="00577A7D" w:rsidP="00577A7D">
      <w:pPr>
        <w:spacing w:after="0" w:line="240" w:lineRule="auto"/>
        <w:ind w:left="709"/>
        <w:jc w:val="both"/>
        <w:rPr>
          <w:rFonts w:ascii="Times New Roman" w:hAnsi="Times New Roman" w:cs="Times New Roman"/>
          <w:sz w:val="24"/>
          <w:szCs w:val="24"/>
        </w:rPr>
      </w:pPr>
      <w:r w:rsidRPr="00583B72">
        <w:rPr>
          <w:rFonts w:ascii="Times New Roman" w:hAnsi="Times New Roman"/>
          <w:sz w:val="24"/>
        </w:rPr>
        <w:t>În cazurile în care în fabrică se efectuează operațiuni de topire a deșeurilor de metal sau a altor subproduse de metal, certificatul trebuie să conțină, de asemenea, informații relevante privind monitorizarea radiometrică și rezultatele măsurătorilor de concentrație a activității pe unitate de masă, efectuate pe produsul și pe zgura de topire, precum și pe praful provenit din sistemul de evacuare a fumului din instalație.</w:t>
      </w:r>
    </w:p>
    <w:p w:rsidR="00C0795E" w:rsidRPr="00583B72" w:rsidRDefault="00C0795E" w:rsidP="00C0795E">
      <w:pPr>
        <w:pStyle w:val="ListParagraph"/>
        <w:numPr>
          <w:ilvl w:val="0"/>
          <w:numId w:val="12"/>
        </w:numPr>
        <w:spacing w:after="0" w:line="240" w:lineRule="auto"/>
        <w:jc w:val="both"/>
        <w:rPr>
          <w:rFonts w:ascii="Times New Roman" w:hAnsi="Times New Roman" w:cs="Times New Roman"/>
          <w:sz w:val="24"/>
          <w:szCs w:val="24"/>
        </w:rPr>
      </w:pPr>
      <w:r w:rsidRPr="00583B72">
        <w:rPr>
          <w:rFonts w:ascii="Times New Roman" w:hAnsi="Times New Roman"/>
          <w:sz w:val="24"/>
        </w:rPr>
        <w:t>Certificarea menționată la alineatul (1) trebuie să fie înregistrată într-un registru întocmit de un expert calificat desemnat, în numele entității menționate la articolul 157 alineatul (1) din Decretul legislativ nr. 230 din 17 martie 1995; registrul menționat trebuie pus la dispoziția autorităților de supraveghere și păstrat timp de cel puțin cinci ani la locul desfășurării activității sau, dacă este necesar, pentru a asigura o conservare mai bună la sediul entității menționate la articolul 157 alineatul (1) din decretul legislativ menționat anterior.</w:t>
      </w:r>
    </w:p>
    <w:p w:rsidR="00C0795E" w:rsidRPr="00583B72" w:rsidRDefault="00C0795E" w:rsidP="00502D9D">
      <w:pPr>
        <w:spacing w:after="0" w:line="240" w:lineRule="auto"/>
        <w:jc w:val="both"/>
        <w:rPr>
          <w:rFonts w:ascii="Times New Roman" w:hAnsi="Times New Roman" w:cs="Times New Roman"/>
          <w:sz w:val="24"/>
          <w:szCs w:val="24"/>
        </w:rPr>
      </w:pPr>
    </w:p>
    <w:p w:rsidR="00C0795E" w:rsidRPr="00583B72" w:rsidRDefault="00C0795E" w:rsidP="00C0795E">
      <w:pPr>
        <w:spacing w:after="0" w:line="240" w:lineRule="auto"/>
        <w:ind w:left="360"/>
        <w:jc w:val="center"/>
        <w:rPr>
          <w:rFonts w:ascii="Times New Roman" w:hAnsi="Times New Roman" w:cs="Times New Roman"/>
          <w:sz w:val="24"/>
          <w:szCs w:val="24"/>
        </w:rPr>
      </w:pPr>
      <w:r w:rsidRPr="00583B72">
        <w:rPr>
          <w:rFonts w:ascii="Times New Roman" w:hAnsi="Times New Roman"/>
          <w:sz w:val="24"/>
        </w:rPr>
        <w:t>Articolul 5</w:t>
      </w:r>
    </w:p>
    <w:p w:rsidR="00C0795E" w:rsidRPr="00583B72" w:rsidRDefault="00C0795E" w:rsidP="00C0795E">
      <w:pPr>
        <w:spacing w:after="0" w:line="240" w:lineRule="auto"/>
        <w:ind w:left="360"/>
        <w:jc w:val="center"/>
        <w:rPr>
          <w:rFonts w:ascii="Times New Roman" w:hAnsi="Times New Roman" w:cs="Times New Roman"/>
          <w:i/>
          <w:sz w:val="24"/>
          <w:szCs w:val="24"/>
        </w:rPr>
      </w:pPr>
      <w:r w:rsidRPr="00583B72">
        <w:rPr>
          <w:rFonts w:ascii="Times New Roman" w:hAnsi="Times New Roman"/>
          <w:i/>
          <w:sz w:val="24"/>
        </w:rPr>
        <w:t>Personalul responsabil pentru efectuarea monitorizării radiometrice</w:t>
      </w:r>
    </w:p>
    <w:p w:rsidR="00C0795E" w:rsidRPr="00583B72" w:rsidRDefault="00C0795E" w:rsidP="00502D9D">
      <w:pPr>
        <w:spacing w:after="0" w:line="240" w:lineRule="auto"/>
        <w:jc w:val="both"/>
        <w:rPr>
          <w:rFonts w:ascii="Times New Roman" w:hAnsi="Times New Roman" w:cs="Times New Roman"/>
          <w:sz w:val="24"/>
          <w:szCs w:val="24"/>
        </w:rPr>
      </w:pPr>
    </w:p>
    <w:p w:rsidR="006D4BF0" w:rsidRPr="00583B72" w:rsidRDefault="00C87594" w:rsidP="006D4BF0">
      <w:pPr>
        <w:pStyle w:val="ListParagraph"/>
        <w:numPr>
          <w:ilvl w:val="0"/>
          <w:numId w:val="14"/>
        </w:numPr>
        <w:spacing w:after="0" w:line="240" w:lineRule="auto"/>
        <w:jc w:val="both"/>
        <w:rPr>
          <w:rFonts w:ascii="Times New Roman" w:hAnsi="Times New Roman" w:cs="Times New Roman"/>
          <w:sz w:val="24"/>
          <w:szCs w:val="24"/>
        </w:rPr>
      </w:pPr>
      <w:r w:rsidRPr="00583B72">
        <w:rPr>
          <w:rFonts w:ascii="Times New Roman" w:hAnsi="Times New Roman"/>
          <w:sz w:val="24"/>
        </w:rPr>
        <w:t>Măsurătorile radiometrice pot fi efectuate de către personal fără calificare de specialitate, cu condiția ca persoana respectivă:</w:t>
      </w:r>
    </w:p>
    <w:p w:rsidR="006D4BF0" w:rsidRPr="00583B72" w:rsidRDefault="006D4BF0" w:rsidP="00C87594">
      <w:pPr>
        <w:pStyle w:val="ListParagraph"/>
        <w:numPr>
          <w:ilvl w:val="0"/>
          <w:numId w:val="15"/>
        </w:numPr>
        <w:spacing w:after="0" w:line="240" w:lineRule="auto"/>
        <w:jc w:val="both"/>
        <w:rPr>
          <w:rFonts w:ascii="Times New Roman" w:hAnsi="Times New Roman" w:cs="Times New Roman"/>
          <w:sz w:val="24"/>
          <w:szCs w:val="24"/>
        </w:rPr>
      </w:pPr>
      <w:r w:rsidRPr="00583B72">
        <w:rPr>
          <w:rFonts w:ascii="Times New Roman" w:hAnsi="Times New Roman"/>
          <w:sz w:val="24"/>
        </w:rPr>
        <w:t>să fie angajată direct de entitatea menționată la articolul 157 alineatul (1) din Decretul legislativ nr. 230 din 17 martie 1995;</w:t>
      </w:r>
    </w:p>
    <w:p w:rsidR="00C87594" w:rsidRPr="00583B72" w:rsidRDefault="00C87594" w:rsidP="00C87594">
      <w:pPr>
        <w:pStyle w:val="ListParagraph"/>
        <w:numPr>
          <w:ilvl w:val="0"/>
          <w:numId w:val="15"/>
        </w:numPr>
        <w:spacing w:after="0" w:line="240" w:lineRule="auto"/>
        <w:jc w:val="both"/>
        <w:rPr>
          <w:rFonts w:ascii="Times New Roman" w:hAnsi="Times New Roman" w:cs="Times New Roman"/>
          <w:sz w:val="24"/>
          <w:szCs w:val="24"/>
        </w:rPr>
      </w:pPr>
      <w:r w:rsidRPr="00583B72">
        <w:rPr>
          <w:rFonts w:ascii="Times New Roman" w:hAnsi="Times New Roman"/>
          <w:sz w:val="24"/>
        </w:rPr>
        <w:t>să fi fost selectată de către angajator la unitate în acord cu expertul desemnat;</w:t>
      </w:r>
    </w:p>
    <w:p w:rsidR="00C87594" w:rsidRPr="00583B72" w:rsidRDefault="00C87594" w:rsidP="00C87594">
      <w:pPr>
        <w:pStyle w:val="ListParagraph"/>
        <w:numPr>
          <w:ilvl w:val="0"/>
          <w:numId w:val="15"/>
        </w:numPr>
        <w:spacing w:after="0" w:line="240" w:lineRule="auto"/>
        <w:jc w:val="both"/>
        <w:rPr>
          <w:rFonts w:ascii="Times New Roman" w:hAnsi="Times New Roman" w:cs="Times New Roman"/>
          <w:sz w:val="24"/>
          <w:szCs w:val="24"/>
        </w:rPr>
      </w:pPr>
      <w:r w:rsidRPr="00583B72">
        <w:rPr>
          <w:rFonts w:ascii="Times New Roman" w:hAnsi="Times New Roman"/>
          <w:sz w:val="24"/>
        </w:rPr>
        <w:t>să fi finalizat anterior un program adecvat de instruire și informare;</w:t>
      </w:r>
    </w:p>
    <w:p w:rsidR="00C87594" w:rsidRPr="00583B72" w:rsidRDefault="00C87594" w:rsidP="00C87594">
      <w:pPr>
        <w:pStyle w:val="ListParagraph"/>
        <w:numPr>
          <w:ilvl w:val="0"/>
          <w:numId w:val="15"/>
        </w:numPr>
        <w:spacing w:after="0" w:line="240" w:lineRule="auto"/>
        <w:jc w:val="both"/>
        <w:rPr>
          <w:rFonts w:ascii="Times New Roman" w:hAnsi="Times New Roman" w:cs="Times New Roman"/>
          <w:sz w:val="24"/>
          <w:szCs w:val="24"/>
        </w:rPr>
      </w:pPr>
      <w:r w:rsidRPr="00583B72">
        <w:rPr>
          <w:rFonts w:ascii="Times New Roman" w:hAnsi="Times New Roman"/>
          <w:sz w:val="24"/>
        </w:rPr>
        <w:t>să lucreze sub îndrumarea, direcția și responsabilitatea expertului calificat;</w:t>
      </w:r>
    </w:p>
    <w:p w:rsidR="00C87594" w:rsidRPr="00583B72" w:rsidRDefault="00C87594" w:rsidP="00F70DCA">
      <w:pPr>
        <w:pStyle w:val="ListParagraph"/>
        <w:numPr>
          <w:ilvl w:val="0"/>
          <w:numId w:val="15"/>
        </w:numPr>
        <w:spacing w:after="0" w:line="240" w:lineRule="auto"/>
        <w:jc w:val="both"/>
        <w:rPr>
          <w:rFonts w:ascii="Times New Roman" w:hAnsi="Times New Roman" w:cs="Times New Roman"/>
          <w:sz w:val="24"/>
          <w:szCs w:val="24"/>
        </w:rPr>
      </w:pPr>
      <w:r w:rsidRPr="00583B72">
        <w:rPr>
          <w:rFonts w:ascii="Times New Roman" w:hAnsi="Times New Roman"/>
          <w:sz w:val="24"/>
        </w:rPr>
        <w:t>respectă procedurile indicate de expertul calificat și, în cazul suspiciunii de prezență a surselor orfane sau a materialelor contaminate, normele interne elaborate de angajator, în acord cu un expert calificat.</w:t>
      </w:r>
    </w:p>
    <w:p w:rsidR="00C0795E" w:rsidRPr="00583B72" w:rsidRDefault="00C87594" w:rsidP="00C87594">
      <w:pPr>
        <w:pStyle w:val="ListParagraph"/>
        <w:numPr>
          <w:ilvl w:val="0"/>
          <w:numId w:val="14"/>
        </w:numPr>
        <w:spacing w:after="0" w:line="240" w:lineRule="auto"/>
        <w:jc w:val="both"/>
        <w:rPr>
          <w:rFonts w:ascii="Times New Roman" w:hAnsi="Times New Roman" w:cs="Times New Roman"/>
          <w:sz w:val="24"/>
          <w:szCs w:val="24"/>
        </w:rPr>
      </w:pPr>
      <w:r w:rsidRPr="00583B72">
        <w:rPr>
          <w:rFonts w:ascii="Times New Roman" w:hAnsi="Times New Roman"/>
          <w:sz w:val="24"/>
        </w:rPr>
        <w:t>Expertul calificat desemnat de entitatea menționată la articolul 157 alineatul (1) din Decretul legislativ nr. 230 din 17 martie 1995 trebuie să furnizeze acestei entități specificațiile de protecție împotriva radiațiilor, necesare pentru elaborarea procedurilor de efectuare a măsurărilor radiometrice și pentru măsurile de siguranță și protecție, care trebuie să fie adoptate în cazul descoperirii unor surse orfane sau a unor materiale metalice contaminate, precum și în scopul îndeplinirii obligațiilor prevăzute la articolul 157 alineatul (4) din decretul legislativ menționat.</w:t>
      </w:r>
    </w:p>
    <w:p w:rsidR="00C0795E" w:rsidRPr="00583B72" w:rsidRDefault="00C0795E" w:rsidP="00502D9D">
      <w:pPr>
        <w:spacing w:after="0" w:line="240" w:lineRule="auto"/>
        <w:jc w:val="both"/>
        <w:rPr>
          <w:rFonts w:ascii="Times New Roman" w:hAnsi="Times New Roman" w:cs="Times New Roman"/>
          <w:sz w:val="24"/>
          <w:szCs w:val="24"/>
        </w:rPr>
      </w:pPr>
    </w:p>
    <w:p w:rsidR="008E72DD" w:rsidRPr="00583B72" w:rsidRDefault="00C0795E" w:rsidP="008E72DD">
      <w:pPr>
        <w:spacing w:after="0" w:line="240" w:lineRule="auto"/>
        <w:ind w:left="360"/>
        <w:jc w:val="center"/>
        <w:rPr>
          <w:rFonts w:ascii="Times New Roman" w:hAnsi="Times New Roman" w:cs="Times New Roman"/>
          <w:sz w:val="24"/>
          <w:szCs w:val="24"/>
        </w:rPr>
      </w:pPr>
      <w:r w:rsidRPr="00583B72">
        <w:rPr>
          <w:rFonts w:ascii="Times New Roman" w:hAnsi="Times New Roman"/>
          <w:sz w:val="24"/>
        </w:rPr>
        <w:t>Articolul 6</w:t>
      </w:r>
    </w:p>
    <w:p w:rsidR="008E72DD" w:rsidRPr="00583B72" w:rsidRDefault="008E72DD" w:rsidP="006270DA">
      <w:pPr>
        <w:spacing w:after="0" w:line="240" w:lineRule="auto"/>
        <w:ind w:left="426"/>
        <w:jc w:val="center"/>
        <w:rPr>
          <w:rFonts w:ascii="Times New Roman" w:hAnsi="Times New Roman" w:cs="Times New Roman"/>
          <w:sz w:val="24"/>
          <w:szCs w:val="24"/>
        </w:rPr>
      </w:pPr>
      <w:r w:rsidRPr="00583B72">
        <w:rPr>
          <w:rFonts w:ascii="Times New Roman" w:hAnsi="Times New Roman"/>
          <w:i/>
          <w:sz w:val="24"/>
        </w:rPr>
        <w:t>Instruirea personalului</w:t>
      </w:r>
    </w:p>
    <w:p w:rsidR="008E72DD" w:rsidRPr="00583B72" w:rsidRDefault="008E72DD" w:rsidP="00502D9D">
      <w:pPr>
        <w:spacing w:after="0" w:line="240" w:lineRule="auto"/>
        <w:jc w:val="both"/>
        <w:rPr>
          <w:rFonts w:ascii="Times New Roman" w:hAnsi="Times New Roman" w:cs="Times New Roman"/>
          <w:sz w:val="24"/>
          <w:szCs w:val="24"/>
        </w:rPr>
      </w:pPr>
    </w:p>
    <w:p w:rsidR="003D7DE6" w:rsidRPr="00583B72" w:rsidRDefault="00742F89" w:rsidP="003D7DE6">
      <w:pPr>
        <w:pStyle w:val="ListParagraph"/>
        <w:numPr>
          <w:ilvl w:val="0"/>
          <w:numId w:val="16"/>
        </w:numPr>
        <w:spacing w:after="0" w:line="240" w:lineRule="auto"/>
        <w:jc w:val="both"/>
        <w:rPr>
          <w:rFonts w:ascii="Times New Roman" w:hAnsi="Times New Roman" w:cs="Times New Roman"/>
          <w:sz w:val="24"/>
          <w:szCs w:val="24"/>
        </w:rPr>
      </w:pPr>
      <w:r w:rsidRPr="00583B72">
        <w:rPr>
          <w:rFonts w:ascii="Times New Roman" w:hAnsi="Times New Roman"/>
          <w:sz w:val="24"/>
        </w:rPr>
        <w:t>Entitățile menționate la articolul 157 alineatul (1) din Decretul legislativ nr. 230 din 17 martie 1995 trebuie să-și instruiască personalul pentru a recunoaște cele mai frecvente tipuri de surse radioactive, precum și containerele și echipamentele acestora, care prezintă semne și marcaje care indică existența radioactivității.</w:t>
      </w:r>
    </w:p>
    <w:p w:rsidR="00742F89" w:rsidRPr="00583B72" w:rsidRDefault="003D7DE6" w:rsidP="003D7DE6">
      <w:pPr>
        <w:pStyle w:val="ListParagraph"/>
        <w:numPr>
          <w:ilvl w:val="0"/>
          <w:numId w:val="16"/>
        </w:numPr>
        <w:spacing w:after="0" w:line="240" w:lineRule="auto"/>
        <w:jc w:val="both"/>
        <w:rPr>
          <w:rFonts w:ascii="Times New Roman" w:hAnsi="Times New Roman" w:cs="Times New Roman"/>
          <w:sz w:val="24"/>
          <w:szCs w:val="24"/>
        </w:rPr>
      </w:pPr>
      <w:r w:rsidRPr="00583B72">
        <w:rPr>
          <w:rFonts w:ascii="Times New Roman" w:hAnsi="Times New Roman"/>
          <w:sz w:val="24"/>
        </w:rPr>
        <w:t xml:space="preserve">Entitățile menționate la alineatul (1) trebuie să furnizeze, de asemenea, o instruire specifică, însoțită de documente, personalului responsabil cu efectuarea monitorizării radiometrice, astfel încât să își poată îndeplini în mod corespunzător atribuțiile, inclusiv inspecțiile vizuale. În mod deosebit, întregul personal responsabil cu descărcarea, mutarea și manipularea deșeurilor de metal sau a altor produse secundare de metal și produse semifabricate de metal trebuie informat și instruit în ceea ce privește procedurile de </w:t>
      </w:r>
      <w:r w:rsidRPr="00583B72">
        <w:rPr>
          <w:rFonts w:ascii="Times New Roman" w:hAnsi="Times New Roman"/>
          <w:sz w:val="24"/>
        </w:rPr>
        <w:lastRenderedPageBreak/>
        <w:t>siguranță și protecție care trebuie adoptate în cazul descoperirii unor surse orfane sau a unui material metalic contaminat.</w:t>
      </w:r>
    </w:p>
    <w:p w:rsidR="00F66476" w:rsidRPr="00583B72" w:rsidRDefault="00F66476">
      <w:pPr>
        <w:spacing w:after="0" w:line="240" w:lineRule="auto"/>
        <w:jc w:val="both"/>
        <w:rPr>
          <w:rFonts w:ascii="Times New Roman" w:hAnsi="Times New Roman" w:cs="Times New Roman"/>
          <w:sz w:val="24"/>
          <w:szCs w:val="24"/>
        </w:rPr>
      </w:pPr>
    </w:p>
    <w:p w:rsidR="00F66476" w:rsidRPr="00583B72" w:rsidRDefault="009E4D53" w:rsidP="00223553">
      <w:pPr>
        <w:keepNext/>
        <w:spacing w:after="0" w:line="240" w:lineRule="auto"/>
        <w:jc w:val="center"/>
        <w:rPr>
          <w:rFonts w:ascii="Times New Roman" w:hAnsi="Times New Roman" w:cs="Times New Roman"/>
          <w:sz w:val="24"/>
          <w:szCs w:val="24"/>
        </w:rPr>
      </w:pPr>
      <w:r w:rsidRPr="00583B72">
        <w:rPr>
          <w:rFonts w:ascii="Times New Roman" w:hAnsi="Times New Roman"/>
          <w:sz w:val="24"/>
        </w:rPr>
        <w:t>Articolul 7</w:t>
      </w:r>
    </w:p>
    <w:p w:rsidR="00F66476" w:rsidRPr="00583B72" w:rsidRDefault="00A505F5" w:rsidP="00223553">
      <w:pPr>
        <w:keepNext/>
        <w:spacing w:after="0" w:line="240" w:lineRule="auto"/>
        <w:jc w:val="center"/>
        <w:rPr>
          <w:rFonts w:ascii="Times New Roman" w:hAnsi="Times New Roman" w:cs="Times New Roman"/>
          <w:i/>
          <w:sz w:val="24"/>
          <w:szCs w:val="24"/>
        </w:rPr>
      </w:pPr>
      <w:r w:rsidRPr="00583B72">
        <w:rPr>
          <w:rFonts w:ascii="Times New Roman" w:hAnsi="Times New Roman"/>
          <w:i/>
          <w:sz w:val="24"/>
        </w:rPr>
        <w:t>Recunoașterea reciprocă a certificatelor eliberate în urma încercărilor radiometrice, efectuate asupra deșeurilor metalice sau a altor subproduse de metal și produselor semifabricate de metal, provenite din țări terțe</w:t>
      </w:r>
    </w:p>
    <w:p w:rsidR="000D519B" w:rsidRPr="00583B72" w:rsidRDefault="000D519B" w:rsidP="00223553">
      <w:pPr>
        <w:keepNext/>
        <w:spacing w:after="0" w:line="240" w:lineRule="auto"/>
        <w:jc w:val="center"/>
        <w:rPr>
          <w:rFonts w:ascii="Times New Roman" w:hAnsi="Times New Roman" w:cs="Times New Roman"/>
          <w:sz w:val="24"/>
          <w:szCs w:val="24"/>
        </w:rPr>
      </w:pPr>
    </w:p>
    <w:p w:rsidR="000D519B" w:rsidRPr="00583B72" w:rsidRDefault="002A1841" w:rsidP="001C7D7C">
      <w:pPr>
        <w:pStyle w:val="ListParagraph"/>
        <w:numPr>
          <w:ilvl w:val="0"/>
          <w:numId w:val="9"/>
        </w:numPr>
        <w:spacing w:line="240" w:lineRule="auto"/>
        <w:ind w:left="709" w:hanging="357"/>
        <w:jc w:val="both"/>
        <w:rPr>
          <w:rFonts w:ascii="Times New Roman" w:hAnsi="Times New Roman" w:cs="Times New Roman"/>
          <w:sz w:val="24"/>
          <w:szCs w:val="24"/>
        </w:rPr>
      </w:pPr>
      <w:r w:rsidRPr="00583B72">
        <w:rPr>
          <w:rFonts w:ascii="Times New Roman" w:hAnsi="Times New Roman"/>
          <w:sz w:val="24"/>
        </w:rPr>
        <w:t>În scopul îndeplinirii procedurilor vamale, pentru deșeurile de metale sau alte subproduse metalice și pentru produsele metalice semifinite care provin din țări terțe pentru care există niveluri echivalente de protecție recunoscute prin utilizarea de certificate conforme cu formularul din anexa I la prezentul decret, în locul certificării pe baza încercărilor radiometrice efectuate la vamă, declarația emisă la locul de origine de către entitățile autorizate anterior, în conformitate cu dispozițiile stabilite de autoritatea competentă din țara de origine a acestor materiale, poate fi acceptată conform principiului recunoașterii reciproce.</w:t>
      </w:r>
    </w:p>
    <w:p w:rsidR="000D519B" w:rsidRPr="00583B72" w:rsidRDefault="000B093A" w:rsidP="001C7D7C">
      <w:pPr>
        <w:pStyle w:val="ListParagraph"/>
        <w:numPr>
          <w:ilvl w:val="0"/>
          <w:numId w:val="9"/>
        </w:numPr>
        <w:spacing w:line="240" w:lineRule="auto"/>
        <w:ind w:left="709" w:hanging="357"/>
        <w:jc w:val="both"/>
        <w:rPr>
          <w:rFonts w:ascii="Times New Roman" w:hAnsi="Times New Roman" w:cs="Times New Roman"/>
          <w:sz w:val="24"/>
          <w:szCs w:val="24"/>
        </w:rPr>
      </w:pPr>
      <w:r w:rsidRPr="00583B72">
        <w:rPr>
          <w:rFonts w:ascii="Times New Roman" w:hAnsi="Times New Roman"/>
          <w:sz w:val="24"/>
        </w:rPr>
        <w:t>Lista țărilor pentru care este în vigoare un acord de recunoaștere reciprocă se publică și se actualizează periodic de către Ministerul Dezvoltării Economice.</w:t>
      </w:r>
    </w:p>
    <w:p w:rsidR="002028A7" w:rsidRPr="00583B72" w:rsidRDefault="002028A7" w:rsidP="00160CDF">
      <w:pPr>
        <w:spacing w:after="0" w:line="240" w:lineRule="auto"/>
        <w:ind w:left="360"/>
        <w:jc w:val="center"/>
        <w:rPr>
          <w:rFonts w:ascii="Times New Roman" w:hAnsi="Times New Roman" w:cs="Times New Roman"/>
          <w:sz w:val="24"/>
          <w:szCs w:val="24"/>
        </w:rPr>
      </w:pPr>
      <w:r w:rsidRPr="00583B72">
        <w:rPr>
          <w:rFonts w:ascii="Times New Roman" w:hAnsi="Times New Roman"/>
          <w:sz w:val="24"/>
        </w:rPr>
        <w:t>Articolul 8</w:t>
      </w:r>
    </w:p>
    <w:p w:rsidR="00B310BB" w:rsidRPr="00583B72" w:rsidRDefault="003D7DE6" w:rsidP="00160CDF">
      <w:pPr>
        <w:spacing w:after="0" w:line="240" w:lineRule="auto"/>
        <w:jc w:val="center"/>
        <w:rPr>
          <w:rFonts w:ascii="Times New Roman" w:hAnsi="Times New Roman" w:cs="Times New Roman"/>
          <w:i/>
          <w:sz w:val="24"/>
          <w:szCs w:val="24"/>
        </w:rPr>
      </w:pPr>
      <w:r w:rsidRPr="00583B72">
        <w:rPr>
          <w:rFonts w:ascii="Times New Roman" w:hAnsi="Times New Roman"/>
          <w:i/>
          <w:sz w:val="24"/>
        </w:rPr>
        <w:t>Produse semifabricate din metal supuse monitorizării radiometrice</w:t>
      </w:r>
    </w:p>
    <w:p w:rsidR="003D7DE6" w:rsidRPr="00583B72" w:rsidRDefault="003D7DE6" w:rsidP="00160CDF">
      <w:pPr>
        <w:spacing w:after="0" w:line="240" w:lineRule="auto"/>
        <w:jc w:val="center"/>
        <w:rPr>
          <w:rFonts w:ascii="Times New Roman" w:hAnsi="Times New Roman" w:cs="Times New Roman"/>
          <w:i/>
          <w:sz w:val="24"/>
          <w:szCs w:val="24"/>
        </w:rPr>
      </w:pPr>
    </w:p>
    <w:p w:rsidR="003D7DE6" w:rsidRPr="00583B72" w:rsidRDefault="00F4394A" w:rsidP="001C7D7C">
      <w:pPr>
        <w:spacing w:line="240" w:lineRule="auto"/>
        <w:ind w:left="709" w:hanging="357"/>
        <w:jc w:val="both"/>
        <w:rPr>
          <w:rFonts w:ascii="Times New Roman" w:hAnsi="Times New Roman" w:cs="Times New Roman"/>
          <w:sz w:val="24"/>
          <w:szCs w:val="24"/>
        </w:rPr>
      </w:pPr>
      <w:r w:rsidRPr="00583B72">
        <w:rPr>
          <w:rFonts w:ascii="Times New Roman" w:hAnsi="Times New Roman"/>
          <w:sz w:val="24"/>
        </w:rPr>
        <w:t>(</w:t>
      </w:r>
      <w:r w:rsidR="003D7DE6" w:rsidRPr="00583B72">
        <w:rPr>
          <w:rFonts w:ascii="Times New Roman" w:hAnsi="Times New Roman"/>
          <w:sz w:val="24"/>
        </w:rPr>
        <w:t>1</w:t>
      </w:r>
      <w:r w:rsidRPr="00583B72">
        <w:rPr>
          <w:rFonts w:ascii="Times New Roman" w:hAnsi="Times New Roman"/>
          <w:sz w:val="24"/>
        </w:rPr>
        <w:t>)</w:t>
      </w:r>
      <w:r w:rsidR="003D7DE6" w:rsidRPr="00583B72">
        <w:tab/>
      </w:r>
      <w:r w:rsidR="003D7DE6" w:rsidRPr="00583B72">
        <w:rPr>
          <w:rFonts w:ascii="Times New Roman" w:hAnsi="Times New Roman"/>
          <w:sz w:val="24"/>
        </w:rPr>
        <w:t>Lista produselor semifabricate din metal supuse monitorizării radiometrice este prezentată în anexa II la prezentul decret.</w:t>
      </w:r>
    </w:p>
    <w:p w:rsidR="00C75963" w:rsidRPr="00583B72" w:rsidRDefault="00F4394A" w:rsidP="001C7D7C">
      <w:pPr>
        <w:spacing w:line="240" w:lineRule="auto"/>
        <w:ind w:left="709" w:hanging="357"/>
        <w:jc w:val="both"/>
        <w:rPr>
          <w:rFonts w:ascii="Times New Roman" w:hAnsi="Times New Roman" w:cs="Times New Roman"/>
          <w:sz w:val="24"/>
          <w:szCs w:val="24"/>
        </w:rPr>
      </w:pPr>
      <w:r w:rsidRPr="00583B72">
        <w:rPr>
          <w:rFonts w:ascii="Times New Roman" w:hAnsi="Times New Roman"/>
          <w:sz w:val="24"/>
        </w:rPr>
        <w:t>(</w:t>
      </w:r>
      <w:r w:rsidR="00C75963" w:rsidRPr="00583B72">
        <w:rPr>
          <w:rFonts w:ascii="Times New Roman" w:hAnsi="Times New Roman"/>
          <w:sz w:val="24"/>
        </w:rPr>
        <w:t>2</w:t>
      </w:r>
      <w:r w:rsidRPr="00583B72">
        <w:rPr>
          <w:rFonts w:ascii="Times New Roman" w:hAnsi="Times New Roman"/>
          <w:sz w:val="24"/>
        </w:rPr>
        <w:t>)</w:t>
      </w:r>
      <w:r w:rsidR="00C75963" w:rsidRPr="00583B72">
        <w:tab/>
      </w:r>
      <w:r w:rsidR="00C75963" w:rsidRPr="00583B72">
        <w:rPr>
          <w:rFonts w:ascii="Times New Roman" w:hAnsi="Times New Roman"/>
          <w:sz w:val="24"/>
        </w:rPr>
        <w:t>Actualizarea anexei II la prezentul decret a fost efectuată pe baza modificărilor aduse Nomenclaturii combinate, astfel cum se prevede în reglementările UE referitoare la aceste produse, prin decret al Ministerului Dezvoltării Economice, la propunerea Agenției vamale și pentru monopol din Italia.</w:t>
      </w:r>
    </w:p>
    <w:p w:rsidR="00F66476" w:rsidRPr="00583B72" w:rsidRDefault="009E4D53">
      <w:pPr>
        <w:spacing w:after="0" w:line="240" w:lineRule="auto"/>
        <w:jc w:val="center"/>
        <w:rPr>
          <w:rFonts w:ascii="Times New Roman" w:hAnsi="Times New Roman" w:cs="Times New Roman"/>
          <w:sz w:val="24"/>
          <w:szCs w:val="24"/>
        </w:rPr>
      </w:pPr>
      <w:r w:rsidRPr="00583B72">
        <w:rPr>
          <w:rFonts w:ascii="Times New Roman" w:hAnsi="Times New Roman"/>
          <w:sz w:val="24"/>
        </w:rPr>
        <w:t>Articolul 9</w:t>
      </w:r>
    </w:p>
    <w:p w:rsidR="00C01A69" w:rsidRPr="00583B72" w:rsidRDefault="00ED32D2" w:rsidP="00C01A69">
      <w:pPr>
        <w:spacing w:after="0" w:line="240" w:lineRule="auto"/>
        <w:jc w:val="center"/>
        <w:rPr>
          <w:rFonts w:ascii="Times New Roman" w:hAnsi="Times New Roman" w:cs="Times New Roman"/>
          <w:i/>
          <w:sz w:val="24"/>
          <w:szCs w:val="24"/>
        </w:rPr>
      </w:pPr>
      <w:r w:rsidRPr="00583B72">
        <w:rPr>
          <w:rFonts w:ascii="Times New Roman" w:hAnsi="Times New Roman"/>
          <w:i/>
          <w:sz w:val="24"/>
        </w:rPr>
        <w:t xml:space="preserve">Nicio modificare a tarifelor </w:t>
      </w:r>
    </w:p>
    <w:p w:rsidR="00D00006" w:rsidRPr="00583B72" w:rsidRDefault="00D00006">
      <w:pPr>
        <w:spacing w:after="0" w:line="240" w:lineRule="auto"/>
        <w:jc w:val="center"/>
        <w:rPr>
          <w:rFonts w:ascii="Times New Roman" w:hAnsi="Times New Roman" w:cs="Times New Roman"/>
          <w:i/>
          <w:sz w:val="24"/>
          <w:szCs w:val="24"/>
        </w:rPr>
      </w:pPr>
    </w:p>
    <w:p w:rsidR="00DD1C06" w:rsidRPr="00583B72" w:rsidRDefault="00F4394A" w:rsidP="00175273">
      <w:pPr>
        <w:spacing w:line="240" w:lineRule="auto"/>
        <w:ind w:left="709" w:hanging="357"/>
        <w:jc w:val="both"/>
        <w:rPr>
          <w:rFonts w:ascii="Times New Roman" w:hAnsi="Times New Roman" w:cs="Times New Roman"/>
          <w:sz w:val="24"/>
          <w:szCs w:val="24"/>
        </w:rPr>
      </w:pPr>
      <w:r w:rsidRPr="00583B72">
        <w:rPr>
          <w:rFonts w:ascii="Times New Roman" w:hAnsi="Times New Roman"/>
          <w:sz w:val="24"/>
        </w:rPr>
        <w:t>(</w:t>
      </w:r>
      <w:r w:rsidR="009E4D53" w:rsidRPr="00583B72">
        <w:rPr>
          <w:rFonts w:ascii="Times New Roman" w:hAnsi="Times New Roman"/>
          <w:sz w:val="24"/>
        </w:rPr>
        <w:t>1</w:t>
      </w:r>
      <w:r w:rsidRPr="00583B72">
        <w:rPr>
          <w:rFonts w:ascii="Times New Roman" w:hAnsi="Times New Roman"/>
          <w:sz w:val="24"/>
        </w:rPr>
        <w:t>)</w:t>
      </w:r>
      <w:r w:rsidR="009E4D53" w:rsidRPr="00583B72">
        <w:rPr>
          <w:rFonts w:ascii="Times New Roman" w:hAnsi="Times New Roman"/>
          <w:sz w:val="24"/>
        </w:rPr>
        <w:t xml:space="preserve"> </w:t>
      </w:r>
      <w:r w:rsidR="009E4D53" w:rsidRPr="00583B72">
        <w:tab/>
      </w:r>
      <w:r w:rsidR="009E4D53" w:rsidRPr="00583B72">
        <w:rPr>
          <w:rFonts w:ascii="Times New Roman" w:hAnsi="Times New Roman"/>
          <w:sz w:val="24"/>
        </w:rPr>
        <w:t xml:space="preserve">Punerea în aplicare a dispozițiilor prezentului decret nu va impune sarcini administrative noi sau mai mari asupra finanțelor publice. </w:t>
      </w:r>
    </w:p>
    <w:p w:rsidR="00D00006" w:rsidRPr="00583B72" w:rsidRDefault="00F4394A" w:rsidP="00175273">
      <w:pPr>
        <w:spacing w:line="240" w:lineRule="auto"/>
        <w:ind w:left="709" w:hanging="357"/>
        <w:jc w:val="both"/>
        <w:rPr>
          <w:rFonts w:ascii="Times New Roman" w:hAnsi="Times New Roman" w:cs="Times New Roman"/>
          <w:sz w:val="24"/>
          <w:szCs w:val="24"/>
        </w:rPr>
      </w:pPr>
      <w:r w:rsidRPr="00583B72">
        <w:rPr>
          <w:rFonts w:ascii="Times New Roman" w:hAnsi="Times New Roman"/>
          <w:sz w:val="24"/>
        </w:rPr>
        <w:t>(</w:t>
      </w:r>
      <w:r w:rsidR="00ED32D2" w:rsidRPr="00583B72">
        <w:rPr>
          <w:rFonts w:ascii="Times New Roman" w:hAnsi="Times New Roman"/>
          <w:sz w:val="24"/>
        </w:rPr>
        <w:t>2</w:t>
      </w:r>
      <w:r w:rsidRPr="00583B72">
        <w:rPr>
          <w:rFonts w:ascii="Times New Roman" w:hAnsi="Times New Roman"/>
          <w:sz w:val="24"/>
        </w:rPr>
        <w:t>)</w:t>
      </w:r>
      <w:r w:rsidR="00ED32D2" w:rsidRPr="00583B72">
        <w:rPr>
          <w:rFonts w:ascii="Times New Roman" w:hAnsi="Times New Roman"/>
          <w:sz w:val="24"/>
        </w:rPr>
        <w:t xml:space="preserve"> </w:t>
      </w:r>
      <w:r w:rsidR="00ED32D2" w:rsidRPr="00583B72">
        <w:tab/>
      </w:r>
      <w:r w:rsidR="00ED32D2" w:rsidRPr="00583B72">
        <w:rPr>
          <w:rFonts w:ascii="Times New Roman" w:hAnsi="Times New Roman"/>
          <w:sz w:val="24"/>
        </w:rPr>
        <w:t xml:space="preserve">Entitățile publice implicate își îndeplinesc atribuțiile în temeiul prezentului decret, utilizând resursele umane, materiale și financiare puse alocate în conformitate cu legislația în vigoare. </w:t>
      </w:r>
    </w:p>
    <w:p w:rsidR="00F66476" w:rsidRPr="00583B72" w:rsidRDefault="00ED32D2">
      <w:pPr>
        <w:spacing w:after="0" w:line="240" w:lineRule="auto"/>
        <w:jc w:val="center"/>
        <w:rPr>
          <w:rFonts w:ascii="Times New Roman" w:hAnsi="Times New Roman" w:cs="Times New Roman"/>
          <w:sz w:val="24"/>
          <w:szCs w:val="24"/>
        </w:rPr>
      </w:pPr>
      <w:r w:rsidRPr="00583B72">
        <w:rPr>
          <w:rFonts w:ascii="Times New Roman" w:hAnsi="Times New Roman"/>
          <w:sz w:val="24"/>
        </w:rPr>
        <w:t>Articolul 10</w:t>
      </w:r>
    </w:p>
    <w:p w:rsidR="00F66476" w:rsidRPr="00583B72" w:rsidRDefault="00ED32D2">
      <w:pPr>
        <w:spacing w:after="0" w:line="240" w:lineRule="auto"/>
        <w:jc w:val="center"/>
        <w:rPr>
          <w:rFonts w:ascii="Times New Roman" w:hAnsi="Times New Roman" w:cs="Times New Roman"/>
          <w:i/>
          <w:sz w:val="24"/>
          <w:szCs w:val="24"/>
        </w:rPr>
      </w:pPr>
      <w:r w:rsidRPr="00583B72">
        <w:rPr>
          <w:rFonts w:ascii="Times New Roman" w:hAnsi="Times New Roman"/>
          <w:i/>
          <w:sz w:val="24"/>
        </w:rPr>
        <w:t>Intrarea în vigoare</w:t>
      </w:r>
    </w:p>
    <w:p w:rsidR="008311D0" w:rsidRPr="00583B72" w:rsidRDefault="008311D0">
      <w:pPr>
        <w:spacing w:after="0" w:line="240" w:lineRule="auto"/>
        <w:jc w:val="center"/>
        <w:rPr>
          <w:rFonts w:ascii="Times New Roman" w:hAnsi="Times New Roman" w:cs="Times New Roman"/>
          <w:i/>
          <w:sz w:val="24"/>
          <w:szCs w:val="24"/>
        </w:rPr>
      </w:pPr>
    </w:p>
    <w:p w:rsidR="00915B27" w:rsidRPr="00583B72" w:rsidRDefault="00F4394A" w:rsidP="00CF773E">
      <w:pPr>
        <w:spacing w:line="240" w:lineRule="auto"/>
        <w:ind w:left="708" w:hanging="356"/>
        <w:jc w:val="both"/>
        <w:rPr>
          <w:rFonts w:ascii="Times New Roman" w:hAnsi="Times New Roman" w:cs="Times New Roman"/>
          <w:sz w:val="24"/>
          <w:szCs w:val="24"/>
        </w:rPr>
      </w:pPr>
      <w:r w:rsidRPr="00583B72">
        <w:rPr>
          <w:rFonts w:ascii="Times New Roman" w:hAnsi="Times New Roman"/>
          <w:sz w:val="24"/>
        </w:rPr>
        <w:t>(</w:t>
      </w:r>
      <w:r w:rsidR="009E4D53" w:rsidRPr="00583B72">
        <w:rPr>
          <w:rFonts w:ascii="Times New Roman" w:hAnsi="Times New Roman"/>
          <w:sz w:val="24"/>
        </w:rPr>
        <w:t>1</w:t>
      </w:r>
      <w:r w:rsidRPr="00583B72">
        <w:rPr>
          <w:rFonts w:ascii="Times New Roman" w:hAnsi="Times New Roman"/>
          <w:sz w:val="24"/>
        </w:rPr>
        <w:t>)</w:t>
      </w:r>
      <w:r w:rsidR="009E4D53" w:rsidRPr="00583B72">
        <w:rPr>
          <w:rFonts w:ascii="Times New Roman" w:hAnsi="Times New Roman"/>
          <w:sz w:val="24"/>
        </w:rPr>
        <w:t xml:space="preserve"> </w:t>
      </w:r>
      <w:r w:rsidR="009E4D53" w:rsidRPr="00583B72">
        <w:tab/>
      </w:r>
      <w:r w:rsidR="009E4D53" w:rsidRPr="00583B72">
        <w:rPr>
          <w:rFonts w:ascii="Times New Roman" w:hAnsi="Times New Roman"/>
          <w:sz w:val="24"/>
        </w:rPr>
        <w:t>Prezentul decret intră în vigoare după 90 de zile de la data publicării sale în Jurnalul Oficial al Republicii Italiene.</w:t>
      </w:r>
    </w:p>
    <w:p w:rsidR="00F265F4" w:rsidRPr="00583B72" w:rsidRDefault="00F265F4" w:rsidP="00CF773E">
      <w:pPr>
        <w:spacing w:line="240" w:lineRule="auto"/>
        <w:ind w:left="708" w:hanging="356"/>
        <w:jc w:val="both"/>
        <w:rPr>
          <w:rFonts w:ascii="Times New Roman" w:hAnsi="Times New Roman" w:cs="Times New Roman"/>
          <w:sz w:val="24"/>
          <w:szCs w:val="24"/>
        </w:rPr>
        <w:sectPr w:rsidR="00F265F4" w:rsidRPr="00583B72" w:rsidSect="003A3BF5">
          <w:footerReference w:type="default" r:id="rId9"/>
          <w:pgSz w:w="11906" w:h="16838"/>
          <w:pgMar w:top="1417" w:right="1134" w:bottom="1134" w:left="1134" w:header="708" w:footer="708" w:gutter="0"/>
          <w:cols w:space="708"/>
          <w:docGrid w:linePitch="360"/>
        </w:sectPr>
      </w:pPr>
    </w:p>
    <w:p w:rsidR="00F265F4" w:rsidRPr="00583B72" w:rsidRDefault="00F265F4" w:rsidP="00F265F4">
      <w:pPr>
        <w:pStyle w:val="Style1"/>
        <w:widowControl/>
        <w:jc w:val="center"/>
        <w:rPr>
          <w:rStyle w:val="FontStyle18"/>
          <w:rFonts w:ascii="Arial" w:hAnsi="Arial" w:cs="Arial"/>
          <w:b/>
          <w:sz w:val="18"/>
          <w:szCs w:val="18"/>
        </w:rPr>
      </w:pPr>
      <w:r w:rsidRPr="00583B72">
        <w:rPr>
          <w:rStyle w:val="FontStyle18"/>
          <w:rFonts w:ascii="Arial" w:hAnsi="Arial"/>
          <w:b/>
          <w:sz w:val="18"/>
        </w:rPr>
        <w:lastRenderedPageBreak/>
        <w:t>Formularul IRME90 - DOCUMENT DE ÎNSOȚIRE PENTRU IMPORTUL</w:t>
      </w:r>
    </w:p>
    <w:p w:rsidR="00F265F4" w:rsidRPr="00583B72" w:rsidRDefault="00F265F4" w:rsidP="00F265F4">
      <w:pPr>
        <w:pStyle w:val="Style1"/>
        <w:widowControl/>
        <w:jc w:val="center"/>
        <w:rPr>
          <w:rStyle w:val="FontStyle18"/>
          <w:rFonts w:ascii="Arial" w:hAnsi="Arial" w:cs="Arial"/>
          <w:b/>
          <w:sz w:val="18"/>
          <w:szCs w:val="18"/>
        </w:rPr>
      </w:pPr>
      <w:r w:rsidRPr="00583B72">
        <w:rPr>
          <w:rStyle w:val="FontStyle18"/>
          <w:rFonts w:ascii="Arial" w:hAnsi="Arial"/>
          <w:b/>
          <w:sz w:val="18"/>
        </w:rPr>
        <w:t>DEȘEURILOR DE METAL SAU</w:t>
      </w:r>
      <w:r w:rsidRPr="00583B72">
        <w:rPr>
          <w:rStyle w:val="FontStyle18"/>
          <w:rFonts w:ascii="Arial" w:hAnsi="Arial"/>
          <w:sz w:val="18"/>
        </w:rPr>
        <w:t xml:space="preserve"> </w:t>
      </w:r>
      <w:r w:rsidRPr="00583B72">
        <w:rPr>
          <w:rStyle w:val="FontStyle18"/>
          <w:rFonts w:ascii="Arial" w:hAnsi="Arial"/>
          <w:b/>
          <w:sz w:val="18"/>
        </w:rPr>
        <w:t>AL ALTOR SUBPRODUSE DE METAL</w:t>
      </w:r>
      <w:r w:rsidRPr="00583B72">
        <w:rPr>
          <w:rStyle w:val="FontStyle18"/>
          <w:rFonts w:ascii="Arial" w:hAnsi="Arial"/>
          <w:sz w:val="18"/>
        </w:rPr>
        <w:t xml:space="preserve"> ȘI </w:t>
      </w:r>
      <w:r w:rsidRPr="00583B72">
        <w:rPr>
          <w:rStyle w:val="FontStyle18"/>
          <w:rFonts w:ascii="Arial" w:hAnsi="Arial"/>
          <w:b/>
          <w:sz w:val="18"/>
        </w:rPr>
        <w:t>AL PRODUSELOR SEMIFABRICATE DE METAL ÎN ITALIA</w:t>
      </w:r>
    </w:p>
    <w:p w:rsidR="00F265F4" w:rsidRPr="00583B72" w:rsidRDefault="00583B72" w:rsidP="00F265F4">
      <w:pPr>
        <w:pStyle w:val="Style1"/>
        <w:widowControl/>
        <w:jc w:val="center"/>
        <w:rPr>
          <w:rStyle w:val="FontStyle18"/>
          <w:rFonts w:ascii="Arial" w:hAnsi="Arial" w:cs="Arial"/>
        </w:rPr>
      </w:pPr>
      <w:r w:rsidRPr="00583B72">
        <w:rPr>
          <w:rFonts w:ascii="Book Antiqua" w:hAnsi="Book Antiqua" w:cs="Book Antiqua"/>
          <w:b/>
          <w:bCs/>
          <w:color w:val="000000"/>
          <w:sz w:val="16"/>
          <w:szCs w:val="16"/>
        </w:rPr>
        <w:pict>
          <v:group id="_x0000_s1029" style="position:absolute;left:0;text-align:left;margin-left:-6.05pt;margin-top:6.4pt;width:540pt;height:750.75pt;z-index:-251657216" coordorigin="730,1109" coordsize="10800,15015">
            <v:group id="_x0000_s1030" style="position:absolute;left:730;top:1109;width:10800;height:15015" coordorigin="730,1109" coordsize="10800,15015">
              <v:rect id="_x0000_s1031" style="position:absolute;left:730;top:9168;width:10800;height:2194" strokeweight="1pt">
                <v:fill opacity="0"/>
              </v:rect>
              <v:rect id="_x0000_s1032" style="position:absolute;left:730;top:4211;width:10800;height:4957" strokeweight="1pt">
                <v:fill opacity="0"/>
              </v:rect>
              <v:rect id="_x0000_s1033" style="position:absolute;left:730;top:1109;width:10800;height:3102" strokeweight="1pt">
                <v:fill opacity="0"/>
              </v:rect>
              <v:rect id="_x0000_s1034" style="position:absolute;left:730;top:14828;width:10800;height:1296" strokeweight="1pt">
                <v:fill opacity="0"/>
              </v:rect>
            </v:group>
            <v:rect id="_x0000_s1035" style="position:absolute;left:730;top:11363;width:10800;height:3355" strokeweight="1pt">
              <v:fill opacity="0"/>
            </v:rect>
          </v:group>
        </w:pict>
      </w:r>
    </w:p>
    <w:p w:rsidR="00F265F4" w:rsidRPr="00583B72" w:rsidRDefault="00F265F4" w:rsidP="00F265F4">
      <w:pPr>
        <w:pStyle w:val="Style8"/>
        <w:widowControl/>
        <w:spacing w:line="360" w:lineRule="auto"/>
        <w:rPr>
          <w:rStyle w:val="FontStyle21"/>
        </w:rPr>
      </w:pPr>
      <w:r w:rsidRPr="00583B72">
        <w:rPr>
          <w:rStyle w:val="FontStyle21"/>
        </w:rPr>
        <w:t>Sec</w:t>
      </w:r>
      <w:r w:rsidR="00F4394A" w:rsidRPr="00583B72">
        <w:rPr>
          <w:rStyle w:val="FontStyle21"/>
          <w:rFonts w:ascii="Times New Roman" w:hAnsi="Times New Roman" w:cs="Times New Roman"/>
        </w:rPr>
        <w:t>ț</w:t>
      </w:r>
      <w:r w:rsidRPr="00583B72">
        <w:rPr>
          <w:rStyle w:val="FontStyle21"/>
        </w:rPr>
        <w:t>iunea 1.</w:t>
      </w:r>
    </w:p>
    <w:p w:rsidR="00F265F4" w:rsidRPr="00583B72" w:rsidRDefault="00F265F4" w:rsidP="00F265F4">
      <w:pPr>
        <w:pStyle w:val="Style8"/>
        <w:widowControl/>
        <w:rPr>
          <w:rStyle w:val="FontStyle21"/>
        </w:rPr>
      </w:pPr>
      <w:r w:rsidRPr="00583B72">
        <w:rPr>
          <w:rStyle w:val="FontStyle21"/>
        </w:rPr>
        <w:t xml:space="preserve">Expeditor (nume, adresă, </w:t>
      </w:r>
      <w:r w:rsidR="00F4394A" w:rsidRPr="00583B72">
        <w:rPr>
          <w:rStyle w:val="FontStyle21"/>
          <w:rFonts w:ascii="Times New Roman" w:hAnsi="Times New Roman" w:cs="Times New Roman"/>
        </w:rPr>
        <w:t>ț</w:t>
      </w:r>
      <w:r w:rsidRPr="00583B72">
        <w:rPr>
          <w:rStyle w:val="FontStyle21"/>
        </w:rPr>
        <w:t>ară) / Expéditeur (Nom, Adresse, Pays) / Absender (Name, Anschrift, Land):</w:t>
      </w:r>
    </w:p>
    <w:p w:rsidR="00F265F4" w:rsidRPr="00583B72" w:rsidRDefault="00F265F4" w:rsidP="00F265F4">
      <w:pPr>
        <w:pStyle w:val="Style8"/>
        <w:widowControl/>
        <w:rPr>
          <w:rStyle w:val="FontStyle21"/>
        </w:rPr>
      </w:pPr>
    </w:p>
    <w:p w:rsidR="00F265F4" w:rsidRPr="00583B72" w:rsidRDefault="00F265F4" w:rsidP="00F265F4">
      <w:pPr>
        <w:pStyle w:val="Style8"/>
        <w:widowControl/>
        <w:rPr>
          <w:rStyle w:val="FontStyle21"/>
        </w:rPr>
      </w:pPr>
      <w:r w:rsidRPr="00583B72">
        <w:rPr>
          <w:rStyle w:val="FontStyle21"/>
        </w:rPr>
        <w:t>....................................................................................................................................................................................................</w:t>
      </w:r>
    </w:p>
    <w:p w:rsidR="00F265F4" w:rsidRPr="00583B72" w:rsidRDefault="00F265F4" w:rsidP="00F265F4">
      <w:pPr>
        <w:pStyle w:val="Style8"/>
        <w:widowControl/>
        <w:rPr>
          <w:rStyle w:val="FontStyle21"/>
        </w:rPr>
      </w:pPr>
    </w:p>
    <w:p w:rsidR="00F265F4" w:rsidRPr="00583B72" w:rsidRDefault="00F265F4" w:rsidP="00F265F4">
      <w:pPr>
        <w:pStyle w:val="Style8"/>
        <w:widowControl/>
        <w:rPr>
          <w:rStyle w:val="FontStyle21"/>
        </w:rPr>
      </w:pPr>
      <w:r w:rsidRPr="00583B72">
        <w:rPr>
          <w:rStyle w:val="FontStyle21"/>
        </w:rPr>
        <w:t xml:space="preserve">Tel. ..................................................................... </w:t>
      </w:r>
      <w:r w:rsidRPr="00583B72">
        <w:tab/>
      </w:r>
      <w:r w:rsidRPr="00583B72">
        <w:rPr>
          <w:rStyle w:val="FontStyle21"/>
        </w:rPr>
        <w:t>Fax ...........................................................................</w:t>
      </w:r>
    </w:p>
    <w:p w:rsidR="00F265F4" w:rsidRPr="00583B72" w:rsidRDefault="00F265F4" w:rsidP="00F265F4">
      <w:pPr>
        <w:pStyle w:val="Style8"/>
        <w:widowControl/>
        <w:rPr>
          <w:rStyle w:val="FontStyle21"/>
          <w:sz w:val="8"/>
        </w:rPr>
      </w:pPr>
    </w:p>
    <w:p w:rsidR="00F265F4" w:rsidRPr="00583B72" w:rsidRDefault="00F265F4" w:rsidP="00F265F4">
      <w:pPr>
        <w:pStyle w:val="Style8"/>
        <w:widowControl/>
        <w:rPr>
          <w:rStyle w:val="FontStyle21"/>
        </w:rPr>
      </w:pPr>
      <w:r w:rsidRPr="00583B72">
        <w:rPr>
          <w:rStyle w:val="FontStyle21"/>
        </w:rPr>
        <w:t xml:space="preserve">Destinatar (nume, adresă, </w:t>
      </w:r>
      <w:r w:rsidR="00F4394A" w:rsidRPr="00583B72">
        <w:rPr>
          <w:rStyle w:val="FontStyle21"/>
          <w:rFonts w:ascii="Times New Roman" w:hAnsi="Times New Roman" w:cs="Times New Roman"/>
        </w:rPr>
        <w:t>ț</w:t>
      </w:r>
      <w:r w:rsidRPr="00583B72">
        <w:rPr>
          <w:rStyle w:val="FontStyle21"/>
        </w:rPr>
        <w:t>ară) / Destinataire (Nom, Adresse, Pays) / Empfänger (Name, Anschrift, Land):</w:t>
      </w:r>
    </w:p>
    <w:p w:rsidR="00F265F4" w:rsidRPr="00583B72" w:rsidRDefault="00F265F4" w:rsidP="00F265F4">
      <w:pPr>
        <w:pStyle w:val="Style8"/>
        <w:widowControl/>
        <w:rPr>
          <w:rStyle w:val="FontStyle21"/>
        </w:rPr>
      </w:pPr>
    </w:p>
    <w:p w:rsidR="00F265F4" w:rsidRPr="00583B72" w:rsidRDefault="00F265F4" w:rsidP="00F265F4">
      <w:pPr>
        <w:pStyle w:val="Style8"/>
        <w:widowControl/>
        <w:rPr>
          <w:rStyle w:val="FontStyle21"/>
        </w:rPr>
      </w:pPr>
      <w:r w:rsidRPr="00583B72">
        <w:rPr>
          <w:rStyle w:val="FontStyle21"/>
        </w:rPr>
        <w:t>....................................................................................................................................................................................................</w:t>
      </w:r>
    </w:p>
    <w:p w:rsidR="00F265F4" w:rsidRPr="00583B72" w:rsidRDefault="00F265F4" w:rsidP="00F265F4">
      <w:pPr>
        <w:pStyle w:val="Style8"/>
        <w:widowControl/>
        <w:rPr>
          <w:rStyle w:val="FontStyle21"/>
        </w:rPr>
      </w:pPr>
    </w:p>
    <w:p w:rsidR="00F265F4" w:rsidRPr="00583B72" w:rsidRDefault="00F265F4" w:rsidP="00F265F4">
      <w:pPr>
        <w:pStyle w:val="Style8"/>
        <w:widowControl/>
        <w:rPr>
          <w:rStyle w:val="FontStyle21"/>
        </w:rPr>
      </w:pPr>
      <w:r w:rsidRPr="00583B72">
        <w:rPr>
          <w:rStyle w:val="FontStyle21"/>
        </w:rPr>
        <w:t xml:space="preserve">Tel. ..................................................................... </w:t>
      </w:r>
      <w:r w:rsidRPr="00583B72">
        <w:tab/>
      </w:r>
      <w:r w:rsidRPr="00583B72">
        <w:rPr>
          <w:rStyle w:val="FontStyle21"/>
        </w:rPr>
        <w:t xml:space="preserve">Fax ........................................................................... </w:t>
      </w:r>
    </w:p>
    <w:p w:rsidR="00F265F4" w:rsidRPr="00583B72" w:rsidRDefault="00F265F4" w:rsidP="00F265F4">
      <w:pPr>
        <w:pStyle w:val="Style8"/>
        <w:widowControl/>
        <w:rPr>
          <w:rStyle w:val="FontStyle21"/>
          <w:sz w:val="8"/>
        </w:rPr>
      </w:pPr>
    </w:p>
    <w:p w:rsidR="00F265F4" w:rsidRPr="00583B72" w:rsidRDefault="00F265F4" w:rsidP="00F265F4">
      <w:pPr>
        <w:pStyle w:val="Style8"/>
        <w:widowControl/>
        <w:rPr>
          <w:rStyle w:val="FontStyle21"/>
        </w:rPr>
      </w:pPr>
      <w:r w:rsidRPr="00583B72">
        <w:rPr>
          <w:rStyle w:val="FontStyle21"/>
        </w:rPr>
        <w:t>Natura mărfurilor / Nature de la marchandise / Warenbezeichnung:</w:t>
      </w:r>
    </w:p>
    <w:p w:rsidR="00F265F4" w:rsidRPr="00583B72" w:rsidRDefault="00F265F4" w:rsidP="00F265F4">
      <w:pPr>
        <w:pStyle w:val="Style8"/>
        <w:widowControl/>
        <w:rPr>
          <w:rStyle w:val="FontStyle21"/>
        </w:rPr>
      </w:pPr>
    </w:p>
    <w:p w:rsidR="00F265F4" w:rsidRPr="00583B72" w:rsidRDefault="00F265F4" w:rsidP="00F265F4">
      <w:pPr>
        <w:pStyle w:val="Style8"/>
        <w:widowControl/>
        <w:rPr>
          <w:rStyle w:val="FontStyle21"/>
          <w:sz w:val="10"/>
        </w:rPr>
      </w:pPr>
      <w:r w:rsidRPr="00583B72">
        <w:rPr>
          <w:rStyle w:val="FontStyle21"/>
        </w:rPr>
        <w:t>....................................................................................................................................................................................................</w:t>
      </w:r>
    </w:p>
    <w:p w:rsidR="00F265F4" w:rsidRPr="00583B72" w:rsidRDefault="00F265F4" w:rsidP="00F265F4">
      <w:pPr>
        <w:pStyle w:val="Style8"/>
        <w:widowControl/>
        <w:spacing w:line="360" w:lineRule="auto"/>
        <w:rPr>
          <w:rStyle w:val="FontStyle21"/>
          <w:sz w:val="10"/>
        </w:rPr>
      </w:pPr>
    </w:p>
    <w:p w:rsidR="00F265F4" w:rsidRPr="00583B72" w:rsidRDefault="00F265F4" w:rsidP="00F265F4">
      <w:pPr>
        <w:pStyle w:val="Style8"/>
        <w:widowControl/>
        <w:ind w:right="-752"/>
        <w:jc w:val="center"/>
        <w:rPr>
          <w:rStyle w:val="FontStyle21"/>
        </w:rPr>
      </w:pPr>
      <w:r w:rsidRPr="00583B72">
        <w:rPr>
          <w:rStyle w:val="FontStyle21"/>
        </w:rPr>
        <w:t>DETALII PRIVIND TRANSPORTUL / INFORMATIONS RELATIVES AU TRANSPORT / ANGABEN ZUM TRANSPORT</w:t>
      </w:r>
    </w:p>
    <w:p w:rsidR="00F265F4" w:rsidRPr="00583B72" w:rsidRDefault="00F265F4" w:rsidP="00F265F4">
      <w:pPr>
        <w:pStyle w:val="Style12"/>
        <w:widowControl/>
        <w:numPr>
          <w:ilvl w:val="0"/>
          <w:numId w:val="17"/>
        </w:numPr>
        <w:ind w:left="426" w:hanging="426"/>
        <w:rPr>
          <w:rStyle w:val="FontStyle21"/>
        </w:rPr>
      </w:pPr>
      <w:r w:rsidRPr="00583B72">
        <w:rPr>
          <w:rStyle w:val="FontStyle21"/>
        </w:rPr>
        <w:t xml:space="preserve">Transportul pe mare / provenance par mer / Herkunft auf dem Seeweg </w:t>
      </w:r>
    </w:p>
    <w:p w:rsidR="00F265F4" w:rsidRPr="00583B72" w:rsidRDefault="00F265F4" w:rsidP="00F265F4">
      <w:pPr>
        <w:pStyle w:val="Style12"/>
        <w:widowControl/>
        <w:tabs>
          <w:tab w:val="left" w:pos="4962"/>
        </w:tabs>
        <w:spacing w:line="480" w:lineRule="auto"/>
        <w:ind w:left="426"/>
        <w:rPr>
          <w:rStyle w:val="FontStyle21"/>
        </w:rPr>
      </w:pPr>
      <w:r w:rsidRPr="00583B72">
        <w:rPr>
          <w:rStyle w:val="FontStyle21"/>
        </w:rPr>
        <w:t>Denumirea navei / Nom du navire / Name des Schiffes:</w:t>
      </w:r>
      <w:r w:rsidRPr="00583B72">
        <w:tab/>
      </w:r>
      <w:r w:rsidRPr="00583B72">
        <w:rPr>
          <w:rStyle w:val="FontStyle21"/>
        </w:rPr>
        <w:t>Cetă</w:t>
      </w:r>
      <w:r w:rsidR="00F4394A" w:rsidRPr="00583B72">
        <w:rPr>
          <w:rStyle w:val="FontStyle21"/>
          <w:rFonts w:ascii="Times New Roman" w:hAnsi="Times New Roman" w:cs="Times New Roman"/>
        </w:rPr>
        <w:t>ț</w:t>
      </w:r>
      <w:r w:rsidRPr="00583B72">
        <w:rPr>
          <w:rStyle w:val="FontStyle21"/>
        </w:rPr>
        <w:t>enie / Nationalité / Nationalität:</w:t>
      </w:r>
    </w:p>
    <w:p w:rsidR="00F265F4" w:rsidRPr="00583B72" w:rsidRDefault="00F265F4" w:rsidP="00F265F4">
      <w:pPr>
        <w:pStyle w:val="Style8"/>
        <w:widowControl/>
        <w:tabs>
          <w:tab w:val="left" w:pos="4962"/>
        </w:tabs>
        <w:spacing w:line="480" w:lineRule="auto"/>
        <w:ind w:firstLine="426"/>
        <w:rPr>
          <w:rStyle w:val="FontStyle21"/>
        </w:rPr>
      </w:pPr>
      <w:r w:rsidRPr="00583B72">
        <w:rPr>
          <w:rStyle w:val="FontStyle21"/>
        </w:rPr>
        <w:t xml:space="preserve">................................................................................................. </w:t>
      </w:r>
      <w:r w:rsidRPr="00583B72">
        <w:tab/>
      </w:r>
      <w:r w:rsidRPr="00583B72">
        <w:rPr>
          <w:rStyle w:val="FontStyle21"/>
        </w:rPr>
        <w:t>.................................................................................................</w:t>
      </w:r>
    </w:p>
    <w:p w:rsidR="00F265F4" w:rsidRPr="00583B72" w:rsidRDefault="00F265F4" w:rsidP="00F265F4">
      <w:pPr>
        <w:pStyle w:val="Style12"/>
        <w:widowControl/>
        <w:tabs>
          <w:tab w:val="left" w:pos="4962"/>
        </w:tabs>
        <w:spacing w:line="480" w:lineRule="auto"/>
        <w:ind w:left="426"/>
        <w:rPr>
          <w:rStyle w:val="FontStyle21"/>
        </w:rPr>
      </w:pPr>
      <w:r w:rsidRPr="00583B72">
        <w:rPr>
          <w:rStyle w:val="FontStyle21"/>
        </w:rPr>
        <w:t>Portul de plecare / Port de départ / Abfahrtshafen:</w:t>
      </w:r>
      <w:r w:rsidRPr="00583B72">
        <w:tab/>
      </w:r>
      <w:r w:rsidRPr="00583B72">
        <w:rPr>
          <w:rStyle w:val="FontStyle21"/>
        </w:rPr>
        <w:t>Portul de sosire / Port d’arrivée / Ankunftshafen:</w:t>
      </w:r>
    </w:p>
    <w:p w:rsidR="00F265F4" w:rsidRPr="00583B72" w:rsidRDefault="00F265F4" w:rsidP="00F265F4">
      <w:pPr>
        <w:pStyle w:val="Style8"/>
        <w:widowControl/>
        <w:tabs>
          <w:tab w:val="left" w:pos="4962"/>
        </w:tabs>
        <w:spacing w:line="480" w:lineRule="auto"/>
        <w:ind w:firstLine="426"/>
        <w:rPr>
          <w:rStyle w:val="FontStyle21"/>
        </w:rPr>
      </w:pPr>
      <w:r w:rsidRPr="00583B72">
        <w:rPr>
          <w:rStyle w:val="FontStyle21"/>
        </w:rPr>
        <w:t xml:space="preserve">................................................................................................. </w:t>
      </w:r>
      <w:r w:rsidRPr="00583B72">
        <w:tab/>
      </w:r>
      <w:r w:rsidRPr="00583B72">
        <w:rPr>
          <w:rStyle w:val="FontStyle21"/>
        </w:rPr>
        <w:t>.................................................................................................</w:t>
      </w:r>
    </w:p>
    <w:p w:rsidR="00F265F4" w:rsidRPr="00583B72" w:rsidRDefault="00F265F4" w:rsidP="00F265F4">
      <w:pPr>
        <w:pStyle w:val="Style12"/>
        <w:widowControl/>
        <w:numPr>
          <w:ilvl w:val="0"/>
          <w:numId w:val="17"/>
        </w:numPr>
        <w:tabs>
          <w:tab w:val="left" w:pos="426"/>
          <w:tab w:val="left" w:pos="2977"/>
          <w:tab w:val="left" w:pos="4962"/>
        </w:tabs>
        <w:spacing w:line="360" w:lineRule="auto"/>
        <w:ind w:left="426" w:hanging="426"/>
        <w:rPr>
          <w:rStyle w:val="FontStyle21"/>
        </w:rPr>
      </w:pPr>
      <w:r w:rsidRPr="00583B72">
        <w:rPr>
          <w:rStyle w:val="FontStyle21"/>
        </w:rPr>
        <w:t xml:space="preserve">Transportul terestru </w:t>
      </w:r>
      <w:r w:rsidRPr="00583B72">
        <w:tab/>
      </w:r>
      <w:r w:rsidRPr="00583B72">
        <w:rPr>
          <w:rStyle w:val="FontStyle21"/>
        </w:rPr>
        <w:t>sau</w:t>
      </w:r>
      <w:r w:rsidRPr="00583B72">
        <w:tab/>
      </w:r>
      <w:r w:rsidRPr="00583B72">
        <w:rPr>
          <w:rStyle w:val="FontStyle21"/>
          <w:sz w:val="40"/>
        </w:rPr>
        <w:t xml:space="preserve">□ </w:t>
      </w:r>
      <w:r w:rsidRPr="00583B72">
        <w:rPr>
          <w:rStyle w:val="FontStyle21"/>
        </w:rPr>
        <w:t xml:space="preserve">Descărcat de pe navă </w:t>
      </w:r>
    </w:p>
    <w:p w:rsidR="00F265F4" w:rsidRPr="00583B72" w:rsidRDefault="00F265F4" w:rsidP="00F265F4">
      <w:pPr>
        <w:pStyle w:val="Style12"/>
        <w:widowControl/>
        <w:tabs>
          <w:tab w:val="left" w:pos="426"/>
          <w:tab w:val="left" w:pos="2835"/>
          <w:tab w:val="left" w:pos="4962"/>
        </w:tabs>
        <w:rPr>
          <w:rStyle w:val="FontStyle21"/>
        </w:rPr>
      </w:pPr>
      <w:r w:rsidRPr="00583B72">
        <w:rPr>
          <w:rStyle w:val="FontStyle21"/>
        </w:rPr>
        <w:t>Metoda de transport terestru:</w:t>
      </w:r>
    </w:p>
    <w:p w:rsidR="00F265F4" w:rsidRPr="00583B72" w:rsidRDefault="00F265F4" w:rsidP="00583B72">
      <w:pPr>
        <w:pStyle w:val="Style12"/>
        <w:widowControl/>
        <w:numPr>
          <w:ilvl w:val="0"/>
          <w:numId w:val="17"/>
        </w:numPr>
        <w:tabs>
          <w:tab w:val="left" w:pos="426"/>
          <w:tab w:val="left" w:pos="2880"/>
        </w:tabs>
        <w:ind w:left="426" w:hanging="426"/>
        <w:rPr>
          <w:rStyle w:val="FontStyle21"/>
        </w:rPr>
      </w:pPr>
      <w:r w:rsidRPr="00583B72">
        <w:rPr>
          <w:rStyle w:val="FontStyle21"/>
        </w:rPr>
        <w:t>prin / par / durch Container</w:t>
      </w:r>
      <w:r w:rsidRPr="00583B72">
        <w:tab/>
      </w:r>
      <w:r w:rsidRPr="00583B72">
        <w:rPr>
          <w:rStyle w:val="FontStyle21"/>
          <w:sz w:val="40"/>
        </w:rPr>
        <w:t>□</w:t>
      </w:r>
      <w:r w:rsidRPr="00583B72">
        <w:rPr>
          <w:rStyle w:val="FontStyle21"/>
        </w:rPr>
        <w:t xml:space="preserve"> în vrac/ en vrac / in loser Schüttung</w:t>
      </w:r>
    </w:p>
    <w:p w:rsidR="00F265F4" w:rsidRPr="00583B72" w:rsidRDefault="00F265F4" w:rsidP="00583B72">
      <w:pPr>
        <w:pStyle w:val="Style3"/>
        <w:widowControl/>
        <w:tabs>
          <w:tab w:val="left" w:pos="2880"/>
          <w:tab w:val="left" w:pos="5850"/>
        </w:tabs>
        <w:ind w:left="270"/>
        <w:rPr>
          <w:rStyle w:val="FontStyle21"/>
        </w:rPr>
      </w:pPr>
      <w:r w:rsidRPr="00583B72">
        <w:rPr>
          <w:rStyle w:val="FontStyle21"/>
        </w:rPr>
        <w:t>Înregistrare / Matricule / Matrikel</w:t>
      </w:r>
      <w:r w:rsidRPr="00583B72">
        <w:tab/>
      </w:r>
      <w:r w:rsidRPr="00583B72">
        <w:rPr>
          <w:rStyle w:val="FontStyle21"/>
          <w:sz w:val="40"/>
        </w:rPr>
        <w:t>□</w:t>
      </w:r>
      <w:r w:rsidRPr="00583B72">
        <w:rPr>
          <w:rStyle w:val="FontStyle21"/>
        </w:rPr>
        <w:t xml:space="preserve"> Feroviar / Chemin de fer / Eisenach</w:t>
      </w:r>
      <w:r w:rsidRPr="00583B72">
        <w:tab/>
      </w:r>
      <w:r w:rsidRPr="00583B72">
        <w:rPr>
          <w:rStyle w:val="FontStyle21"/>
          <w:sz w:val="40"/>
        </w:rPr>
        <w:t>□</w:t>
      </w:r>
      <w:r w:rsidRPr="00583B72">
        <w:rPr>
          <w:rStyle w:val="FontStyle21"/>
        </w:rPr>
        <w:t xml:space="preserve"> Rutier / Par route / Auf der Strasse</w:t>
      </w:r>
    </w:p>
    <w:p w:rsidR="00F265F4" w:rsidRPr="00583B72" w:rsidRDefault="00F265F4" w:rsidP="00583B72">
      <w:pPr>
        <w:pStyle w:val="Style3"/>
        <w:widowControl/>
        <w:tabs>
          <w:tab w:val="left" w:pos="2970"/>
          <w:tab w:val="left" w:pos="5580"/>
        </w:tabs>
        <w:ind w:right="-233"/>
        <w:rPr>
          <w:rStyle w:val="FontStyle21"/>
        </w:rPr>
      </w:pPr>
      <w:r w:rsidRPr="00583B72">
        <w:tab/>
      </w:r>
      <w:r w:rsidRPr="00583B72">
        <w:rPr>
          <w:rStyle w:val="FontStyle21"/>
        </w:rPr>
        <w:t xml:space="preserve">Vagonul / Wagon nr : </w:t>
      </w:r>
      <w:r w:rsidRPr="00583B72">
        <w:tab/>
      </w:r>
      <w:r w:rsidRPr="00583B72">
        <w:rPr>
          <w:rStyle w:val="FontStyle21"/>
        </w:rPr>
        <w:t>Plăcu</w:t>
      </w:r>
      <w:r w:rsidR="00F4394A" w:rsidRPr="00583B72">
        <w:rPr>
          <w:rStyle w:val="FontStyle21"/>
          <w:rFonts w:ascii="Times New Roman" w:hAnsi="Times New Roman" w:cs="Times New Roman"/>
        </w:rPr>
        <w:t>ț</w:t>
      </w:r>
      <w:r w:rsidRPr="00583B72">
        <w:rPr>
          <w:rStyle w:val="FontStyle21"/>
        </w:rPr>
        <w:t>a cu numărul de înmatriculare / Transporteur / Beförderer:</w:t>
      </w:r>
    </w:p>
    <w:p w:rsidR="00F265F4" w:rsidRPr="00583B72" w:rsidRDefault="00F265F4" w:rsidP="00F265F4">
      <w:pPr>
        <w:pStyle w:val="Style3"/>
        <w:widowControl/>
        <w:tabs>
          <w:tab w:val="left" w:pos="3119"/>
          <w:tab w:val="left" w:pos="6663"/>
        </w:tabs>
        <w:spacing w:line="360" w:lineRule="auto"/>
        <w:rPr>
          <w:rStyle w:val="FontStyle21"/>
          <w:sz w:val="12"/>
        </w:rPr>
      </w:pPr>
    </w:p>
    <w:p w:rsidR="00F265F4" w:rsidRPr="00583B72" w:rsidRDefault="00F265F4" w:rsidP="00F265F4">
      <w:pPr>
        <w:pStyle w:val="Style8"/>
        <w:widowControl/>
        <w:tabs>
          <w:tab w:val="left" w:pos="3119"/>
          <w:tab w:val="left" w:pos="4962"/>
          <w:tab w:val="left" w:pos="6804"/>
        </w:tabs>
        <w:spacing w:line="360" w:lineRule="auto"/>
        <w:rPr>
          <w:rStyle w:val="FontStyle21"/>
          <w:sz w:val="8"/>
        </w:rPr>
      </w:pPr>
      <w:r w:rsidRPr="00583B72">
        <w:rPr>
          <w:rStyle w:val="FontStyle21"/>
        </w:rPr>
        <w:t xml:space="preserve">................................................... </w:t>
      </w:r>
      <w:r w:rsidRPr="00583B72">
        <w:tab/>
      </w:r>
      <w:r w:rsidRPr="00583B72">
        <w:rPr>
          <w:rStyle w:val="FontStyle21"/>
        </w:rPr>
        <w:t>...................................................</w:t>
      </w:r>
      <w:r w:rsidRPr="00583B72">
        <w:tab/>
      </w:r>
      <w:r w:rsidRPr="00583B72">
        <w:rPr>
          <w:rStyle w:val="FontStyle21"/>
        </w:rPr>
        <w:t>...................................................</w:t>
      </w:r>
    </w:p>
    <w:p w:rsidR="00F265F4" w:rsidRPr="00583B72" w:rsidRDefault="00F265F4" w:rsidP="00F265F4">
      <w:pPr>
        <w:pStyle w:val="Style13"/>
        <w:widowControl/>
        <w:spacing w:line="360" w:lineRule="auto"/>
        <w:rPr>
          <w:rStyle w:val="FontStyle21"/>
          <w:sz w:val="8"/>
        </w:rPr>
      </w:pPr>
    </w:p>
    <w:p w:rsidR="00F265F4" w:rsidRPr="00583B72" w:rsidRDefault="00F265F4" w:rsidP="00F265F4">
      <w:pPr>
        <w:pStyle w:val="Style13"/>
        <w:widowControl/>
        <w:jc w:val="center"/>
        <w:rPr>
          <w:rStyle w:val="FontStyle21"/>
          <w:sz w:val="12"/>
        </w:rPr>
      </w:pPr>
      <w:r w:rsidRPr="00583B72">
        <w:rPr>
          <w:rStyle w:val="FontStyle21"/>
        </w:rPr>
        <w:t>REZULTATELE ÎNCERCĂRII / RESULTATS DES CONTRÔLES / ERGEBNISSE DER KONTROLLE</w:t>
      </w:r>
    </w:p>
    <w:p w:rsidR="00F265F4" w:rsidRPr="00583B72" w:rsidRDefault="00F265F4" w:rsidP="00F265F4">
      <w:pPr>
        <w:pStyle w:val="Style13"/>
        <w:widowControl/>
        <w:spacing w:line="360" w:lineRule="auto"/>
        <w:jc w:val="center"/>
        <w:rPr>
          <w:rStyle w:val="FontStyle21"/>
          <w:sz w:val="12"/>
        </w:rPr>
      </w:pPr>
    </w:p>
    <w:p w:rsidR="00F265F4" w:rsidRPr="00583B72" w:rsidRDefault="00F265F4" w:rsidP="00F265F4">
      <w:pPr>
        <w:pStyle w:val="Style8"/>
        <w:widowControl/>
        <w:spacing w:line="360" w:lineRule="auto"/>
        <w:rPr>
          <w:rStyle w:val="FontStyle21"/>
        </w:rPr>
      </w:pPr>
      <w:r w:rsidRPr="00583B72">
        <w:rPr>
          <w:rStyle w:val="FontStyle21"/>
        </w:rPr>
        <w:t>Nivelul mediu al condi</w:t>
      </w:r>
      <w:r w:rsidR="00F4394A" w:rsidRPr="00583B72">
        <w:rPr>
          <w:rStyle w:val="FontStyle21"/>
          <w:rFonts w:ascii="Times New Roman" w:hAnsi="Times New Roman" w:cs="Times New Roman"/>
        </w:rPr>
        <w:t>ț</w:t>
      </w:r>
      <w:r w:rsidRPr="00583B72">
        <w:rPr>
          <w:rStyle w:val="FontStyle21"/>
        </w:rPr>
        <w:t xml:space="preserve">iilor naturale locale la data încercării     </w:t>
      </w:r>
      <w:r w:rsidRPr="00583B72">
        <w:rPr>
          <w:noProof/>
          <w:lang w:val="en-US" w:eastAsia="en-US" w:bidi="ar-SA"/>
        </w:rPr>
        <w:drawing>
          <wp:inline distT="0" distB="0" distL="0" distR="0" wp14:anchorId="4A64B09A" wp14:editId="2583A05F">
            <wp:extent cx="171429" cy="190476"/>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1429" cy="190476"/>
                    </a:xfrm>
                    <a:prstGeom prst="rect">
                      <a:avLst/>
                    </a:prstGeom>
                  </pic:spPr>
                </pic:pic>
              </a:graphicData>
            </a:graphic>
          </wp:inline>
        </w:drawing>
      </w:r>
      <w:r w:rsidRPr="00583B72">
        <w:rPr>
          <w:rStyle w:val="FontStyle21"/>
        </w:rPr>
        <w:t xml:space="preserve"> = ....................................................... µGy/h</w:t>
      </w:r>
    </w:p>
    <w:p w:rsidR="00F265F4" w:rsidRPr="00583B72" w:rsidRDefault="00F265F4" w:rsidP="00F265F4">
      <w:pPr>
        <w:pStyle w:val="Style8"/>
        <w:widowControl/>
        <w:spacing w:line="360" w:lineRule="auto"/>
        <w:rPr>
          <w:rStyle w:val="FontStyle21"/>
          <w:sz w:val="12"/>
        </w:rPr>
      </w:pPr>
      <w:r w:rsidRPr="00583B72">
        <w:rPr>
          <w:rStyle w:val="FontStyle21"/>
        </w:rPr>
        <w:t>(Fond naturel local moyen au moment du contrôle / Mittelwert der natürlichen lokalen Strahlung im Moment der Kontrolle)</w:t>
      </w:r>
    </w:p>
    <w:p w:rsidR="00F265F4" w:rsidRPr="00583B72" w:rsidRDefault="00F265F4" w:rsidP="00F265F4">
      <w:pPr>
        <w:pStyle w:val="Style8"/>
        <w:widowControl/>
        <w:spacing w:line="360" w:lineRule="auto"/>
        <w:rPr>
          <w:rStyle w:val="FontStyle21"/>
          <w:sz w:val="12"/>
        </w:rPr>
      </w:pPr>
    </w:p>
    <w:p w:rsidR="00F265F4" w:rsidRPr="00583B72" w:rsidRDefault="00F265F4" w:rsidP="00F265F4">
      <w:pPr>
        <w:pStyle w:val="Style8"/>
        <w:widowControl/>
        <w:spacing w:line="360" w:lineRule="auto"/>
        <w:rPr>
          <w:rStyle w:val="FontStyle21"/>
        </w:rPr>
      </w:pPr>
      <w:r w:rsidRPr="00583B72">
        <w:rPr>
          <w:rStyle w:val="FontStyle21"/>
        </w:rPr>
        <w:t>Valoarea maximă detectată în aer la 20 cm fa</w:t>
      </w:r>
      <w:r w:rsidR="00F4394A" w:rsidRPr="00583B72">
        <w:rPr>
          <w:rStyle w:val="FontStyle21"/>
          <w:rFonts w:ascii="Times New Roman" w:hAnsi="Times New Roman" w:cs="Times New Roman"/>
        </w:rPr>
        <w:t>ț</w:t>
      </w:r>
      <w:r w:rsidRPr="00583B72">
        <w:rPr>
          <w:rStyle w:val="FontStyle21"/>
        </w:rPr>
        <w:t>ă de pere</w:t>
      </w:r>
      <w:r w:rsidR="00F4394A" w:rsidRPr="00583B72">
        <w:rPr>
          <w:rStyle w:val="FontStyle21"/>
          <w:rFonts w:ascii="Times New Roman" w:hAnsi="Times New Roman" w:cs="Times New Roman"/>
        </w:rPr>
        <w:t>ț</w:t>
      </w:r>
      <w:r w:rsidRPr="00583B72">
        <w:rPr>
          <w:rStyle w:val="FontStyle21"/>
        </w:rPr>
        <w:t>ii încărcăturii: ................................................ µGy/h</w:t>
      </w:r>
    </w:p>
    <w:p w:rsidR="00F265F4" w:rsidRPr="00583B72" w:rsidRDefault="00F265F4" w:rsidP="00F265F4">
      <w:pPr>
        <w:pStyle w:val="Style6"/>
        <w:widowControl/>
        <w:rPr>
          <w:rStyle w:val="FontStyle21"/>
        </w:rPr>
      </w:pPr>
      <w:r w:rsidRPr="00583B72">
        <w:rPr>
          <w:rStyle w:val="FontStyle21"/>
        </w:rPr>
        <w:t>Valeur maximale relevée en air dans 20 cm des parois du chargement / Grösster Wert gemessen in der Luft binnen 20 cm von den Wänden der Ladung)</w:t>
      </w:r>
    </w:p>
    <w:p w:rsidR="00F265F4" w:rsidRPr="00583B72" w:rsidRDefault="00F265F4" w:rsidP="00B76C36">
      <w:pPr>
        <w:pStyle w:val="Style5"/>
        <w:widowControl/>
        <w:spacing w:before="120" w:line="360" w:lineRule="auto"/>
        <w:jc w:val="center"/>
        <w:rPr>
          <w:rStyle w:val="FontStyle21"/>
        </w:rPr>
      </w:pPr>
      <w:r w:rsidRPr="00583B72">
        <w:rPr>
          <w:rStyle w:val="FontStyle21"/>
        </w:rPr>
        <w:t>DECLARA</w:t>
      </w:r>
      <w:r w:rsidR="00F4394A" w:rsidRPr="00583B72">
        <w:rPr>
          <w:rStyle w:val="FontStyle21"/>
          <w:rFonts w:ascii="Times New Roman" w:hAnsi="Times New Roman" w:cs="Times New Roman"/>
        </w:rPr>
        <w:t>Ț</w:t>
      </w:r>
      <w:r w:rsidRPr="00583B72">
        <w:rPr>
          <w:rStyle w:val="FontStyle21"/>
        </w:rPr>
        <w:t xml:space="preserve">IE / DECLARATION / ERKLARUNG </w:t>
      </w:r>
    </w:p>
    <w:p w:rsidR="00F265F4" w:rsidRPr="00583B72" w:rsidRDefault="00F265F4" w:rsidP="00F265F4">
      <w:pPr>
        <w:pStyle w:val="Style5"/>
        <w:widowControl/>
        <w:spacing w:line="360" w:lineRule="auto"/>
        <w:rPr>
          <w:rStyle w:val="FontStyle21"/>
        </w:rPr>
      </w:pPr>
      <w:r w:rsidRPr="00583B72">
        <w:rPr>
          <w:rStyle w:val="FontStyle21"/>
        </w:rPr>
        <w:t>Subsemnatul / Le soussigné / Der Unterzeichner:</w:t>
      </w:r>
    </w:p>
    <w:p w:rsidR="00F265F4" w:rsidRPr="00583B72" w:rsidRDefault="00F265F4" w:rsidP="00F265F4">
      <w:pPr>
        <w:pStyle w:val="Style4"/>
        <w:widowControl/>
        <w:spacing w:line="360" w:lineRule="auto"/>
        <w:rPr>
          <w:rStyle w:val="FontStyle21"/>
        </w:rPr>
      </w:pPr>
      <w:r w:rsidRPr="00583B72">
        <w:rPr>
          <w:rStyle w:val="FontStyle21"/>
        </w:rPr>
        <w:t xml:space="preserve">Rezident al (adresă, </w:t>
      </w:r>
      <w:r w:rsidR="00F4394A" w:rsidRPr="00583B72">
        <w:rPr>
          <w:rStyle w:val="FontStyle21"/>
          <w:rFonts w:ascii="Times New Roman" w:hAnsi="Times New Roman" w:cs="Times New Roman"/>
        </w:rPr>
        <w:t>ț</w:t>
      </w:r>
      <w:r w:rsidRPr="00583B72">
        <w:rPr>
          <w:rStyle w:val="FontStyle21"/>
        </w:rPr>
        <w:t xml:space="preserve">ară) / Résident (Adresse, Pays) / Wohnhaft (Anschrift, Land): </w:t>
      </w:r>
    </w:p>
    <w:p w:rsidR="00F265F4" w:rsidRPr="00583B72" w:rsidRDefault="00F265F4" w:rsidP="00F265F4">
      <w:pPr>
        <w:pStyle w:val="Style4"/>
        <w:widowControl/>
        <w:tabs>
          <w:tab w:val="left" w:pos="5387"/>
        </w:tabs>
        <w:spacing w:line="360" w:lineRule="auto"/>
        <w:rPr>
          <w:rStyle w:val="FontStyle21"/>
        </w:rPr>
      </w:pPr>
      <w:r w:rsidRPr="00583B72">
        <w:rPr>
          <w:rStyle w:val="FontStyle21"/>
        </w:rPr>
        <w:t xml:space="preserve">Entitate: </w:t>
      </w:r>
      <w:r w:rsidRPr="00583B72">
        <w:tab/>
      </w:r>
      <w:r w:rsidRPr="00583B72">
        <w:rPr>
          <w:rStyle w:val="FontStyle21"/>
        </w:rPr>
        <w:t>Func</w:t>
      </w:r>
      <w:r w:rsidR="00F4394A" w:rsidRPr="00583B72">
        <w:rPr>
          <w:rStyle w:val="FontStyle21"/>
          <w:rFonts w:ascii="Times New Roman" w:hAnsi="Times New Roman" w:cs="Times New Roman"/>
        </w:rPr>
        <w:t>ț</w:t>
      </w:r>
      <w:r w:rsidRPr="00583B72">
        <w:rPr>
          <w:rStyle w:val="FontStyle21"/>
        </w:rPr>
        <w:t xml:space="preserve">ia: </w:t>
      </w:r>
    </w:p>
    <w:p w:rsidR="00F265F4" w:rsidRPr="00583B72" w:rsidRDefault="00F265F4" w:rsidP="00F265F4">
      <w:pPr>
        <w:pStyle w:val="Style4"/>
        <w:widowControl/>
        <w:tabs>
          <w:tab w:val="left" w:pos="5387"/>
        </w:tabs>
        <w:spacing w:line="360" w:lineRule="auto"/>
        <w:rPr>
          <w:rStyle w:val="FontStyle21"/>
        </w:rPr>
      </w:pPr>
      <w:r w:rsidRPr="00583B72">
        <w:rPr>
          <w:rStyle w:val="FontStyle21"/>
        </w:rPr>
        <w:t xml:space="preserve">Tel. </w:t>
      </w:r>
      <w:r w:rsidRPr="00583B72">
        <w:tab/>
      </w:r>
      <w:r w:rsidRPr="00583B72">
        <w:rPr>
          <w:rStyle w:val="FontStyle21"/>
        </w:rPr>
        <w:t>Fax</w:t>
      </w:r>
    </w:p>
    <w:p w:rsidR="00F265F4" w:rsidRPr="00583B72" w:rsidRDefault="00F265F4" w:rsidP="00F265F4">
      <w:pPr>
        <w:pStyle w:val="Style6"/>
        <w:widowControl/>
        <w:rPr>
          <w:rStyle w:val="FontStyle21"/>
        </w:rPr>
      </w:pPr>
      <w:r w:rsidRPr="00583B72">
        <w:rPr>
          <w:rStyle w:val="FontStyle21"/>
        </w:rPr>
        <w:t>Expert în măsurători radiometrice, declar că măsurătorile efectuate asupra încărcăturii men</w:t>
      </w:r>
      <w:r w:rsidR="00F4394A" w:rsidRPr="00583B72">
        <w:rPr>
          <w:rStyle w:val="FontStyle21"/>
          <w:rFonts w:ascii="Times New Roman" w:hAnsi="Times New Roman" w:cs="Times New Roman"/>
        </w:rPr>
        <w:t>ț</w:t>
      </w:r>
      <w:r w:rsidRPr="00583B72">
        <w:rPr>
          <w:rStyle w:val="FontStyle21"/>
        </w:rPr>
        <w:t>ionate în formular nu au eviden</w:t>
      </w:r>
      <w:r w:rsidR="00F4394A" w:rsidRPr="00583B72">
        <w:rPr>
          <w:rStyle w:val="FontStyle21"/>
          <w:rFonts w:ascii="Times New Roman" w:hAnsi="Times New Roman" w:cs="Times New Roman"/>
        </w:rPr>
        <w:t>ț</w:t>
      </w:r>
      <w:r w:rsidRPr="00583B72">
        <w:rPr>
          <w:rStyle w:val="FontStyle21"/>
        </w:rPr>
        <w:t>iat valori care depă</w:t>
      </w:r>
      <w:r w:rsidR="00F4394A" w:rsidRPr="00583B72">
        <w:rPr>
          <w:rStyle w:val="FontStyle21"/>
          <w:rFonts w:ascii="Times New Roman" w:hAnsi="Times New Roman" w:cs="Times New Roman"/>
        </w:rPr>
        <w:t>ș</w:t>
      </w:r>
      <w:r w:rsidRPr="00583B72">
        <w:rPr>
          <w:rStyle w:val="FontStyle21"/>
        </w:rPr>
        <w:t>esc fluctua</w:t>
      </w:r>
      <w:r w:rsidR="00F4394A" w:rsidRPr="00583B72">
        <w:rPr>
          <w:rStyle w:val="FontStyle21"/>
          <w:rFonts w:ascii="Times New Roman" w:hAnsi="Times New Roman" w:cs="Times New Roman"/>
        </w:rPr>
        <w:t>ț</w:t>
      </w:r>
      <w:r w:rsidRPr="00583B72">
        <w:rPr>
          <w:rStyle w:val="FontStyle21"/>
        </w:rPr>
        <w:t>ia medie a nivelului de radia</w:t>
      </w:r>
      <w:r w:rsidR="00F4394A" w:rsidRPr="00583B72">
        <w:rPr>
          <w:rStyle w:val="FontStyle21"/>
          <w:rFonts w:ascii="Times New Roman" w:hAnsi="Times New Roman" w:cs="Times New Roman"/>
        </w:rPr>
        <w:t>ț</w:t>
      </w:r>
      <w:r w:rsidRPr="00583B72">
        <w:rPr>
          <w:rStyle w:val="FontStyle21"/>
        </w:rPr>
        <w:t>ii specific condi</w:t>
      </w:r>
      <w:r w:rsidR="00F4394A" w:rsidRPr="00583B72">
        <w:rPr>
          <w:rStyle w:val="FontStyle21"/>
          <w:rFonts w:ascii="Times New Roman" w:hAnsi="Times New Roman" w:cs="Times New Roman"/>
        </w:rPr>
        <w:t>ț</w:t>
      </w:r>
      <w:r w:rsidRPr="00583B72">
        <w:rPr>
          <w:rStyle w:val="FontStyle21"/>
        </w:rPr>
        <w:t>iilor naturale locale. Semnat cu bună credin</w:t>
      </w:r>
      <w:r w:rsidR="00F4394A" w:rsidRPr="00583B72">
        <w:rPr>
          <w:rStyle w:val="FontStyle21"/>
          <w:rFonts w:ascii="Times New Roman" w:hAnsi="Times New Roman" w:cs="Times New Roman"/>
        </w:rPr>
        <w:t>ț</w:t>
      </w:r>
      <w:r w:rsidRPr="00583B72">
        <w:rPr>
          <w:rStyle w:val="FontStyle21"/>
        </w:rPr>
        <w:t>ă.</w:t>
      </w:r>
    </w:p>
    <w:p w:rsidR="00F265F4" w:rsidRPr="00583B72" w:rsidRDefault="00F265F4" w:rsidP="00F265F4">
      <w:pPr>
        <w:pStyle w:val="Style6"/>
        <w:widowControl/>
        <w:rPr>
          <w:rStyle w:val="FontStyle21"/>
        </w:rPr>
      </w:pPr>
      <w:r w:rsidRPr="00583B72">
        <w:rPr>
          <w:rStyle w:val="FontStyle21"/>
        </w:rPr>
        <w:t>Expert en mesures radiométriques, déclare que les mesures exécutées sur le chargement, dont au présent formulaire, n'ont pas relevé des valeurs supérieures à la fluctuation moyenne du fond naturel local de rayonnement. Fait de bonne foi.</w:t>
      </w:r>
    </w:p>
    <w:p w:rsidR="00F265F4" w:rsidRPr="00583B72" w:rsidRDefault="00F265F4" w:rsidP="00F265F4">
      <w:pPr>
        <w:pStyle w:val="Style6"/>
        <w:widowControl/>
        <w:rPr>
          <w:rStyle w:val="FontStyle21"/>
        </w:rPr>
      </w:pPr>
      <w:r w:rsidRPr="00583B72">
        <w:rPr>
          <w:rStyle w:val="FontStyle21"/>
        </w:rPr>
        <w:t>Experte für die Messung nuklearer Strahlung erklärt, dass die an der Ladung ausgeführten Messungen bezüglich dieses Formulars keine Werte angezeigt haben, die höher sind als die mittlere Schwankung der natürlichen lokalen Strahlung. In gutem Glauben.</w:t>
      </w:r>
    </w:p>
    <w:p w:rsidR="00F265F4" w:rsidRPr="00583B72" w:rsidRDefault="00F265F4" w:rsidP="00F265F4">
      <w:pPr>
        <w:pStyle w:val="Style6"/>
        <w:widowControl/>
        <w:spacing w:line="360" w:lineRule="auto"/>
        <w:rPr>
          <w:rStyle w:val="FontStyle21"/>
        </w:rPr>
      </w:pPr>
    </w:p>
    <w:p w:rsidR="00F265F4" w:rsidRPr="00583B72" w:rsidRDefault="00F265F4" w:rsidP="00583B72">
      <w:pPr>
        <w:pStyle w:val="Style8"/>
        <w:widowControl/>
        <w:tabs>
          <w:tab w:val="left" w:pos="5130"/>
        </w:tabs>
        <w:spacing w:line="360" w:lineRule="auto"/>
        <w:rPr>
          <w:rStyle w:val="FontStyle21"/>
        </w:rPr>
      </w:pPr>
      <w:r w:rsidRPr="00583B72">
        <w:rPr>
          <w:rStyle w:val="FontStyle21"/>
        </w:rPr>
        <w:t xml:space="preserve">Data / Date / Datum: ............................................... </w:t>
      </w:r>
      <w:r w:rsidRPr="00583B72">
        <w:tab/>
      </w:r>
      <w:r w:rsidRPr="00583B72">
        <w:rPr>
          <w:rStyle w:val="FontStyle21"/>
        </w:rPr>
        <w:t>Semnătura / Signature / Unterschrift: ..........................................................</w:t>
      </w:r>
    </w:p>
    <w:p w:rsidR="00F265F4" w:rsidRPr="00583B72" w:rsidRDefault="00F265F4" w:rsidP="00F265F4">
      <w:pPr>
        <w:pStyle w:val="Style8"/>
        <w:widowControl/>
        <w:spacing w:line="360" w:lineRule="auto"/>
        <w:rPr>
          <w:rStyle w:val="FontStyle21"/>
        </w:rPr>
      </w:pPr>
    </w:p>
    <w:p w:rsidR="00F265F4" w:rsidRPr="00583B72" w:rsidRDefault="00F265F4" w:rsidP="00583B72">
      <w:pPr>
        <w:pStyle w:val="Style8"/>
        <w:widowControl/>
        <w:spacing w:line="360" w:lineRule="auto"/>
        <w:rPr>
          <w:rFonts w:ascii="Times New Roman" w:hAnsi="Times New Roman"/>
        </w:rPr>
      </w:pPr>
      <w:r w:rsidRPr="00583B72">
        <w:rPr>
          <w:rStyle w:val="FontStyle21"/>
        </w:rPr>
        <w:t>Sec</w:t>
      </w:r>
      <w:r w:rsidR="00F4394A" w:rsidRPr="00583B72">
        <w:rPr>
          <w:rStyle w:val="FontStyle21"/>
          <w:rFonts w:ascii="Times New Roman" w:hAnsi="Times New Roman" w:cs="Times New Roman"/>
        </w:rPr>
        <w:t>ț</w:t>
      </w:r>
      <w:r w:rsidRPr="00583B72">
        <w:rPr>
          <w:rStyle w:val="FontStyle21"/>
        </w:rPr>
        <w:t>iunea 2. Aprobări ale autorită</w:t>
      </w:r>
      <w:r w:rsidR="00F4394A" w:rsidRPr="00583B72">
        <w:rPr>
          <w:rStyle w:val="FontStyle21"/>
          <w:rFonts w:ascii="Times New Roman" w:hAnsi="Times New Roman" w:cs="Times New Roman"/>
        </w:rPr>
        <w:t>ț</w:t>
      </w:r>
      <w:r w:rsidRPr="00583B72">
        <w:rPr>
          <w:rStyle w:val="FontStyle21"/>
        </w:rPr>
        <w:t>ii competente</w:t>
      </w:r>
    </w:p>
    <w:p w:rsidR="00F265F4" w:rsidRPr="00583B72" w:rsidRDefault="00F265F4" w:rsidP="00CF773E">
      <w:pPr>
        <w:spacing w:line="240" w:lineRule="auto"/>
        <w:ind w:left="708" w:hanging="356"/>
        <w:jc w:val="both"/>
        <w:rPr>
          <w:rFonts w:ascii="Times New Roman" w:hAnsi="Times New Roman" w:cs="Times New Roman"/>
          <w:sz w:val="24"/>
          <w:szCs w:val="24"/>
        </w:rPr>
        <w:sectPr w:rsidR="00F265F4" w:rsidRPr="00583B72" w:rsidSect="00F265F4">
          <w:headerReference w:type="default" r:id="rId11"/>
          <w:pgSz w:w="11909" w:h="16834" w:code="9"/>
          <w:pgMar w:top="567" w:right="851" w:bottom="284" w:left="851" w:header="720" w:footer="720" w:gutter="0"/>
          <w:cols w:space="720"/>
          <w:noEndnote/>
        </w:sectPr>
      </w:pPr>
    </w:p>
    <w:tbl>
      <w:tblPr>
        <w:tblW w:w="7120" w:type="dxa"/>
        <w:tblInd w:w="113" w:type="dxa"/>
        <w:tblLook w:val="04A0" w:firstRow="1" w:lastRow="0" w:firstColumn="1" w:lastColumn="0" w:noHBand="0" w:noVBand="1"/>
      </w:tblPr>
      <w:tblGrid>
        <w:gridCol w:w="5320"/>
        <w:gridCol w:w="2310"/>
      </w:tblGrid>
      <w:tr w:rsidR="00F265F4" w:rsidRPr="00583B72" w:rsidTr="00223553">
        <w:trPr>
          <w:trHeight w:val="269"/>
        </w:trPr>
        <w:tc>
          <w:tcPr>
            <w:tcW w:w="5320" w:type="dxa"/>
            <w:vMerge w:val="restart"/>
            <w:tcBorders>
              <w:top w:val="single" w:sz="4" w:space="0" w:color="auto"/>
              <w:left w:val="single" w:sz="4" w:space="0" w:color="auto"/>
              <w:bottom w:val="single" w:sz="4" w:space="0" w:color="auto"/>
              <w:right w:val="single" w:sz="4" w:space="0" w:color="auto"/>
            </w:tcBorders>
            <w:shd w:val="clear" w:color="000000" w:fill="9ED3A4"/>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lastRenderedPageBreak/>
              <w:t xml:space="preserve">DESCRIERE </w:t>
            </w:r>
          </w:p>
        </w:tc>
        <w:tc>
          <w:tcPr>
            <w:tcW w:w="1800" w:type="dxa"/>
            <w:vMerge w:val="restart"/>
            <w:tcBorders>
              <w:top w:val="single" w:sz="4" w:space="0" w:color="auto"/>
              <w:left w:val="single" w:sz="4" w:space="0" w:color="auto"/>
              <w:bottom w:val="single" w:sz="4" w:space="0" w:color="auto"/>
              <w:right w:val="single" w:sz="4" w:space="0" w:color="auto"/>
            </w:tcBorders>
            <w:shd w:val="clear" w:color="000000" w:fill="9ED3A4"/>
            <w:noWrap/>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COD NC</w:t>
            </w:r>
          </w:p>
        </w:tc>
      </w:tr>
      <w:tr w:rsidR="00F265F4" w:rsidRPr="00583B72" w:rsidTr="00223553">
        <w:trPr>
          <w:trHeight w:val="269"/>
        </w:trPr>
        <w:tc>
          <w:tcPr>
            <w:tcW w:w="5320" w:type="dxa"/>
            <w:vMerge/>
            <w:tcBorders>
              <w:top w:val="single" w:sz="4" w:space="0" w:color="auto"/>
              <w:left w:val="single" w:sz="4" w:space="0" w:color="auto"/>
              <w:bottom w:val="single" w:sz="4" w:space="0" w:color="auto"/>
              <w:right w:val="single" w:sz="4" w:space="0" w:color="auto"/>
            </w:tcBorders>
            <w:vAlign w:val="center"/>
            <w:hideMark/>
          </w:tcPr>
          <w:p w:rsidR="00F265F4" w:rsidRPr="00583B72" w:rsidRDefault="00F265F4" w:rsidP="00F265F4">
            <w:pPr>
              <w:spacing w:after="0" w:line="240" w:lineRule="auto"/>
              <w:rPr>
                <w:rFonts w:ascii="Calibri" w:eastAsia="Times New Roman" w:hAnsi="Calibri" w:cs="Calibri"/>
                <w:b/>
                <w:bCs/>
                <w:color w:val="000000"/>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F265F4" w:rsidRPr="00583B72" w:rsidRDefault="00F265F4" w:rsidP="00F265F4">
            <w:pPr>
              <w:spacing w:after="0" w:line="240" w:lineRule="auto"/>
              <w:rPr>
                <w:rFonts w:ascii="Calibri" w:eastAsia="Times New Roman" w:hAnsi="Calibri" w:cs="Calibri"/>
                <w:b/>
                <w:bCs/>
                <w:color w:val="000000"/>
              </w:rPr>
            </w:pPr>
          </w:p>
        </w:tc>
      </w:tr>
      <w:tr w:rsidR="00F265F4" w:rsidRPr="00583B72" w:rsidTr="00223553">
        <w:trPr>
          <w:trHeight w:val="269"/>
        </w:trPr>
        <w:tc>
          <w:tcPr>
            <w:tcW w:w="5320" w:type="dxa"/>
            <w:vMerge w:val="restart"/>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rPr>
                <w:rFonts w:ascii="Calibri" w:eastAsia="Times New Roman" w:hAnsi="Calibri" w:cs="Calibri"/>
                <w:b/>
                <w:bCs/>
                <w:color w:val="000000"/>
              </w:rPr>
            </w:pPr>
            <w:r w:rsidRPr="00583B72">
              <w:rPr>
                <w:rFonts w:ascii="Calibri" w:hAnsi="Calibri"/>
                <w:b/>
                <w:color w:val="000000"/>
              </w:rPr>
              <w:t>ACTIVITĂȚI DE TURNĂTORIE</w:t>
            </w:r>
          </w:p>
        </w:tc>
        <w:tc>
          <w:tcPr>
            <w:tcW w:w="1800" w:type="dxa"/>
            <w:vMerge w:val="restart"/>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p>
        </w:tc>
      </w:tr>
      <w:tr w:rsidR="00F265F4" w:rsidRPr="00583B72" w:rsidTr="00223553">
        <w:trPr>
          <w:trHeight w:val="269"/>
        </w:trPr>
        <w:tc>
          <w:tcPr>
            <w:tcW w:w="5320" w:type="dxa"/>
            <w:vMerge/>
            <w:tcBorders>
              <w:top w:val="nil"/>
              <w:left w:val="single" w:sz="4" w:space="0" w:color="auto"/>
              <w:bottom w:val="nil"/>
              <w:right w:val="single" w:sz="4" w:space="0" w:color="auto"/>
            </w:tcBorders>
            <w:vAlign w:val="center"/>
            <w:hideMark/>
          </w:tcPr>
          <w:p w:rsidR="00F265F4" w:rsidRPr="00583B72" w:rsidRDefault="00F265F4" w:rsidP="00F265F4">
            <w:pPr>
              <w:spacing w:after="0" w:line="240" w:lineRule="auto"/>
              <w:rPr>
                <w:rFonts w:ascii="Calibri" w:eastAsia="Times New Roman" w:hAnsi="Calibri" w:cs="Calibri"/>
                <w:b/>
                <w:bCs/>
                <w:color w:val="000000"/>
              </w:rPr>
            </w:pPr>
          </w:p>
        </w:tc>
        <w:tc>
          <w:tcPr>
            <w:tcW w:w="1800" w:type="dxa"/>
            <w:vMerge/>
            <w:tcBorders>
              <w:top w:val="nil"/>
              <w:left w:val="single" w:sz="4" w:space="0" w:color="auto"/>
              <w:bottom w:val="nil"/>
              <w:right w:val="single" w:sz="4" w:space="0" w:color="auto"/>
            </w:tcBorders>
            <w:vAlign w:val="center"/>
            <w:hideMark/>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223553">
        <w:tc>
          <w:tcPr>
            <w:tcW w:w="5320" w:type="dxa"/>
            <w:tcBorders>
              <w:top w:val="nil"/>
              <w:left w:val="single" w:sz="4" w:space="0" w:color="auto"/>
              <w:bottom w:val="single" w:sz="4" w:space="0" w:color="auto"/>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rPr>
              <w:t xml:space="preserve">Ace și inimi de macaz, macazuri și alte elemente de încrucișare sau de schimbare de cale, pentru calea ferată sau pentru tramvai, din fier sau din oțel </w:t>
            </w:r>
          </w:p>
        </w:tc>
        <w:tc>
          <w:tcPr>
            <w:tcW w:w="1800" w:type="dxa"/>
            <w:tcBorders>
              <w:top w:val="nil"/>
              <w:left w:val="single" w:sz="4" w:space="0" w:color="auto"/>
              <w:bottom w:val="single" w:sz="4" w:space="0" w:color="auto"/>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73023000</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Părți ale aparatelor neelectrice similare de la poziția 7321, pentru uz casnic, precum și părțile acestora, din fier sau din oțel, nedenumite și necuprinse în altă parte </w:t>
            </w:r>
          </w:p>
        </w:tc>
        <w:tc>
          <w:tcPr>
            <w:tcW w:w="1800" w:type="dxa"/>
            <w:tcBorders>
              <w:top w:val="nil"/>
              <w:left w:val="nil"/>
              <w:bottom w:val="single" w:sz="4" w:space="0" w:color="auto"/>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73219000</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Radiatoare pentru încălzirea centrală, cu încălzire neelectrică și părțile acestora, din fier (Cu excepția părților specificate sau incluse în altă parte și cazanele de încălzire centrală) </w:t>
            </w:r>
            <w:bookmarkStart w:id="0" w:name="_GoBack"/>
            <w:bookmarkEnd w:id="0"/>
          </w:p>
        </w:tc>
        <w:tc>
          <w:tcPr>
            <w:tcW w:w="1800" w:type="dxa"/>
            <w:tcBorders>
              <w:top w:val="nil"/>
              <w:left w:val="nil"/>
              <w:bottom w:val="single" w:sz="4" w:space="0" w:color="auto"/>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73221100</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83B72" w:rsidRDefault="00F265F4" w:rsidP="002D091D">
            <w:pPr>
              <w:spacing w:after="0" w:line="240" w:lineRule="auto"/>
              <w:rPr>
                <w:rFonts w:ascii="Calibri" w:eastAsia="Times New Roman" w:hAnsi="Calibri" w:cs="Calibri"/>
                <w:color w:val="000000"/>
              </w:rPr>
            </w:pPr>
            <w:r w:rsidRPr="00583B72">
              <w:rPr>
                <w:rFonts w:ascii="Calibri" w:hAnsi="Calibri"/>
                <w:color w:val="000000"/>
              </w:rPr>
              <w:t>Articole de menaj sau de uz gospodăresc și părțile acestora, din fontă, neemailate</w:t>
            </w:r>
          </w:p>
        </w:tc>
        <w:tc>
          <w:tcPr>
            <w:tcW w:w="1800" w:type="dxa"/>
            <w:tcBorders>
              <w:top w:val="nil"/>
              <w:left w:val="nil"/>
              <w:bottom w:val="single" w:sz="4" w:space="0" w:color="auto"/>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73239100</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83B72" w:rsidRDefault="00F265F4" w:rsidP="002D091D">
            <w:pPr>
              <w:spacing w:after="0" w:line="240" w:lineRule="auto"/>
              <w:rPr>
                <w:rFonts w:ascii="Calibri" w:eastAsia="Times New Roman" w:hAnsi="Calibri" w:cs="Calibri"/>
                <w:color w:val="000000"/>
              </w:rPr>
            </w:pPr>
            <w:r w:rsidRPr="00583B72">
              <w:rPr>
                <w:rFonts w:ascii="Calibri" w:hAnsi="Calibri"/>
                <w:color w:val="000000"/>
              </w:rPr>
              <w:t xml:space="preserve">Articole turnate din fontă, din fier sau din oțel, nedenumite și necuprinse în altă parte (cu excepția articolelor din fontă nemaleabilă sau maleabilă și bile și articole similare pentru concasoare) </w:t>
            </w:r>
          </w:p>
        </w:tc>
        <w:tc>
          <w:tcPr>
            <w:tcW w:w="1800" w:type="dxa"/>
            <w:tcBorders>
              <w:top w:val="nil"/>
              <w:left w:val="nil"/>
              <w:bottom w:val="single" w:sz="4" w:space="0" w:color="auto"/>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73259990</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Articole din aluminiu turnat, nedenumite și necuprinse în altă parte</w:t>
            </w:r>
          </w:p>
        </w:tc>
        <w:tc>
          <w:tcPr>
            <w:tcW w:w="1800" w:type="dxa"/>
            <w:tcBorders>
              <w:top w:val="nil"/>
              <w:left w:val="nil"/>
              <w:bottom w:val="single" w:sz="4" w:space="0" w:color="auto"/>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76169910</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Articole din magneziu, nedenumite și necuprinse în altă parte </w:t>
            </w:r>
          </w:p>
        </w:tc>
        <w:tc>
          <w:tcPr>
            <w:tcW w:w="1800" w:type="dxa"/>
            <w:tcBorders>
              <w:top w:val="nil"/>
              <w:left w:val="nil"/>
              <w:bottom w:val="single" w:sz="4" w:space="0" w:color="auto"/>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81049000</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Piese pentru cazane pentru încălzire centrală, din fier, nedenumite și necuprinse în altă parte </w:t>
            </w:r>
          </w:p>
        </w:tc>
        <w:tc>
          <w:tcPr>
            <w:tcW w:w="1800" w:type="dxa"/>
            <w:tcBorders>
              <w:top w:val="nil"/>
              <w:left w:val="nil"/>
              <w:bottom w:val="single" w:sz="4" w:space="0" w:color="auto"/>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84039010</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Piese pentru turbine hidraulice și roți hidraulice, nedenumite și necuprinse în altă parte și regulatoare pentru turbine hidraulice, din fontă, fier sau oțel </w:t>
            </w:r>
          </w:p>
        </w:tc>
        <w:tc>
          <w:tcPr>
            <w:tcW w:w="1800" w:type="dxa"/>
            <w:tcBorders>
              <w:top w:val="nil"/>
              <w:left w:val="nil"/>
              <w:bottom w:val="single" w:sz="4" w:space="0" w:color="auto"/>
              <w:right w:val="single" w:sz="4" w:space="0" w:color="auto"/>
            </w:tcBorders>
            <w:shd w:val="clear" w:color="000000" w:fill="CCE8CF"/>
            <w:noWrap/>
            <w:hideMark/>
          </w:tcPr>
          <w:p w:rsidR="00F265F4" w:rsidRPr="00583B72" w:rsidRDefault="00F265F4" w:rsidP="00F265F4">
            <w:pPr>
              <w:spacing w:after="0" w:line="240" w:lineRule="auto"/>
              <w:jc w:val="center"/>
              <w:rPr>
                <w:rFonts w:ascii="Calibri" w:eastAsia="Times New Roman" w:hAnsi="Calibri" w:cs="Calibri"/>
              </w:rPr>
            </w:pPr>
            <w:r w:rsidRPr="00583B72">
              <w:rPr>
                <w:rFonts w:ascii="Calibri" w:hAnsi="Calibri"/>
              </w:rPr>
              <w:t>84109000</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Piese pentru mașini, echipamente și instrumente de la pozițiile 8426, 8429 sau 8430, din fontă, fier sau oțel </w:t>
            </w:r>
          </w:p>
        </w:tc>
        <w:tc>
          <w:tcPr>
            <w:tcW w:w="1800" w:type="dxa"/>
            <w:tcBorders>
              <w:top w:val="nil"/>
              <w:left w:val="nil"/>
              <w:bottom w:val="single" w:sz="4" w:space="0" w:color="auto"/>
              <w:right w:val="single" w:sz="4" w:space="0" w:color="auto"/>
            </w:tcBorders>
            <w:shd w:val="clear" w:color="000000" w:fill="CCE8CF"/>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84314920</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Piese pentru mașini pentru fabricarea celulozei din materiale fibroase celulozice, de exemplu, din fontă, fier sau oțel </w:t>
            </w:r>
          </w:p>
        </w:tc>
        <w:tc>
          <w:tcPr>
            <w:tcW w:w="1800" w:type="dxa"/>
            <w:tcBorders>
              <w:top w:val="nil"/>
              <w:left w:val="nil"/>
              <w:bottom w:val="single" w:sz="4" w:space="0" w:color="auto"/>
              <w:right w:val="single" w:sz="4" w:space="0" w:color="auto"/>
            </w:tcBorders>
            <w:shd w:val="clear" w:color="000000" w:fill="CCE8CF"/>
            <w:noWrap/>
            <w:hideMark/>
          </w:tcPr>
          <w:p w:rsidR="00F265F4" w:rsidRPr="00583B72" w:rsidRDefault="00F265F4" w:rsidP="00F265F4">
            <w:pPr>
              <w:spacing w:after="0" w:line="240" w:lineRule="auto"/>
              <w:jc w:val="center"/>
              <w:rPr>
                <w:rFonts w:ascii="Calibri" w:eastAsia="Times New Roman" w:hAnsi="Calibri" w:cs="Calibri"/>
              </w:rPr>
            </w:pPr>
            <w:r w:rsidRPr="00583B72">
              <w:rPr>
                <w:rFonts w:ascii="Calibri" w:hAnsi="Calibri"/>
              </w:rPr>
              <w:t>84399100</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Piese pentru mașini pentru fabricarea sau finisarea hârtiei sau cartonului, din fontă, fier sau oțel </w:t>
            </w:r>
          </w:p>
        </w:tc>
        <w:tc>
          <w:tcPr>
            <w:tcW w:w="1800" w:type="dxa"/>
            <w:tcBorders>
              <w:top w:val="nil"/>
              <w:left w:val="nil"/>
              <w:bottom w:val="single" w:sz="4" w:space="0" w:color="auto"/>
              <w:right w:val="single" w:sz="4" w:space="0" w:color="auto"/>
            </w:tcBorders>
            <w:shd w:val="clear" w:color="000000" w:fill="CCE8CF"/>
            <w:noWrap/>
            <w:hideMark/>
          </w:tcPr>
          <w:p w:rsidR="00F265F4" w:rsidRPr="00583B72" w:rsidRDefault="00F265F4" w:rsidP="00F265F4">
            <w:pPr>
              <w:spacing w:after="0" w:line="240" w:lineRule="auto"/>
              <w:jc w:val="center"/>
              <w:rPr>
                <w:rFonts w:ascii="Calibri" w:eastAsia="Times New Roman" w:hAnsi="Calibri" w:cs="Calibri"/>
              </w:rPr>
            </w:pPr>
            <w:r w:rsidRPr="00583B72">
              <w:rPr>
                <w:rFonts w:ascii="Calibri" w:hAnsi="Calibri"/>
              </w:rPr>
              <w:t>84399900</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Piese pentru mașini de spălat rufe de uz casnic, nedenumite și necuprinse în altă parte</w:t>
            </w:r>
          </w:p>
        </w:tc>
        <w:tc>
          <w:tcPr>
            <w:tcW w:w="1800" w:type="dxa"/>
            <w:tcBorders>
              <w:top w:val="nil"/>
              <w:left w:val="nil"/>
              <w:bottom w:val="single" w:sz="4" w:space="0" w:color="auto"/>
              <w:right w:val="single" w:sz="4" w:space="0" w:color="auto"/>
            </w:tcBorders>
            <w:shd w:val="clear" w:color="000000" w:fill="CCE8CF"/>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84509000</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Piese pentru mașinile de cusut, nedenumite și necuprinse în altă parte </w:t>
            </w:r>
          </w:p>
        </w:tc>
        <w:tc>
          <w:tcPr>
            <w:tcW w:w="1800" w:type="dxa"/>
            <w:tcBorders>
              <w:top w:val="nil"/>
              <w:left w:val="nil"/>
              <w:bottom w:val="single" w:sz="4" w:space="0" w:color="auto"/>
              <w:right w:val="single" w:sz="4" w:space="0" w:color="auto"/>
            </w:tcBorders>
            <w:shd w:val="clear" w:color="000000" w:fill="CCE8CF"/>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84529000</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Piese și accesorii, altele decât cele de la pozițiile anterioare 8466, pentru mașinile de la poziția 8464, din fontă, fier sau oțel </w:t>
            </w:r>
          </w:p>
        </w:tc>
        <w:tc>
          <w:tcPr>
            <w:tcW w:w="1800" w:type="dxa"/>
            <w:tcBorders>
              <w:top w:val="nil"/>
              <w:left w:val="nil"/>
              <w:bottom w:val="single" w:sz="4" w:space="0" w:color="auto"/>
              <w:right w:val="single" w:sz="4" w:space="0" w:color="auto"/>
            </w:tcBorders>
            <w:shd w:val="clear" w:color="000000" w:fill="CCE8CF"/>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84669120</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Piese și accesorii, altele decât cele de la pozițiile anterioare 8466, pentru mașinile de la poziția 8465, din fontă, fier sau oțel </w:t>
            </w:r>
          </w:p>
        </w:tc>
        <w:tc>
          <w:tcPr>
            <w:tcW w:w="1800" w:type="dxa"/>
            <w:tcBorders>
              <w:top w:val="nil"/>
              <w:left w:val="nil"/>
              <w:bottom w:val="single" w:sz="4" w:space="0" w:color="auto"/>
              <w:right w:val="single" w:sz="4" w:space="0" w:color="auto"/>
            </w:tcBorders>
            <w:shd w:val="clear" w:color="000000" w:fill="CCE8CF"/>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84669220</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Piese pentru mașini și echipamente pentru prelucrarea materialelor minerale de la poziția 8474, nedenumite și necuprinse în altă parte, din fontă, fier sau oțel </w:t>
            </w:r>
          </w:p>
        </w:tc>
        <w:tc>
          <w:tcPr>
            <w:tcW w:w="1800" w:type="dxa"/>
            <w:tcBorders>
              <w:top w:val="nil"/>
              <w:left w:val="nil"/>
              <w:bottom w:val="single" w:sz="4" w:space="0" w:color="auto"/>
              <w:right w:val="single" w:sz="4" w:space="0" w:color="auto"/>
            </w:tcBorders>
            <w:shd w:val="clear" w:color="000000" w:fill="CCE8CF"/>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84749010</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000000" w:fill="CCE8CF"/>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Părți de mașini pentru schimbat monede</w:t>
            </w:r>
          </w:p>
        </w:tc>
        <w:tc>
          <w:tcPr>
            <w:tcW w:w="1800" w:type="dxa"/>
            <w:tcBorders>
              <w:top w:val="nil"/>
              <w:left w:val="nil"/>
              <w:bottom w:val="single" w:sz="4" w:space="0" w:color="auto"/>
              <w:right w:val="single" w:sz="4" w:space="0" w:color="auto"/>
            </w:tcBorders>
            <w:shd w:val="clear" w:color="000000" w:fill="CCE8CF"/>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84769010</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000000" w:fill="CCE8CF"/>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alte părți de mașini</w:t>
            </w:r>
          </w:p>
        </w:tc>
        <w:tc>
          <w:tcPr>
            <w:tcW w:w="1800" w:type="dxa"/>
            <w:tcBorders>
              <w:top w:val="nil"/>
              <w:left w:val="nil"/>
              <w:bottom w:val="single" w:sz="4" w:space="0" w:color="auto"/>
              <w:right w:val="single" w:sz="4" w:space="0" w:color="auto"/>
            </w:tcBorders>
            <w:shd w:val="clear" w:color="000000" w:fill="CCE8CF"/>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84769090</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Mașini și aparate pentru prelucrarea cauciucului sau a materialelor plastice, nedenumite și necuprinse în altă parte, din fontă, fier sau oțel </w:t>
            </w:r>
          </w:p>
        </w:tc>
        <w:tc>
          <w:tcPr>
            <w:tcW w:w="1800" w:type="dxa"/>
            <w:tcBorders>
              <w:top w:val="nil"/>
              <w:left w:val="nil"/>
              <w:bottom w:val="single" w:sz="4" w:space="0" w:color="auto"/>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84779010</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lastRenderedPageBreak/>
              <w:t>Mașini și aparate mecanice cu funcție proprie, din fontă, fier sau oțel nedenumite și necuprinse în altă parte</w:t>
            </w:r>
          </w:p>
        </w:tc>
        <w:tc>
          <w:tcPr>
            <w:tcW w:w="1800" w:type="dxa"/>
            <w:tcBorders>
              <w:top w:val="nil"/>
              <w:left w:val="nil"/>
              <w:bottom w:val="single" w:sz="4" w:space="0" w:color="auto"/>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84799020</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Arbori de transmisie și manivele; inclusiv convertizoare de cuplu, din fontă, fier sau oțel </w:t>
            </w:r>
          </w:p>
        </w:tc>
        <w:tc>
          <w:tcPr>
            <w:tcW w:w="1800" w:type="dxa"/>
            <w:tcBorders>
              <w:top w:val="nil"/>
              <w:left w:val="nil"/>
              <w:bottom w:val="single" w:sz="4" w:space="0" w:color="auto"/>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84835020</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Ambreiaje și organe de cuplare, inclusiv articulații, pentru mașini, din fontă, fier sau oțel </w:t>
            </w:r>
          </w:p>
        </w:tc>
        <w:tc>
          <w:tcPr>
            <w:tcW w:w="1800" w:type="dxa"/>
            <w:tcBorders>
              <w:top w:val="nil"/>
              <w:left w:val="nil"/>
              <w:bottom w:val="single" w:sz="4" w:space="0" w:color="auto"/>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84836020</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Alte părți pentru roți dințate, pinioane de lanț și alte elemente de transmisie de la poziția 8483, din fontă, fier sau oțel, nedenumite și necuprinse în altă parte </w:t>
            </w:r>
          </w:p>
        </w:tc>
        <w:tc>
          <w:tcPr>
            <w:tcW w:w="1800" w:type="dxa"/>
            <w:tcBorders>
              <w:top w:val="nil"/>
              <w:left w:val="nil"/>
              <w:bottom w:val="single" w:sz="4" w:space="0" w:color="auto"/>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84839081</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Părți de mașini sau de aparate din secțiunea 84, nedenumite și necuprinse în altă parte în acest capitol, fără caracteristice electrice, </w:t>
            </w:r>
          </w:p>
        </w:tc>
        <w:tc>
          <w:tcPr>
            <w:tcW w:w="1800" w:type="dxa"/>
            <w:tcBorders>
              <w:top w:val="nil"/>
              <w:left w:val="nil"/>
              <w:bottom w:val="single" w:sz="4" w:space="0" w:color="auto"/>
              <w:right w:val="single" w:sz="4" w:space="0" w:color="auto"/>
            </w:tcBorders>
            <w:shd w:val="clear" w:color="000000" w:fill="CCE8CF"/>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84879040</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Părți de mașini sau de aparate de la secțiunea 84, nedenumite și necuprinse în altă parte în acest capitol, fără caracteristice electrice, din fontă, fier sau oțel </w:t>
            </w:r>
          </w:p>
        </w:tc>
        <w:tc>
          <w:tcPr>
            <w:tcW w:w="1800" w:type="dxa"/>
            <w:tcBorders>
              <w:top w:val="nil"/>
              <w:left w:val="nil"/>
              <w:bottom w:val="single" w:sz="4" w:space="0" w:color="auto"/>
              <w:right w:val="single" w:sz="4" w:space="0" w:color="auto"/>
            </w:tcBorders>
            <w:shd w:val="clear" w:color="000000" w:fill="CCE8CF"/>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84879051</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Părți adecvate exclusiv sau în principal pentru motoare și generatoare electrice, generatoare electrice sau convertizoare rotative, de exemplu din fontă, fier sau oțel </w:t>
            </w:r>
          </w:p>
        </w:tc>
        <w:tc>
          <w:tcPr>
            <w:tcW w:w="1800" w:type="dxa"/>
            <w:tcBorders>
              <w:top w:val="nil"/>
              <w:left w:val="nil"/>
              <w:bottom w:val="single" w:sz="4" w:space="0" w:color="auto"/>
              <w:right w:val="single" w:sz="4" w:space="0" w:color="auto"/>
            </w:tcBorders>
            <w:shd w:val="clear" w:color="000000" w:fill="CCE8CF"/>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85030091</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Axe, inclusiv montate; roțile și piesele lor, din fontă, fier sau oțel </w:t>
            </w:r>
          </w:p>
        </w:tc>
        <w:tc>
          <w:tcPr>
            <w:tcW w:w="1800" w:type="dxa"/>
            <w:tcBorders>
              <w:top w:val="nil"/>
              <w:left w:val="nil"/>
              <w:bottom w:val="single" w:sz="4" w:space="0" w:color="auto"/>
              <w:right w:val="single" w:sz="4" w:space="0" w:color="auto"/>
            </w:tcBorders>
            <w:shd w:val="clear" w:color="000000" w:fill="CCE8CF"/>
            <w:noWrap/>
            <w:hideMark/>
          </w:tcPr>
          <w:p w:rsidR="00F265F4" w:rsidRPr="00583B72" w:rsidRDefault="00F265F4" w:rsidP="00F265F4">
            <w:pPr>
              <w:spacing w:after="0" w:line="240" w:lineRule="auto"/>
              <w:jc w:val="center"/>
              <w:rPr>
                <w:rFonts w:ascii="Calibri" w:eastAsia="Times New Roman" w:hAnsi="Calibri" w:cs="Calibri"/>
              </w:rPr>
            </w:pPr>
            <w:r w:rsidRPr="00583B72">
              <w:rPr>
                <w:rFonts w:ascii="Calibri" w:hAnsi="Calibri"/>
              </w:rPr>
              <w:t>86071910</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Piese pentru frâne cu discuri pentru tractoare și autovehicule pentru transportul a zece sau mai mulți pasageri, mașini și alte autovehicule special concepute pentru transportul pasagerilor, vehicule speciale pentru transportul de mărfuri, nedenumite și necuprinse în altă parte (cu excepția celor pentru montarea autovehiculelor de la poziția 8708.30.10) </w:t>
            </w:r>
          </w:p>
        </w:tc>
        <w:tc>
          <w:tcPr>
            <w:tcW w:w="1800" w:type="dxa"/>
            <w:tcBorders>
              <w:top w:val="nil"/>
              <w:left w:val="nil"/>
              <w:bottom w:val="single" w:sz="4" w:space="0" w:color="auto"/>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87083091</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Frâne și servofrâne și părți ale acestora pentru tractoare și autovehicule pentru transportul a zece sau mai mulți pasageri, mașini și alte autovehicule special concepute pentru transportul pasagerilor, vehicule speciale pentru transportul de mărfuri, nedenumite și necuprinse în altă parte (cu excepția celor pentru montarea autovehiculelor de la poziția 8708.30.10 și pentru frâne cu discuri) </w:t>
            </w:r>
          </w:p>
        </w:tc>
        <w:tc>
          <w:tcPr>
            <w:tcW w:w="1800" w:type="dxa"/>
            <w:tcBorders>
              <w:top w:val="nil"/>
              <w:left w:val="nil"/>
              <w:bottom w:val="single" w:sz="4" w:space="0" w:color="auto"/>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87083099</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Punți cu diferențial, chiar prevăzute cu alte organe de transmisie și osii portante, punți fără diferențial și părți ale punților fără diferențial, destinate industriei de montaj pentru vehiculele de la pozițiile 8703, 8704, cu motor cu piston cu aprindere prin compresie (diesel sau semidiesel), cu o capacitate cilindrică de maximum 2 500 cm3 sau cu motor cu piston cu aprindere prin scânteie, cu o capacitate cilindrică de maximum 2 800 cm3 și autovehicule de la poziția 8705, nedenumite și necuprinse în altă parte </w:t>
            </w:r>
          </w:p>
        </w:tc>
        <w:tc>
          <w:tcPr>
            <w:tcW w:w="1800" w:type="dxa"/>
            <w:tcBorders>
              <w:top w:val="nil"/>
              <w:left w:val="nil"/>
              <w:bottom w:val="single" w:sz="4" w:space="0" w:color="auto"/>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87085020</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Punți cu diferențial, chiar prevăzute cu alte organe de transmisie și osii portante, osii portante și părți ale punților fără diferențial pentru tractoare, autovehicule pentru transportul a zece sau mai mulți pasageri, mașini și alte autovehicule special concepute pentru transportul pasagerilor, vehicule speciale pentru transportul mărfurilor, nedenumite și necuprinse în altă parte (cu excepția celor pentru montarea autovehiculelor de la </w:t>
            </w:r>
            <w:r w:rsidRPr="00583B72">
              <w:rPr>
                <w:rFonts w:ascii="Calibri" w:hAnsi="Calibri"/>
                <w:color w:val="000000"/>
              </w:rPr>
              <w:lastRenderedPageBreak/>
              <w:t xml:space="preserve">poziția 8708.50.20) </w:t>
            </w:r>
          </w:p>
        </w:tc>
        <w:tc>
          <w:tcPr>
            <w:tcW w:w="1800" w:type="dxa"/>
            <w:tcBorders>
              <w:top w:val="nil"/>
              <w:left w:val="nil"/>
              <w:bottom w:val="single" w:sz="4" w:space="0" w:color="auto"/>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lastRenderedPageBreak/>
              <w:t>87085035</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Părți pentru osii portante pentru tractoare, autovehicule pentru transportul a zece sau mai mulți pasageri, mașini și alte autovehicule special concepute pentru transportul pasagerilor, vehicule speciale pentru transportul mărfurilor (cu excepția celor pentru montarea autovehiculelor de la poziția 8708.50.20 și cele din oțel presat), nedenumite și necuprinse în altă parte </w:t>
            </w:r>
          </w:p>
        </w:tc>
        <w:tc>
          <w:tcPr>
            <w:tcW w:w="1800" w:type="dxa"/>
            <w:tcBorders>
              <w:top w:val="nil"/>
              <w:left w:val="nil"/>
              <w:bottom w:val="single" w:sz="4" w:space="0" w:color="auto"/>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87085091</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Punți cu diferențial, chiar prevăzute cu alte organe de transmisie pentru tractoare, autovehicule pentru transportul a zece sau mai mulți pasageri, mașini și alte autovehicule special concepute pentru transportul pasagerilor, vehicule speciale pentru transportul mărfurilor (cu excepția celor pentru montarea autovehiculelor de la poziția 8708.50.20 și cele din oțel presat), nedenumite și necuprinse în altă parte </w:t>
            </w:r>
          </w:p>
        </w:tc>
        <w:tc>
          <w:tcPr>
            <w:tcW w:w="1800" w:type="dxa"/>
            <w:tcBorders>
              <w:top w:val="nil"/>
              <w:left w:val="nil"/>
              <w:bottom w:val="single" w:sz="4" w:space="0" w:color="auto"/>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87085099</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Roți, părți și accesorii pentru roți destinate industriei de montaj: motocultoare de la subpoziția 8701.10 sau autovehicule de la poziția 8703 pentru transportul mărfurilor, cu motor cu piston cu aprindere prin compresie (diesel sau semidiesel), cu o capacitate cilindrică de maximum 2 500 cm³ sau cu motor cu piston cu aprindere prin scânteie, cu o capacitate cilindrică de maximum 2 800 cm³, și autovehicule de la poziția 8705 </w:t>
            </w:r>
          </w:p>
        </w:tc>
        <w:tc>
          <w:tcPr>
            <w:tcW w:w="1800" w:type="dxa"/>
            <w:tcBorders>
              <w:top w:val="nil"/>
              <w:left w:val="nil"/>
              <w:bottom w:val="single" w:sz="4" w:space="0" w:color="auto"/>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87087010</w:t>
            </w:r>
          </w:p>
        </w:tc>
      </w:tr>
      <w:tr w:rsidR="00F265F4" w:rsidRPr="00583B72"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Roți, părți și accesorii pentru roți de autovehicule pentru transportul a 10 sau mulți pasageri etc. </w:t>
            </w:r>
          </w:p>
        </w:tc>
        <w:tc>
          <w:tcPr>
            <w:tcW w:w="1800" w:type="dxa"/>
            <w:tcBorders>
              <w:top w:val="nil"/>
              <w:left w:val="nil"/>
              <w:bottom w:val="single" w:sz="4" w:space="0" w:color="auto"/>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87087050</w:t>
            </w:r>
          </w:p>
        </w:tc>
      </w:tr>
      <w:tr w:rsidR="00F265F4" w:rsidRPr="00583B72" w:rsidTr="00223553">
        <w:tc>
          <w:tcPr>
            <w:tcW w:w="5320" w:type="dxa"/>
            <w:tcBorders>
              <w:top w:val="nil"/>
              <w:left w:val="single" w:sz="4" w:space="0" w:color="auto"/>
              <w:bottom w:val="nil"/>
              <w:right w:val="single" w:sz="4" w:space="0" w:color="auto"/>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Părți de roți turnate dintr-o singură piesă în formă de stea etc. </w:t>
            </w:r>
          </w:p>
        </w:tc>
        <w:tc>
          <w:tcPr>
            <w:tcW w:w="1800" w:type="dxa"/>
            <w:tcBorders>
              <w:top w:val="nil"/>
              <w:left w:val="nil"/>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87087091</w:t>
            </w:r>
          </w:p>
        </w:tc>
      </w:tr>
      <w:tr w:rsidR="00F265F4" w:rsidRPr="00583B72" w:rsidTr="00223553">
        <w:tc>
          <w:tcPr>
            <w:tcW w:w="5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Alte părți de remorci și semiremorci </w:t>
            </w:r>
          </w:p>
        </w:tc>
        <w:tc>
          <w:tcPr>
            <w:tcW w:w="1800" w:type="dxa"/>
            <w:tcBorders>
              <w:top w:val="single" w:sz="4" w:space="0" w:color="auto"/>
              <w:left w:val="nil"/>
              <w:bottom w:val="single" w:sz="4" w:space="0" w:color="auto"/>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87169090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223553">
        <w:tc>
          <w:tcPr>
            <w:tcW w:w="5320" w:type="dxa"/>
            <w:tcBorders>
              <w:top w:val="nil"/>
              <w:left w:val="single" w:sz="4" w:space="0" w:color="auto"/>
              <w:bottom w:val="nil"/>
              <w:right w:val="nil"/>
            </w:tcBorders>
            <w:shd w:val="clear" w:color="auto" w:fill="auto"/>
            <w:noWrap/>
            <w:vAlign w:val="bottom"/>
            <w:hideMark/>
          </w:tcPr>
          <w:p w:rsidR="00F265F4" w:rsidRPr="00583B72" w:rsidRDefault="00F265F4" w:rsidP="00F265F4">
            <w:pPr>
              <w:spacing w:after="0" w:line="240" w:lineRule="auto"/>
              <w:rPr>
                <w:rFonts w:ascii="Calibri" w:eastAsia="Times New Roman" w:hAnsi="Calibri" w:cs="Calibri"/>
                <w:b/>
                <w:bCs/>
                <w:color w:val="000000"/>
              </w:rPr>
            </w:pPr>
            <w:r w:rsidRPr="00583B72">
              <w:rPr>
                <w:rFonts w:ascii="Calibri" w:hAnsi="Calibri"/>
                <w:b/>
                <w:color w:val="000000"/>
              </w:rPr>
              <w:t xml:space="preserve">SEMIFABRICATE DIN METALE NEFEROASE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CUPRU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223553">
        <w:tc>
          <w:tcPr>
            <w:tcW w:w="5320" w:type="dxa"/>
            <w:tcBorders>
              <w:top w:val="nil"/>
              <w:left w:val="single" w:sz="4" w:space="0" w:color="auto"/>
              <w:bottom w:val="nil"/>
              <w:right w:val="nil"/>
            </w:tcBorders>
            <w:shd w:val="clear" w:color="auto" w:fill="auto"/>
            <w:noWrap/>
            <w:vAlign w:val="bottom"/>
            <w:hideMark/>
          </w:tcPr>
          <w:p w:rsidR="00F265F4" w:rsidRPr="00583B72" w:rsidRDefault="00F265F4" w:rsidP="00F265F4">
            <w:pPr>
              <w:spacing w:after="0" w:line="240" w:lineRule="auto"/>
              <w:rPr>
                <w:rFonts w:ascii="Calibri" w:eastAsia="Times New Roman" w:hAnsi="Calibri" w:cs="Calibri"/>
                <w:b/>
                <w:bCs/>
                <w:color w:val="000000"/>
              </w:rPr>
            </w:pPr>
            <w:r w:rsidRPr="00583B72">
              <w:rPr>
                <w:rFonts w:ascii="Calibri" w:hAnsi="Calibri"/>
                <w:b/>
                <w:color w:val="000000"/>
              </w:rPr>
              <w:t xml:space="preserve">CUPRU </w:t>
            </w: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223553">
        <w:tc>
          <w:tcPr>
            <w:tcW w:w="5320" w:type="dxa"/>
            <w:tcBorders>
              <w:top w:val="nil"/>
              <w:left w:val="single" w:sz="4" w:space="0" w:color="auto"/>
              <w:bottom w:val="nil"/>
              <w:right w:val="nil"/>
            </w:tcBorders>
            <w:shd w:val="clear" w:color="auto" w:fill="auto"/>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tije și profile din cupru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7407 10 00 </w:t>
            </w:r>
          </w:p>
        </w:tc>
      </w:tr>
      <w:tr w:rsidR="00F265F4" w:rsidRPr="00583B72" w:rsidTr="00223553">
        <w:tc>
          <w:tcPr>
            <w:tcW w:w="5320" w:type="dxa"/>
            <w:tcBorders>
              <w:top w:val="nil"/>
              <w:left w:val="single" w:sz="4" w:space="0" w:color="auto"/>
              <w:bottom w:val="nil"/>
              <w:right w:val="nil"/>
            </w:tcBorders>
            <w:shd w:val="clear" w:color="auto" w:fill="auto"/>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și tije din aliaj de cupru-zinc (alamă)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7407 21 10 </w:t>
            </w:r>
          </w:p>
        </w:tc>
      </w:tr>
      <w:tr w:rsidR="00F265F4" w:rsidRPr="00583B72" w:rsidTr="00223553">
        <w:tc>
          <w:tcPr>
            <w:tcW w:w="5320" w:type="dxa"/>
            <w:tcBorders>
              <w:top w:val="nil"/>
              <w:left w:val="single" w:sz="4" w:space="0" w:color="auto"/>
              <w:bottom w:val="nil"/>
              <w:right w:val="nil"/>
            </w:tcBorders>
            <w:shd w:val="clear" w:color="auto" w:fill="auto"/>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Profile din aliaj de cupru-zinc (alamă)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7407 21 90 </w:t>
            </w:r>
          </w:p>
        </w:tc>
      </w:tr>
      <w:tr w:rsidR="00F265F4" w:rsidRPr="00583B72" w:rsidTr="00223553">
        <w:tc>
          <w:tcPr>
            <w:tcW w:w="5320" w:type="dxa"/>
            <w:tcBorders>
              <w:top w:val="nil"/>
              <w:left w:val="single" w:sz="4" w:space="0" w:color="auto"/>
              <w:bottom w:val="nil"/>
              <w:right w:val="nil"/>
            </w:tcBorders>
            <w:shd w:val="clear" w:color="auto" w:fill="auto"/>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tije și profile pe bază de cupru-nichel (cupronichel) sau de cupru-nichel-zinc (alpaca) </w:t>
            </w:r>
          </w:p>
        </w:tc>
        <w:tc>
          <w:tcPr>
            <w:tcW w:w="1800" w:type="dxa"/>
            <w:tcBorders>
              <w:top w:val="nil"/>
              <w:left w:val="single" w:sz="4" w:space="0" w:color="auto"/>
              <w:bottom w:val="nil"/>
              <w:right w:val="single" w:sz="4" w:space="0" w:color="auto"/>
            </w:tcBorders>
            <w:shd w:val="clear" w:color="000000" w:fill="CCE8CF"/>
            <w:noWrap/>
            <w:hideMark/>
          </w:tcPr>
          <w:p w:rsidR="00F265F4" w:rsidRPr="00583B72" w:rsidRDefault="00F265F4" w:rsidP="00F265F4">
            <w:pPr>
              <w:spacing w:after="0" w:line="240" w:lineRule="auto"/>
              <w:jc w:val="center"/>
              <w:rPr>
                <w:rFonts w:ascii="Calibri" w:eastAsia="Times New Roman" w:hAnsi="Calibri" w:cs="Calibri"/>
              </w:rPr>
            </w:pPr>
            <w:r w:rsidRPr="00583B72">
              <w:rPr>
                <w:rFonts w:ascii="Calibri" w:hAnsi="Calibri"/>
              </w:rPr>
              <w:t>7407 29 00</w:t>
            </w:r>
          </w:p>
        </w:tc>
      </w:tr>
      <w:tr w:rsidR="00F265F4" w:rsidRPr="00583B72" w:rsidTr="00223553">
        <w:tc>
          <w:tcPr>
            <w:tcW w:w="5320" w:type="dxa"/>
            <w:tcBorders>
              <w:top w:val="nil"/>
              <w:left w:val="single" w:sz="4" w:space="0" w:color="auto"/>
              <w:bottom w:val="nil"/>
              <w:right w:val="nil"/>
            </w:tcBorders>
            <w:shd w:val="clear" w:color="auto" w:fill="auto"/>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Alte bare și profile pe bază de aliaj de cupru </w:t>
            </w:r>
          </w:p>
        </w:tc>
        <w:tc>
          <w:tcPr>
            <w:tcW w:w="1800" w:type="dxa"/>
            <w:tcBorders>
              <w:top w:val="nil"/>
              <w:left w:val="single" w:sz="4" w:space="0" w:color="auto"/>
              <w:bottom w:val="nil"/>
              <w:right w:val="single" w:sz="4" w:space="0" w:color="auto"/>
            </w:tcBorders>
            <w:shd w:val="clear" w:color="000000" w:fill="CCE8CF"/>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7407 29 00 </w:t>
            </w:r>
          </w:p>
        </w:tc>
      </w:tr>
      <w:tr w:rsidR="00F265F4" w:rsidRPr="00583B72" w:rsidTr="00223553">
        <w:tc>
          <w:tcPr>
            <w:tcW w:w="5320" w:type="dxa"/>
            <w:tcBorders>
              <w:top w:val="nil"/>
              <w:left w:val="single" w:sz="4" w:space="0" w:color="auto"/>
              <w:bottom w:val="nil"/>
              <w:right w:val="nil"/>
            </w:tcBorders>
            <w:shd w:val="clear" w:color="auto" w:fill="auto"/>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Din cupru rafinat a cărei dimensiune maximă a secțiunii transversale este peste 6 mm</w:t>
            </w:r>
          </w:p>
        </w:tc>
        <w:tc>
          <w:tcPr>
            <w:tcW w:w="1800" w:type="dxa"/>
            <w:tcBorders>
              <w:top w:val="nil"/>
              <w:left w:val="single" w:sz="4" w:space="0" w:color="auto"/>
              <w:bottom w:val="nil"/>
              <w:right w:val="single" w:sz="4" w:space="0" w:color="auto"/>
            </w:tcBorders>
            <w:shd w:val="clear" w:color="000000" w:fill="CCE8CF"/>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7408 11 00</w:t>
            </w:r>
          </w:p>
        </w:tc>
      </w:tr>
      <w:tr w:rsidR="00F265F4" w:rsidRPr="00583B72" w:rsidTr="00223553">
        <w:tc>
          <w:tcPr>
            <w:tcW w:w="5320" w:type="dxa"/>
            <w:tcBorders>
              <w:top w:val="nil"/>
              <w:left w:val="single" w:sz="4" w:space="0" w:color="auto"/>
              <w:bottom w:val="nil"/>
              <w:right w:val="nil"/>
            </w:tcBorders>
            <w:shd w:val="clear" w:color="auto" w:fill="auto"/>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Din cupru rafinat a cărei dimensiune maximă a secțiunii transversale este peste 0,5 mm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7408 19 10 </w:t>
            </w:r>
          </w:p>
        </w:tc>
      </w:tr>
      <w:tr w:rsidR="00F265F4" w:rsidRPr="00583B72" w:rsidTr="00223553">
        <w:tc>
          <w:tcPr>
            <w:tcW w:w="5320" w:type="dxa"/>
            <w:tcBorders>
              <w:top w:val="nil"/>
              <w:left w:val="single" w:sz="4" w:space="0" w:color="auto"/>
              <w:bottom w:val="nil"/>
              <w:right w:val="nil"/>
            </w:tcBorders>
            <w:shd w:val="clear" w:color="auto" w:fill="auto"/>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Din cupru rafinat a căror cea mai mare dimensiune a secțiunii transversale este de maximum 0,5 mm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7408 19 90 </w:t>
            </w:r>
          </w:p>
        </w:tc>
      </w:tr>
      <w:tr w:rsidR="00F265F4" w:rsidRPr="00583B72" w:rsidTr="00223553">
        <w:tc>
          <w:tcPr>
            <w:tcW w:w="5320" w:type="dxa"/>
            <w:tcBorders>
              <w:top w:val="nil"/>
              <w:left w:val="single" w:sz="4" w:space="0" w:color="auto"/>
              <w:bottom w:val="nil"/>
              <w:right w:val="nil"/>
            </w:tcBorders>
            <w:shd w:val="clear" w:color="auto" w:fill="auto"/>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din aliaj de cupru-zinc (alamă)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7408 21 00 </w:t>
            </w:r>
          </w:p>
        </w:tc>
      </w:tr>
      <w:tr w:rsidR="00F265F4" w:rsidRPr="00583B72" w:rsidTr="00223553">
        <w:tc>
          <w:tcPr>
            <w:tcW w:w="5320" w:type="dxa"/>
            <w:tcBorders>
              <w:top w:val="nil"/>
              <w:left w:val="single" w:sz="4" w:space="0" w:color="auto"/>
              <w:bottom w:val="nil"/>
              <w:right w:val="nil"/>
            </w:tcBorders>
            <w:shd w:val="clear" w:color="auto" w:fill="auto"/>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pe bază de cupru-nichel (cupronichel) sau de cupru-nichel-zinc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7408 22 00 </w:t>
            </w:r>
          </w:p>
        </w:tc>
      </w:tr>
      <w:tr w:rsidR="00F265F4" w:rsidRPr="00583B72" w:rsidTr="00223553">
        <w:tc>
          <w:tcPr>
            <w:tcW w:w="5320" w:type="dxa"/>
            <w:tcBorders>
              <w:top w:val="nil"/>
              <w:left w:val="single" w:sz="4" w:space="0" w:color="auto"/>
              <w:bottom w:val="nil"/>
              <w:right w:val="nil"/>
            </w:tcBorders>
            <w:shd w:val="clear" w:color="auto" w:fill="auto"/>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Sârmă și alte aliaje de cupru</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 7408 29 00 </w:t>
            </w:r>
          </w:p>
        </w:tc>
      </w:tr>
      <w:tr w:rsidR="00F265F4" w:rsidRPr="00583B72" w:rsidTr="00223553">
        <w:tc>
          <w:tcPr>
            <w:tcW w:w="5320" w:type="dxa"/>
            <w:tcBorders>
              <w:top w:val="nil"/>
              <w:left w:val="single" w:sz="4" w:space="0" w:color="auto"/>
              <w:bottom w:val="nil"/>
              <w:right w:val="nil"/>
            </w:tcBorders>
            <w:shd w:val="clear" w:color="auto" w:fill="auto"/>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Tablă și bandă din cupru, cu o grosime peste 0,15 mm, în rulouri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7409 11 00 </w:t>
            </w:r>
          </w:p>
        </w:tc>
      </w:tr>
      <w:tr w:rsidR="00F265F4" w:rsidRPr="00583B72" w:rsidTr="00223553">
        <w:tc>
          <w:tcPr>
            <w:tcW w:w="5320" w:type="dxa"/>
            <w:tcBorders>
              <w:top w:val="nil"/>
              <w:left w:val="single" w:sz="4" w:space="0" w:color="auto"/>
              <w:bottom w:val="nil"/>
              <w:right w:val="nil"/>
            </w:tcBorders>
            <w:shd w:val="clear" w:color="auto" w:fill="auto"/>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Tablă și bandă din cupru, cu o grosime peste 0,15 mm, altele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7409 19 00 </w:t>
            </w:r>
          </w:p>
        </w:tc>
      </w:tr>
      <w:tr w:rsidR="00F265F4" w:rsidRPr="00583B72" w:rsidTr="00223553">
        <w:tc>
          <w:tcPr>
            <w:tcW w:w="5320" w:type="dxa"/>
            <w:tcBorders>
              <w:top w:val="nil"/>
              <w:left w:val="single" w:sz="4" w:space="0" w:color="auto"/>
              <w:bottom w:val="nil"/>
              <w:right w:val="nil"/>
            </w:tcBorders>
            <w:shd w:val="clear" w:color="auto" w:fill="auto"/>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Tablă și bandă din cupru, cu o grosime peste 0,15 mm din aliaj pe bază de cupru-zinc (alamă), în rulouri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7409 21 00 </w:t>
            </w:r>
          </w:p>
        </w:tc>
      </w:tr>
      <w:tr w:rsidR="00F265F4" w:rsidRPr="00583B72" w:rsidTr="00223553">
        <w:tc>
          <w:tcPr>
            <w:tcW w:w="5320" w:type="dxa"/>
            <w:tcBorders>
              <w:top w:val="nil"/>
              <w:left w:val="single" w:sz="4" w:space="0" w:color="auto"/>
              <w:bottom w:val="nil"/>
              <w:right w:val="nil"/>
            </w:tcBorders>
            <w:shd w:val="clear" w:color="auto" w:fill="auto"/>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Tablă și bandă din cupru, cu o grosime peste 0,15 mm </w:t>
            </w:r>
            <w:r w:rsidRPr="00583B72">
              <w:rPr>
                <w:rFonts w:ascii="Calibri" w:hAnsi="Calibri"/>
                <w:color w:val="000000"/>
              </w:rPr>
              <w:lastRenderedPageBreak/>
              <w:t>din aliaj pe bază de cupru-zinc (alamă), altele</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lastRenderedPageBreak/>
              <w:t xml:space="preserve">7409 29 00 </w:t>
            </w:r>
          </w:p>
        </w:tc>
      </w:tr>
      <w:tr w:rsidR="00F265F4" w:rsidRPr="00583B72" w:rsidTr="00223553">
        <w:tc>
          <w:tcPr>
            <w:tcW w:w="5320" w:type="dxa"/>
            <w:tcBorders>
              <w:top w:val="nil"/>
              <w:left w:val="single" w:sz="4" w:space="0" w:color="auto"/>
              <w:bottom w:val="nil"/>
              <w:right w:val="nil"/>
            </w:tcBorders>
            <w:shd w:val="clear" w:color="auto" w:fill="auto"/>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Tablă și bandă din cupru, cu o grosime peste 0,15 mm din aliaje pe bază de cupru-staniu (bronz), în rulouri</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7409 31 00 </w:t>
            </w:r>
          </w:p>
        </w:tc>
      </w:tr>
      <w:tr w:rsidR="00F265F4" w:rsidRPr="00583B72" w:rsidTr="00223553">
        <w:tc>
          <w:tcPr>
            <w:tcW w:w="5320" w:type="dxa"/>
            <w:tcBorders>
              <w:top w:val="nil"/>
              <w:left w:val="single" w:sz="4" w:space="0" w:color="auto"/>
              <w:bottom w:val="nil"/>
              <w:right w:val="nil"/>
            </w:tcBorders>
            <w:shd w:val="clear" w:color="auto" w:fill="auto"/>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Tablă și bandă din cupru, cu o grosime peste 0,15 mm din aliaje pe bază de cupru-staniu (bronz), altele</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7409 39 00 </w:t>
            </w:r>
          </w:p>
        </w:tc>
      </w:tr>
      <w:tr w:rsidR="00F265F4" w:rsidRPr="00583B72" w:rsidTr="00223553">
        <w:tc>
          <w:tcPr>
            <w:tcW w:w="5320" w:type="dxa"/>
            <w:tcBorders>
              <w:top w:val="nil"/>
              <w:left w:val="single" w:sz="4" w:space="0" w:color="auto"/>
              <w:bottom w:val="nil"/>
              <w:right w:val="nil"/>
            </w:tcBorders>
            <w:shd w:val="clear" w:color="auto" w:fill="auto"/>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Tablă și bandă din cupru, cu o grosime peste 0,15 mm din aliaj pe bază de cupru-nichel (cupronichel) sau de cupru-nichel-zinc (alpaca) </w:t>
            </w:r>
          </w:p>
        </w:tc>
        <w:tc>
          <w:tcPr>
            <w:tcW w:w="1800" w:type="dxa"/>
            <w:tcBorders>
              <w:top w:val="nil"/>
              <w:left w:val="single" w:sz="4" w:space="0" w:color="auto"/>
              <w:bottom w:val="nil"/>
              <w:right w:val="single" w:sz="4" w:space="0" w:color="auto"/>
            </w:tcBorders>
            <w:shd w:val="clear" w:color="000000" w:fill="CCE8CF"/>
            <w:noWrap/>
            <w:hideMark/>
          </w:tcPr>
          <w:p w:rsidR="00F265F4" w:rsidRPr="00583B72" w:rsidRDefault="00F265F4" w:rsidP="00F265F4">
            <w:pPr>
              <w:spacing w:after="0" w:line="240" w:lineRule="auto"/>
              <w:jc w:val="center"/>
              <w:rPr>
                <w:rFonts w:ascii="Calibri" w:eastAsia="Times New Roman" w:hAnsi="Calibri" w:cs="Calibri"/>
              </w:rPr>
            </w:pPr>
            <w:r w:rsidRPr="00583B72">
              <w:rPr>
                <w:rFonts w:ascii="Calibri" w:hAnsi="Calibri"/>
              </w:rPr>
              <w:t>7409 40 00</w:t>
            </w:r>
          </w:p>
        </w:tc>
      </w:tr>
      <w:tr w:rsidR="00F265F4" w:rsidRPr="00583B72" w:rsidTr="00223553">
        <w:tc>
          <w:tcPr>
            <w:tcW w:w="5320" w:type="dxa"/>
            <w:tcBorders>
              <w:top w:val="nil"/>
              <w:left w:val="single" w:sz="4" w:space="0" w:color="auto"/>
              <w:bottom w:val="nil"/>
              <w:right w:val="nil"/>
            </w:tcBorders>
            <w:shd w:val="clear" w:color="auto" w:fill="auto"/>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Tablă și bandă din cupru, cu o grosime peste 0,15 mm, din alte aliaje de cupru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7409 90 00 </w:t>
            </w:r>
          </w:p>
        </w:tc>
      </w:tr>
      <w:tr w:rsidR="00F265F4" w:rsidRPr="00583B72" w:rsidTr="00223553">
        <w:tc>
          <w:tcPr>
            <w:tcW w:w="5320" w:type="dxa"/>
            <w:tcBorders>
              <w:top w:val="nil"/>
              <w:left w:val="single" w:sz="4" w:space="0" w:color="auto"/>
              <w:bottom w:val="nil"/>
              <w:right w:val="nil"/>
            </w:tcBorders>
            <w:shd w:val="clear" w:color="auto" w:fill="auto"/>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Folie rafinată din cupru cu o grosime de 0,15 mm sau mai mică, fără suport</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7410 11 00 </w:t>
            </w:r>
          </w:p>
        </w:tc>
      </w:tr>
      <w:tr w:rsidR="00F265F4" w:rsidRPr="00583B72" w:rsidTr="00223553">
        <w:tc>
          <w:tcPr>
            <w:tcW w:w="5320" w:type="dxa"/>
            <w:tcBorders>
              <w:top w:val="nil"/>
              <w:left w:val="single" w:sz="4" w:space="0" w:color="auto"/>
              <w:bottom w:val="nil"/>
              <w:right w:val="nil"/>
            </w:tcBorders>
            <w:shd w:val="clear" w:color="auto" w:fill="auto"/>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Folie din aliaj de cupru cu o grosime de 0,15 mm sau mai mică, fără suport</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7410 12 00 </w:t>
            </w:r>
          </w:p>
        </w:tc>
      </w:tr>
      <w:tr w:rsidR="00F265F4" w:rsidRPr="00583B72" w:rsidTr="00223553">
        <w:tc>
          <w:tcPr>
            <w:tcW w:w="5320" w:type="dxa"/>
            <w:tcBorders>
              <w:top w:val="nil"/>
              <w:left w:val="single" w:sz="4" w:space="0" w:color="auto"/>
              <w:bottom w:val="nil"/>
              <w:right w:val="nil"/>
            </w:tcBorders>
            <w:shd w:val="clear" w:color="auto" w:fill="auto"/>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Folie rafinată din cupru cu o grosime de 0,15 mm sau mai mică, cu suport</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7410 21 00 </w:t>
            </w:r>
          </w:p>
        </w:tc>
      </w:tr>
      <w:tr w:rsidR="00F265F4" w:rsidRPr="00583B72" w:rsidTr="00223553">
        <w:tc>
          <w:tcPr>
            <w:tcW w:w="5320" w:type="dxa"/>
            <w:tcBorders>
              <w:top w:val="nil"/>
              <w:left w:val="single" w:sz="4" w:space="0" w:color="auto"/>
              <w:bottom w:val="nil"/>
              <w:right w:val="nil"/>
            </w:tcBorders>
            <w:shd w:val="clear" w:color="auto" w:fill="auto"/>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Folie din aliaj de cupru cu o grosime de 0,15 mm sau mai mică, cu suport</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7410 22 00 </w:t>
            </w:r>
          </w:p>
        </w:tc>
      </w:tr>
      <w:tr w:rsidR="00F265F4" w:rsidRPr="00583B72" w:rsidTr="00223553">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223553">
        <w:tc>
          <w:tcPr>
            <w:tcW w:w="5320" w:type="dxa"/>
            <w:tcBorders>
              <w:top w:val="nil"/>
              <w:left w:val="single" w:sz="4" w:space="0" w:color="auto"/>
              <w:bottom w:val="nil"/>
              <w:right w:val="nil"/>
            </w:tcBorders>
            <w:shd w:val="clear" w:color="auto" w:fill="auto"/>
            <w:noWrap/>
            <w:vAlign w:val="bottom"/>
            <w:hideMark/>
          </w:tcPr>
          <w:p w:rsidR="00F265F4" w:rsidRPr="00583B72" w:rsidRDefault="00F265F4" w:rsidP="00F265F4">
            <w:pPr>
              <w:spacing w:after="0" w:line="240" w:lineRule="auto"/>
              <w:rPr>
                <w:rFonts w:ascii="Calibri" w:eastAsia="Times New Roman" w:hAnsi="Calibri" w:cs="Calibri"/>
                <w:b/>
                <w:bCs/>
                <w:color w:val="000000"/>
              </w:rPr>
            </w:pPr>
            <w:r w:rsidRPr="00583B72">
              <w:rPr>
                <w:rFonts w:ascii="Calibri" w:hAnsi="Calibri"/>
                <w:b/>
                <w:color w:val="000000"/>
              </w:rPr>
              <w:t xml:space="preserve">NICHEL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NICHEL</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tije și profile din nichel nealiat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7505 11 00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Bare, tije și profile din aliaje de nichel</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7505 12 00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din nichel nealiat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7505 21 00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din aliaje de nichel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7505 22 00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benzi și folii, din nichel nealiat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7506 10 00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Table, benzi și folii, din aliaj de nichel</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7506 20 00 </w:t>
            </w:r>
          </w:p>
        </w:tc>
      </w:tr>
      <w:tr w:rsidR="00F265F4" w:rsidRPr="00583B72" w:rsidTr="00223553">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223553">
        <w:tc>
          <w:tcPr>
            <w:tcW w:w="5320" w:type="dxa"/>
            <w:tcBorders>
              <w:top w:val="nil"/>
              <w:left w:val="single" w:sz="4" w:space="0" w:color="auto"/>
              <w:bottom w:val="nil"/>
              <w:right w:val="nil"/>
            </w:tcBorders>
            <w:shd w:val="clear" w:color="auto" w:fill="auto"/>
            <w:noWrap/>
            <w:vAlign w:val="bottom"/>
            <w:hideMark/>
          </w:tcPr>
          <w:p w:rsidR="00F265F4" w:rsidRPr="00583B72" w:rsidRDefault="00F265F4" w:rsidP="00F265F4">
            <w:pPr>
              <w:spacing w:after="0" w:line="240" w:lineRule="auto"/>
              <w:rPr>
                <w:rFonts w:ascii="Calibri" w:eastAsia="Times New Roman" w:hAnsi="Calibri" w:cs="Calibri"/>
                <w:b/>
                <w:bCs/>
                <w:color w:val="000000"/>
              </w:rPr>
            </w:pPr>
            <w:r w:rsidRPr="00583B72">
              <w:rPr>
                <w:rFonts w:ascii="Calibri" w:hAnsi="Calibri"/>
                <w:b/>
                <w:color w:val="000000"/>
              </w:rPr>
              <w:t xml:space="preserve">ALUMINIU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ALUMINIU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și tije din aluminiu nealiat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7604 10 10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Profile din aluminiu nealiat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7604 10 90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Profile tubulare din aliaje de aluminiu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7604 21 00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și tije din aliaje de aluminiu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7604 29 10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Profile din aliaje de aluminiu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7604 29 90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din aluminiu nealiat a cărei dimensiune maximă, a secțiunii transversale, este de peste 7 mm.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7605 11 00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Sârmă din aluminiu nealiat, altele</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 7605 19 00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din aliaj de aluminiu a cărei dimensiune maximă a secțiunii transversale este peste 7 mm.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 7605 21 00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din aliaj de aluminiu, altele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7605 29 00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Table și benzi de aluminiu, de formă pătrată sau dreptunghiulară, din aluminiu nealiat, lăcuite, vopsite sau acoperite cu material plastic</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7606 11 10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Table și benzi de aluminiu, de formă pătrată sau dreptunghiulară, din aluminiu nealiat, cu grosimea sub 3 mm</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7606 11 91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Table și benzi de aluminiu, de formă pătrată sau dreptunghiulară, din aluminiu nealiat, cu grosimea de minimum 3 mm, dar sub 6 mm</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7606 11 93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Table de aluminiu, de formă pătrată sau dreptunghiulară, din aluminiu nealiat, cu grosimea de minimum 6 mm</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7606 11 99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Benzi de aluminiu, de formă pătrată sau dreptunghiulară, din aliaj de aluminiu, lăcuite, vopsite sau acoperite cu material plastic</w:t>
            </w:r>
          </w:p>
        </w:tc>
        <w:tc>
          <w:tcPr>
            <w:tcW w:w="1800" w:type="dxa"/>
            <w:tcBorders>
              <w:top w:val="nil"/>
              <w:left w:val="single" w:sz="4" w:space="0" w:color="auto"/>
              <w:bottom w:val="nil"/>
              <w:right w:val="single" w:sz="4" w:space="0" w:color="auto"/>
            </w:tcBorders>
            <w:shd w:val="clear" w:color="000000" w:fill="CCE8CF"/>
            <w:noWrap/>
            <w:hideMark/>
          </w:tcPr>
          <w:p w:rsidR="00F265F4" w:rsidRPr="00583B72" w:rsidRDefault="00F265F4" w:rsidP="00F265F4">
            <w:pPr>
              <w:spacing w:after="0" w:line="240" w:lineRule="auto"/>
              <w:jc w:val="center"/>
              <w:rPr>
                <w:rFonts w:ascii="Calibri" w:eastAsia="Times New Roman" w:hAnsi="Calibri" w:cs="Calibri"/>
              </w:rPr>
            </w:pPr>
            <w:r w:rsidRPr="00583B72">
              <w:rPr>
                <w:rFonts w:ascii="Calibri" w:hAnsi="Calibri"/>
              </w:rPr>
              <w:t>7606 12 20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benzi de aluminiu, de formă pătrată sau </w:t>
            </w:r>
            <w:r w:rsidRPr="00583B72">
              <w:rPr>
                <w:rFonts w:ascii="Calibri" w:hAnsi="Calibri"/>
                <w:color w:val="000000"/>
              </w:rPr>
              <w:lastRenderedPageBreak/>
              <w:t>dreptunghiulară, din aliaj de aluminiu, cu grosimea sub 3 mm</w:t>
            </w:r>
          </w:p>
        </w:tc>
        <w:tc>
          <w:tcPr>
            <w:tcW w:w="1800" w:type="dxa"/>
            <w:tcBorders>
              <w:top w:val="nil"/>
              <w:left w:val="single" w:sz="4" w:space="0" w:color="auto"/>
              <w:bottom w:val="nil"/>
              <w:right w:val="single" w:sz="4" w:space="0" w:color="auto"/>
            </w:tcBorders>
            <w:shd w:val="clear" w:color="000000" w:fill="CCE8CF"/>
            <w:noWrap/>
            <w:hideMark/>
          </w:tcPr>
          <w:p w:rsidR="00F265F4" w:rsidRPr="00583B72" w:rsidRDefault="00F265F4" w:rsidP="00F265F4">
            <w:pPr>
              <w:spacing w:after="0" w:line="240" w:lineRule="auto"/>
              <w:jc w:val="center"/>
              <w:rPr>
                <w:rFonts w:ascii="Calibri" w:eastAsia="Times New Roman" w:hAnsi="Calibri" w:cs="Calibri"/>
              </w:rPr>
            </w:pPr>
            <w:r w:rsidRPr="00583B72">
              <w:rPr>
                <w:rFonts w:ascii="Calibri" w:hAnsi="Calibri"/>
              </w:rPr>
              <w:lastRenderedPageBreak/>
              <w:t>7606 12 92</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Table și benzi de aluminiu, de formă pătrată sau dreptunghiulară, din aliaj de aluminiu, cu grosimea de minimum 3 mm, dar sub 6mm</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7606 12 93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Table și benzi de aluminiu, de formă pătrată sau dreptunghiulară, din aliaj de aluminiu, altele, cu grosimea de 6 mm sau mai mare</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7606 12 99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benzi de aluminiu, care nu au formă pătrată sau dreptunghiulară, din aluminiu nealiat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7606 91 00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benzi de aluminiu, care nu au formă pătrată sau dreptunghiulară, din aliaj de aluminiu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7606 92 00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Folii și benzi subțiri din aluminiu, fără suport, simplu laminate, cu grosimea sub 0,021 mm, în rulouri având fiecare o greutate de maximum 10 kg</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7607 11 11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Folii și benzi subțiri din aluminiu, fără suport, simplu laminate, cu grosimea sub 0,021 mm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7607 11 19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Folii și benzi subțiri din aluminiu, fără suport, simplu laminate, cu grosimea de minimum 0,021 mm, dar maximum 0,2 mm</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7607 11 90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Folii și benzi subțiri din aluminiu, fără suport, cu grosimea sub 0,021 mm</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7607 19 10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Folii și benzi subțiri din aluminiu, fără suport, simplu laminate, cu grosimea de minimum 0,021 mm, dar maximum 0,2 mm</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7607 19 90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Folii și benzi subțiri din aluminiu, pe suport, cu grosimea (grosimea suportului nu este inclusă) sub 0,021 mm</w:t>
            </w:r>
          </w:p>
        </w:tc>
        <w:tc>
          <w:tcPr>
            <w:tcW w:w="1800" w:type="dxa"/>
            <w:tcBorders>
              <w:top w:val="nil"/>
              <w:left w:val="single" w:sz="4" w:space="0" w:color="auto"/>
              <w:bottom w:val="nil"/>
              <w:right w:val="single" w:sz="4" w:space="0" w:color="auto"/>
            </w:tcBorders>
            <w:shd w:val="clear" w:color="000000" w:fill="CCE8CF"/>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 7607 20 10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Folii și benzi subțiri din aluminiu, pe suport, cu grosimea (grosimea suportului nu este inclusă) de minimum 0,021 mm, dar maximum 0,2 mm</w:t>
            </w:r>
          </w:p>
        </w:tc>
        <w:tc>
          <w:tcPr>
            <w:tcW w:w="1800" w:type="dxa"/>
            <w:tcBorders>
              <w:top w:val="nil"/>
              <w:left w:val="single" w:sz="4" w:space="0" w:color="auto"/>
              <w:bottom w:val="nil"/>
              <w:right w:val="single" w:sz="4" w:space="0" w:color="auto"/>
            </w:tcBorders>
            <w:shd w:val="clear" w:color="000000" w:fill="CCE8CF"/>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7607 20 90</w:t>
            </w:r>
          </w:p>
        </w:tc>
      </w:tr>
      <w:tr w:rsidR="00F265F4" w:rsidRPr="00583B72" w:rsidTr="00223553">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000000" w:fill="CCE8CF"/>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223553">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223553">
        <w:tc>
          <w:tcPr>
            <w:tcW w:w="5320" w:type="dxa"/>
            <w:tcBorders>
              <w:top w:val="nil"/>
              <w:left w:val="single" w:sz="4" w:space="0" w:color="auto"/>
              <w:bottom w:val="nil"/>
              <w:right w:val="nil"/>
            </w:tcBorders>
            <w:shd w:val="clear" w:color="auto" w:fill="auto"/>
            <w:noWrap/>
            <w:vAlign w:val="bottom"/>
            <w:hideMark/>
          </w:tcPr>
          <w:p w:rsidR="00F265F4" w:rsidRPr="00583B72" w:rsidRDefault="00F265F4" w:rsidP="00F265F4">
            <w:pPr>
              <w:spacing w:after="0" w:line="240" w:lineRule="auto"/>
              <w:rPr>
                <w:rFonts w:ascii="Calibri" w:eastAsia="Times New Roman" w:hAnsi="Calibri" w:cs="Calibri"/>
                <w:b/>
                <w:bCs/>
                <w:color w:val="000000"/>
              </w:rPr>
            </w:pPr>
            <w:r w:rsidRPr="00583B72">
              <w:rPr>
                <w:rFonts w:ascii="Calibri" w:hAnsi="Calibri"/>
                <w:b/>
                <w:color w:val="000000"/>
              </w:rPr>
              <w:t xml:space="preserve">PLUMB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PLUMB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Folii și benzi de plumb cu o grosime de maximum 0,2 mm (fără a considera suportul)</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7804 11 00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de plumb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7804 19 00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Pulberi și fulgi (paiete)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7804 20 00 </w:t>
            </w:r>
          </w:p>
        </w:tc>
      </w:tr>
      <w:tr w:rsidR="00F265F4" w:rsidRPr="00583B72" w:rsidTr="00223553">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223553">
        <w:tc>
          <w:tcPr>
            <w:tcW w:w="5320" w:type="dxa"/>
            <w:tcBorders>
              <w:top w:val="nil"/>
              <w:left w:val="single" w:sz="4" w:space="0" w:color="auto"/>
              <w:bottom w:val="nil"/>
              <w:right w:val="nil"/>
            </w:tcBorders>
            <w:shd w:val="clear" w:color="auto" w:fill="auto"/>
            <w:noWrap/>
            <w:vAlign w:val="bottom"/>
            <w:hideMark/>
          </w:tcPr>
          <w:p w:rsidR="00F265F4" w:rsidRPr="00583B72" w:rsidRDefault="00F265F4" w:rsidP="00F265F4">
            <w:pPr>
              <w:spacing w:after="0" w:line="240" w:lineRule="auto"/>
              <w:rPr>
                <w:rFonts w:ascii="Calibri" w:eastAsia="Times New Roman" w:hAnsi="Calibri" w:cs="Calibri"/>
                <w:b/>
                <w:bCs/>
                <w:color w:val="000000"/>
              </w:rPr>
            </w:pPr>
            <w:r w:rsidRPr="00583B72">
              <w:rPr>
                <w:rFonts w:ascii="Calibri" w:hAnsi="Calibri"/>
                <w:b/>
                <w:color w:val="000000"/>
              </w:rPr>
              <w:t>ZINC</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ZINC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tije, profile și sârmă, din zinc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7904 00 00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folii și benzi, din zinc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7905 00 00 </w:t>
            </w:r>
          </w:p>
        </w:tc>
      </w:tr>
      <w:tr w:rsidR="00F265F4" w:rsidRPr="00583B72" w:rsidTr="00223553">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223553">
        <w:tc>
          <w:tcPr>
            <w:tcW w:w="5320" w:type="dxa"/>
            <w:tcBorders>
              <w:top w:val="nil"/>
              <w:left w:val="single" w:sz="4" w:space="0" w:color="auto"/>
              <w:bottom w:val="nil"/>
              <w:right w:val="nil"/>
            </w:tcBorders>
            <w:shd w:val="clear" w:color="auto" w:fill="auto"/>
            <w:noWrap/>
            <w:vAlign w:val="bottom"/>
            <w:hideMark/>
          </w:tcPr>
          <w:p w:rsidR="00F265F4" w:rsidRPr="00583B72" w:rsidRDefault="00F265F4" w:rsidP="00F265F4">
            <w:pPr>
              <w:spacing w:after="0" w:line="240" w:lineRule="auto"/>
              <w:rPr>
                <w:rFonts w:ascii="Calibri" w:eastAsia="Times New Roman" w:hAnsi="Calibri" w:cs="Calibri"/>
                <w:b/>
                <w:bCs/>
                <w:color w:val="000000"/>
              </w:rPr>
            </w:pPr>
            <w:r w:rsidRPr="00583B72">
              <w:rPr>
                <w:rFonts w:ascii="Calibri" w:hAnsi="Calibri"/>
                <w:b/>
                <w:color w:val="000000"/>
              </w:rPr>
              <w:t xml:space="preserve">STANIU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STANIU</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tije, profile și sârmă din staniu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8003 00 00 </w:t>
            </w:r>
          </w:p>
        </w:tc>
      </w:tr>
      <w:tr w:rsidR="00F265F4" w:rsidRPr="00583B72" w:rsidTr="00223553">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223553">
        <w:tc>
          <w:tcPr>
            <w:tcW w:w="5320" w:type="dxa"/>
            <w:tcBorders>
              <w:top w:val="nil"/>
              <w:left w:val="single" w:sz="4" w:space="0" w:color="auto"/>
              <w:bottom w:val="nil"/>
              <w:right w:val="nil"/>
            </w:tcBorders>
            <w:shd w:val="clear" w:color="auto" w:fill="auto"/>
            <w:noWrap/>
            <w:vAlign w:val="bottom"/>
            <w:hideMark/>
          </w:tcPr>
          <w:p w:rsidR="00F265F4" w:rsidRPr="00583B72" w:rsidRDefault="00F265F4" w:rsidP="00F265F4">
            <w:pPr>
              <w:spacing w:after="0" w:line="240" w:lineRule="auto"/>
              <w:rPr>
                <w:rFonts w:ascii="Calibri" w:eastAsia="Times New Roman" w:hAnsi="Calibri" w:cs="Calibri"/>
                <w:b/>
                <w:bCs/>
                <w:color w:val="000000"/>
              </w:rPr>
            </w:pPr>
            <w:r w:rsidRPr="00583B72">
              <w:rPr>
                <w:rFonts w:ascii="Calibri" w:hAnsi="Calibri"/>
                <w:b/>
                <w:color w:val="000000"/>
              </w:rPr>
              <w:t xml:space="preserve">ALTE METALE COMUNE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ALTE METALE </w:t>
            </w:r>
          </w:p>
        </w:tc>
      </w:tr>
      <w:tr w:rsidR="00F265F4" w:rsidRPr="00583B72" w:rsidTr="00223553">
        <w:tc>
          <w:tcPr>
            <w:tcW w:w="5320" w:type="dxa"/>
            <w:tcBorders>
              <w:top w:val="nil"/>
              <w:left w:val="single" w:sz="4" w:space="0" w:color="auto"/>
              <w:bottom w:val="nil"/>
              <w:right w:val="nil"/>
            </w:tcBorders>
            <w:shd w:val="clear" w:color="auto" w:fill="auto"/>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din tungsten (wolfram)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8101 96 00 </w:t>
            </w:r>
          </w:p>
        </w:tc>
      </w:tr>
      <w:tr w:rsidR="00F265F4" w:rsidRPr="00583B72" w:rsidTr="00223553">
        <w:tc>
          <w:tcPr>
            <w:tcW w:w="5320" w:type="dxa"/>
            <w:tcBorders>
              <w:top w:val="nil"/>
              <w:left w:val="single" w:sz="4" w:space="0" w:color="auto"/>
              <w:bottom w:val="nil"/>
              <w:right w:val="nil"/>
            </w:tcBorders>
            <w:shd w:val="clear" w:color="auto" w:fill="auto"/>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și tije din tungsten (wolfram), altele decât cele simplu obținute prin sinterizare, profile, table, benzi și folii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8101 99 10 </w:t>
            </w:r>
          </w:p>
        </w:tc>
      </w:tr>
      <w:tr w:rsidR="00F265F4" w:rsidRPr="00583B72" w:rsidTr="00223553">
        <w:tc>
          <w:tcPr>
            <w:tcW w:w="5320" w:type="dxa"/>
            <w:tcBorders>
              <w:top w:val="nil"/>
              <w:left w:val="single" w:sz="4" w:space="0" w:color="auto"/>
              <w:bottom w:val="nil"/>
              <w:right w:val="nil"/>
            </w:tcBorders>
            <w:shd w:val="clear" w:color="auto" w:fill="auto"/>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și tije din molibden, altele decât cele simplu obținute prin sinterizare, profile, table, benzi și folii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8102 95 00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din molibden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8102 96 00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și tije din tantal, altele decât cele simplu obținute prin sinterizare, profile, table, benzi și folii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8103 90 10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lastRenderedPageBreak/>
              <w:t xml:space="preserve">(bare și tije, profile, sârmă, plăci din magneziu)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ex 81049000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și tije, profile, sârmă, plăci din cobalt)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ex 81059000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și tije, profile, sârmă, plăci din bismut)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ex 81060090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și tije, profile, sârmă, plăci din cadmiu)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ex 81079000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Bare, tije, profile și sârmă din titan</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8108 90 30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benzi și foi de titan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8108 90 50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și tije, profile, sârmă, table, benzi și foi din zirconiu)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ex 8109 90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și tije, profile, sârmă, table, benzi și foi din antimoniu)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ex 8110 90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și tije, profile, sârmă, table, benzi și foi din mangan)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ex 8111 00 90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și tije, profile, sârmă, table, benzi și foi din beriliu)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ex 8112 19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și tije, profile, sârmă, table, benzi și foi din crom)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ex 8112 29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și tije, profile, sârmă, table, benzi și foi din taliu)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ex 8112 59 00 </w:t>
            </w:r>
          </w:p>
        </w:tc>
      </w:tr>
      <w:tr w:rsidR="00F265F4" w:rsidRPr="00583B72" w:rsidTr="00223553">
        <w:tc>
          <w:tcPr>
            <w:tcW w:w="5320" w:type="dxa"/>
            <w:tcBorders>
              <w:top w:val="nil"/>
              <w:left w:val="single" w:sz="4" w:space="0" w:color="auto"/>
              <w:bottom w:val="nil"/>
              <w:right w:val="nil"/>
            </w:tcBorders>
            <w:shd w:val="clear" w:color="auto" w:fill="auto"/>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și tije, profile, sârmă, table, benzi și foi din hafniu (celțiu), germaniu]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ex 8112 99 20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și tije, profile, sârmă, table, benzi și foi din niobiu (columbiu), reniu]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ex 8112 99 30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și tije, profile, sârmă, table, benzi și foi din galiu, indiu, vanadiu)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ex 8112 99 70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și tije, profile, sârmă, table, benzi și foi din metaloceramice)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ex 8113 00 90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Aliaje pe bază de cupru-zinc (alamă)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7403 21 00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Aliaje pe bază de cupru-staniu (alamă)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7403 22 00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Alte aliaje de cupru (cu excepția aliajelor de la poziția 7405)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7403 29 00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Aliaje de nichel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7502 20 00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Aliaje de aluminiu sub formă de plăci și țagle</w:t>
            </w:r>
          </w:p>
        </w:tc>
        <w:tc>
          <w:tcPr>
            <w:tcW w:w="1800" w:type="dxa"/>
            <w:tcBorders>
              <w:top w:val="nil"/>
              <w:left w:val="single" w:sz="4" w:space="0" w:color="auto"/>
              <w:bottom w:val="nil"/>
              <w:right w:val="single" w:sz="4" w:space="0" w:color="auto"/>
            </w:tcBorders>
            <w:shd w:val="clear" w:color="000000" w:fill="CCE8CF"/>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7601 20 20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Aliaje de aluminiu, altele </w:t>
            </w:r>
          </w:p>
        </w:tc>
        <w:tc>
          <w:tcPr>
            <w:tcW w:w="1800" w:type="dxa"/>
            <w:tcBorders>
              <w:top w:val="nil"/>
              <w:left w:val="single" w:sz="4" w:space="0" w:color="auto"/>
              <w:bottom w:val="nil"/>
              <w:right w:val="single" w:sz="4" w:space="0" w:color="auto"/>
            </w:tcBorders>
            <w:shd w:val="clear" w:color="000000" w:fill="CCE8CF"/>
            <w:noWrap/>
            <w:hideMark/>
          </w:tcPr>
          <w:p w:rsidR="00F265F4" w:rsidRPr="00583B72" w:rsidRDefault="00F265F4" w:rsidP="00F265F4">
            <w:pPr>
              <w:spacing w:after="0" w:line="240" w:lineRule="auto"/>
              <w:jc w:val="center"/>
              <w:rPr>
                <w:rFonts w:ascii="Calibri" w:eastAsia="Times New Roman" w:hAnsi="Calibri" w:cs="Calibri"/>
              </w:rPr>
            </w:pPr>
            <w:r w:rsidRPr="00583B72">
              <w:rPr>
                <w:rFonts w:ascii="Calibri" w:hAnsi="Calibri"/>
              </w:rPr>
              <w:t>7601 20 80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Plumb sub formă brută, care nu conține antimoniu </w:t>
            </w:r>
          </w:p>
        </w:tc>
        <w:tc>
          <w:tcPr>
            <w:tcW w:w="1800" w:type="dxa"/>
            <w:tcBorders>
              <w:top w:val="nil"/>
              <w:left w:val="single" w:sz="4" w:space="0" w:color="auto"/>
              <w:bottom w:val="nil"/>
              <w:right w:val="single" w:sz="4" w:space="0" w:color="auto"/>
            </w:tcBorders>
            <w:shd w:val="clear" w:color="000000" w:fill="CCE8CF"/>
            <w:noWrap/>
            <w:hideMark/>
          </w:tcPr>
          <w:p w:rsidR="00F265F4" w:rsidRPr="00583B72" w:rsidRDefault="00F265F4" w:rsidP="00F265F4">
            <w:pPr>
              <w:spacing w:after="0" w:line="240" w:lineRule="auto"/>
              <w:jc w:val="center"/>
              <w:rPr>
                <w:rFonts w:ascii="Calibri" w:eastAsia="Times New Roman" w:hAnsi="Calibri" w:cs="Calibri"/>
              </w:rPr>
            </w:pPr>
            <w:r w:rsidRPr="00583B72">
              <w:rPr>
                <w:rFonts w:ascii="Calibri" w:hAnsi="Calibri"/>
              </w:rPr>
              <w:t xml:space="preserve"> 7801 99 90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Aliaje de zinc</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 7901 20 00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Aliaje de staniu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8001 20 00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Magneziu sub formă brută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ex 8104 19 00 </w:t>
            </w:r>
          </w:p>
        </w:tc>
      </w:tr>
      <w:tr w:rsidR="00F265F4" w:rsidRPr="00583B72" w:rsidTr="00223553">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223553">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b/>
                <w:bCs/>
                <w:color w:val="000000"/>
              </w:rPr>
            </w:pPr>
            <w:r w:rsidRPr="00583B72">
              <w:rPr>
                <w:rFonts w:ascii="Calibri" w:hAnsi="Calibri"/>
                <w:b/>
                <w:color w:val="000000"/>
              </w:rPr>
              <w:t xml:space="preserve">C – LISTA CODURILOR ȘI A PRODUSELOR SUB FORMĂ BRUTĂ DIN METALE MINORE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C – LISTA </w:t>
            </w:r>
          </w:p>
        </w:tc>
      </w:tr>
      <w:tr w:rsidR="00F265F4" w:rsidRPr="00583B72" w:rsidTr="00223553">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223553">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Tungsten sub formă brută, inclusiv barele și tijele simplu obținute prin sinterizare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8101 94 00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Molibden sub formă brută, inclusiv barele și tijele simplu obținute prin sinterizare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8102 94 00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Tantal sub formă brută, inclusiv barele și tijele simplu obținute prin sinterizare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8103 20 00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Mate de cobalt și alte produse intermediare ale metalurgiei cobaltului; cobalt sub formă brută; pulberi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8105 20 00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Bismut sub formă brută; deșeuri și resturi; pulberi</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 8106 00 10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Cadmiu sub formă brută; pulberi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8107 20 00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Titan sub formă brută; pulberi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8108 20 00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Zirconiu sub formă brută; pulberi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8109 20 00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Antimoniu (stibiu) sub formă brută; pulberi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8110 10 00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Mangan sub formă brută; pulberi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8111 00 11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Beriliu sub formă brută; pulberi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8112 12 00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lastRenderedPageBreak/>
              <w:t>Aliaje de crom sub formă brută; pulberi cu un conținut de nichel peste 10 % din greutate</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8112 2110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crom sub formă brută; pulberi, altele</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81122190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Taliu sub formă brută; pulberi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8112 51 00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Hafniu (celțiu) sub formă brută; deșeuri și resturi; pulberi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8112 92 10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Niobiu (columbiu); reniu sub formă brută; deșeuri și resturi; pulberi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8112 92 31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Indiu sub formă brută; deșeuri și resturi; pulberi</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 8112 92 81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Galiu sub formă brută; deșeuri și resturi; pulberi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8112 92 89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Vanadiu sub formă brută; deșeuri și resturi; pulberi</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 8112 92 91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Germaniu sub formă brută; deșeuri și resturi; pulberi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 xml:space="preserve">8112 92 95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Metaloceramice sub formă brută </w:t>
            </w:r>
          </w:p>
        </w:tc>
        <w:tc>
          <w:tcPr>
            <w:tcW w:w="1800" w:type="dxa"/>
            <w:tcBorders>
              <w:top w:val="nil"/>
              <w:left w:val="single" w:sz="4" w:space="0" w:color="auto"/>
              <w:bottom w:val="nil"/>
              <w:right w:val="single" w:sz="4" w:space="0" w:color="auto"/>
            </w:tcBorders>
            <w:shd w:val="clear" w:color="auto" w:fill="auto"/>
            <w:noWrap/>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8113 00 20</w:t>
            </w:r>
          </w:p>
        </w:tc>
      </w:tr>
      <w:tr w:rsidR="00F265F4" w:rsidRPr="00583B72" w:rsidTr="00223553">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223553">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223553">
        <w:tc>
          <w:tcPr>
            <w:tcW w:w="5320" w:type="dxa"/>
            <w:tcBorders>
              <w:top w:val="nil"/>
              <w:left w:val="single" w:sz="4" w:space="0" w:color="auto"/>
              <w:bottom w:val="nil"/>
              <w:right w:val="nil"/>
            </w:tcBorders>
            <w:shd w:val="clear" w:color="auto" w:fill="auto"/>
            <w:noWrap/>
            <w:vAlign w:val="bottom"/>
            <w:hideMark/>
          </w:tcPr>
          <w:p w:rsidR="00F265F4" w:rsidRPr="00583B72" w:rsidRDefault="00F265F4" w:rsidP="00F265F4">
            <w:pPr>
              <w:spacing w:after="0" w:line="240" w:lineRule="auto"/>
              <w:rPr>
                <w:rFonts w:ascii="Calibri" w:eastAsia="Times New Roman" w:hAnsi="Calibri" w:cs="Calibri"/>
                <w:b/>
                <w:bCs/>
                <w:color w:val="000000"/>
              </w:rPr>
            </w:pPr>
            <w:r w:rsidRPr="00583B72">
              <w:rPr>
                <w:rFonts w:ascii="Calibri" w:hAnsi="Calibri"/>
                <w:b/>
                <w:color w:val="000000"/>
              </w:rPr>
              <w:t xml:space="preserve">SEMIFABRICATE DIN OȚEL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FF0000"/>
              </w:rPr>
            </w:pPr>
            <w:r w:rsidRPr="00583B72">
              <w:rPr>
                <w:rFonts w:ascii="Calibri" w:hAnsi="Calibri"/>
                <w:b/>
                <w:color w:val="FF0000"/>
              </w:rPr>
              <w:t xml:space="preserve">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sz w:val="20"/>
                <w:szCs w:val="20"/>
              </w:rPr>
            </w:pPr>
            <w:r w:rsidRPr="00583B72">
              <w:rPr>
                <w:rFonts w:ascii="Calibri" w:hAnsi="Calibri"/>
                <w:color w:val="000000"/>
                <w:sz w:val="20"/>
              </w:rPr>
              <w:t xml:space="preserve">FIER ȘI OȚELURI NEALIATE, ÎN LINGOURI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72061000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FIER ȘI OȚELURI NEALIATE, ÎN ALTE FORME PRIMARE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72069000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OȚEL INOXIDABIL, ÎN LINGOURI SAU ÎN ALTE FORME PRIMARE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72181000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LINGOURI SAU ALTE FORME PRIMARE DIN OȚELURI ALIATE DE SCULE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72241010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LINGOURI SAU ALTE FORME PRIMARE DE OȚEL ALIAT, ALTELE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72241090</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83B72" w:rsidRDefault="00DA7421" w:rsidP="00F265F4">
            <w:pPr>
              <w:spacing w:after="0" w:line="240" w:lineRule="auto"/>
              <w:jc w:val="center"/>
              <w:rPr>
                <w:rFonts w:ascii="Calibri" w:eastAsia="Times New Roman" w:hAnsi="Calibri" w:cs="Calibri"/>
                <w:b/>
                <w:bCs/>
                <w:color w:val="000000"/>
              </w:rPr>
            </w:pPr>
            <w:r w:rsidRPr="00583B72">
              <w:rPr>
                <w:rFonts w:ascii="Calibri" w:hAnsi="Calibri"/>
                <w:b/>
                <w:color w:val="000000"/>
              </w:rPr>
              <w:t>PLĂCI</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FF0000"/>
              </w:rPr>
            </w:pPr>
            <w:r w:rsidRPr="00583B72">
              <w:rPr>
                <w:rFonts w:ascii="Calibri" w:hAnsi="Calibri"/>
              </w:rPr>
              <w:t>PLĂCI</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72071210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FF0000"/>
              </w:rPr>
            </w:pPr>
            <w:r w:rsidRPr="00583B72">
              <w:rPr>
                <w:rFonts w:ascii="Calibri" w:hAnsi="Calibri"/>
              </w:rPr>
              <w:t>PLĂCI</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72072032</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DA7421" w:rsidP="00F265F4">
            <w:pPr>
              <w:spacing w:after="0" w:line="240" w:lineRule="auto"/>
              <w:rPr>
                <w:rFonts w:ascii="Calibri" w:eastAsia="Times New Roman" w:hAnsi="Calibri" w:cs="Calibri"/>
                <w:color w:val="000000"/>
              </w:rPr>
            </w:pPr>
            <w:r w:rsidRPr="00583B72">
              <w:rPr>
                <w:rFonts w:ascii="Calibri" w:hAnsi="Calibri"/>
                <w:color w:val="000000"/>
              </w:rPr>
              <w:t>PLĂCI</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72189110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DA7421" w:rsidP="00F265F4">
            <w:pPr>
              <w:spacing w:after="0" w:line="240" w:lineRule="auto"/>
              <w:rPr>
                <w:rFonts w:ascii="Calibri" w:eastAsia="Times New Roman" w:hAnsi="Calibri" w:cs="Calibri"/>
                <w:color w:val="000000"/>
              </w:rPr>
            </w:pPr>
            <w:r w:rsidRPr="00583B72">
              <w:rPr>
                <w:rFonts w:ascii="Calibri" w:hAnsi="Calibri"/>
                <w:color w:val="000000"/>
              </w:rPr>
              <w:t>PLĂCI</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72189180</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FF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FF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DA7421" w:rsidP="00F265F4">
            <w:pPr>
              <w:spacing w:after="0" w:line="240" w:lineRule="auto"/>
              <w:jc w:val="center"/>
              <w:rPr>
                <w:rFonts w:ascii="Calibri" w:eastAsia="Times New Roman" w:hAnsi="Calibri" w:cs="Calibri"/>
                <w:b/>
                <w:bCs/>
                <w:color w:val="000000"/>
              </w:rPr>
            </w:pPr>
            <w:r w:rsidRPr="00583B72">
              <w:rPr>
                <w:rFonts w:ascii="Calibri" w:hAnsi="Calibri"/>
                <w:b/>
                <w:color w:val="000000"/>
              </w:rPr>
              <w:t>LAMINATE</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83B72" w:rsidRDefault="00DA7421" w:rsidP="00F265F4">
            <w:pPr>
              <w:spacing w:after="0" w:line="240" w:lineRule="auto"/>
              <w:jc w:val="center"/>
              <w:rPr>
                <w:rFonts w:ascii="Calibri" w:eastAsia="Times New Roman" w:hAnsi="Calibri" w:cs="Calibri"/>
                <w:b/>
                <w:bCs/>
                <w:color w:val="000000"/>
              </w:rPr>
            </w:pPr>
            <w:r w:rsidRPr="00583B72">
              <w:rPr>
                <w:rFonts w:ascii="Calibri" w:hAnsi="Calibri"/>
                <w:b/>
                <w:color w:val="000000"/>
              </w:rPr>
              <w:t>ȚAGLE</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ȚAGLE LAMINATE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72071111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ȚAGLE LAMINATE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72071114</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ȚAGLE LAMINATE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72071116</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ȚAGLE LAMINATE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72071912</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ȚAGLE LAMINATE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72071980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ȚAGLE LAMINATE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72072011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ȚAGLE LAMINATE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72072015</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ȚAGLE LAMINATE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72072017</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ȚAGLE LAMINATE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72072052</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ȚAGLE LAMINATE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72072080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ȚAGLE LAMINATE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72189911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ȚAGLE LAMINATE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72189920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ȚAGLE LAMINATE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72249002</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ȚAGLE LAMINATE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72249003</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ȚAGLE LAMINATE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72249005</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ȚAGLE LAMINATE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72249007</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ȚAGLE LAMINATE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72249014</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ȚAGLE LAMINATE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72249031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ȚAGLE LAMINATE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72249038</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83B72" w:rsidRDefault="00DA7421" w:rsidP="00F265F4">
            <w:pPr>
              <w:spacing w:after="0" w:line="240" w:lineRule="auto"/>
              <w:jc w:val="center"/>
              <w:rPr>
                <w:rFonts w:ascii="Calibri" w:eastAsia="Times New Roman" w:hAnsi="Calibri" w:cs="Calibri"/>
                <w:b/>
                <w:bCs/>
                <w:color w:val="000000"/>
              </w:rPr>
            </w:pPr>
            <w:r w:rsidRPr="00583B72">
              <w:rPr>
                <w:rFonts w:ascii="Calibri" w:hAnsi="Calibri"/>
                <w:b/>
                <w:color w:val="000000"/>
              </w:rPr>
              <w:t>RULOURI</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RULOURI</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72081000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RULOURI</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72082500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RULOURI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72082600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RULOURI</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72082700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RULOURI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72083600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RULOURI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72083700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RULOURI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72083800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RULOURI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72083900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RULOURI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72191100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RULOURI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72191210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RULOURI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72191290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RULOURI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72191310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RULOURI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72191390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RULOURI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72191410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RULOURI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72191490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RULOURI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72251910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RULOURI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72253010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RULOURI</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72253030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RULOURI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72253090</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b/>
                <w:bCs/>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center"/>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ȘINE ȘI </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DALE DIN BETON ARMAT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ȘINE ȘI DALE DIN BETON ARMAT </w:t>
            </w:r>
          </w:p>
        </w:tc>
        <w:tc>
          <w:tcPr>
            <w:tcW w:w="1800" w:type="dxa"/>
            <w:tcBorders>
              <w:top w:val="nil"/>
              <w:left w:val="single" w:sz="4" w:space="0" w:color="auto"/>
              <w:bottom w:val="nil"/>
              <w:right w:val="single" w:sz="4" w:space="0" w:color="auto"/>
            </w:tcBorders>
            <w:shd w:val="clear" w:color="000000" w:fill="CCE8CF"/>
            <w:noWrap/>
            <w:vAlign w:val="bottom"/>
            <w:hideMark/>
          </w:tcPr>
          <w:p w:rsidR="00F265F4" w:rsidRPr="00583B72" w:rsidRDefault="00F265F4" w:rsidP="00F265F4">
            <w:pPr>
              <w:spacing w:after="0" w:line="240" w:lineRule="auto"/>
              <w:jc w:val="center"/>
              <w:rPr>
                <w:rFonts w:ascii="Calibri" w:eastAsia="Times New Roman" w:hAnsi="Calibri" w:cs="Calibri"/>
              </w:rPr>
            </w:pPr>
            <w:r w:rsidRPr="00583B72">
              <w:rPr>
                <w:rFonts w:ascii="Calibri" w:hAnsi="Calibri"/>
              </w:rPr>
              <w:t>73021022</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ȘINE ȘI DALE DIN BETON ARMAT</w:t>
            </w:r>
          </w:p>
        </w:tc>
        <w:tc>
          <w:tcPr>
            <w:tcW w:w="1800" w:type="dxa"/>
            <w:tcBorders>
              <w:top w:val="nil"/>
              <w:left w:val="single" w:sz="4" w:space="0" w:color="auto"/>
              <w:bottom w:val="nil"/>
              <w:right w:val="single" w:sz="4" w:space="0" w:color="auto"/>
            </w:tcBorders>
            <w:shd w:val="clear" w:color="000000" w:fill="CCE8CF"/>
            <w:noWrap/>
            <w:vAlign w:val="bottom"/>
            <w:hideMark/>
          </w:tcPr>
          <w:p w:rsidR="00F265F4" w:rsidRPr="00583B72" w:rsidRDefault="00F265F4" w:rsidP="00F265F4">
            <w:pPr>
              <w:spacing w:after="0" w:line="240" w:lineRule="auto"/>
              <w:jc w:val="center"/>
              <w:rPr>
                <w:rFonts w:ascii="Calibri" w:eastAsia="Times New Roman" w:hAnsi="Calibri" w:cs="Calibri"/>
              </w:rPr>
            </w:pPr>
            <w:r w:rsidRPr="00583B72">
              <w:rPr>
                <w:rFonts w:ascii="Calibri" w:hAnsi="Calibri"/>
              </w:rPr>
              <w:t>73021028</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ȘINE ȘI DALE DIN BETON ARMAT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73021040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ȘINE ȘI DALE DIN BETON ARMAT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73021050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ȘINE ȘI DALE DIN BETON ARMAT </w:t>
            </w:r>
          </w:p>
        </w:tc>
        <w:tc>
          <w:tcPr>
            <w:tcW w:w="1800" w:type="dxa"/>
            <w:tcBorders>
              <w:top w:val="nil"/>
              <w:left w:val="single" w:sz="4" w:space="0" w:color="auto"/>
              <w:bottom w:val="nil"/>
              <w:right w:val="single" w:sz="4" w:space="0" w:color="auto"/>
            </w:tcBorders>
            <w:shd w:val="clear" w:color="000000" w:fill="CCE8CF"/>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73024000</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000000" w:fill="CCE8CF"/>
            <w:noWrap/>
            <w:vAlign w:val="bottom"/>
          </w:tcPr>
          <w:p w:rsidR="00F265F4" w:rsidRPr="00583B72" w:rsidRDefault="00F265F4" w:rsidP="00F265F4">
            <w:pPr>
              <w:spacing w:after="0" w:line="240" w:lineRule="auto"/>
              <w:rPr>
                <w:rFonts w:ascii="Calibri" w:eastAsia="Times New Roman" w:hAnsi="Calibri" w:cs="Calibri"/>
                <w:color w:val="00B05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000000" w:fill="CCE8CF"/>
            <w:noWrap/>
            <w:vAlign w:val="bottom"/>
          </w:tcPr>
          <w:p w:rsidR="00F265F4" w:rsidRPr="00583B72" w:rsidRDefault="00F265F4" w:rsidP="00F265F4">
            <w:pPr>
              <w:spacing w:after="0" w:line="240" w:lineRule="auto"/>
              <w:rPr>
                <w:rFonts w:ascii="Calibri" w:eastAsia="Times New Roman" w:hAnsi="Calibri" w:cs="Calibri"/>
                <w:color w:val="00B05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PALPLANȘE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b/>
                <w:bCs/>
                <w:color w:val="000000"/>
              </w:rPr>
            </w:pPr>
            <w:r w:rsidRPr="00583B72">
              <w:rPr>
                <w:rFonts w:ascii="Calibri" w:hAnsi="Calibri"/>
                <w:b/>
                <w:color w:val="000000"/>
              </w:rPr>
              <w:t xml:space="preserve">PALPLANȘE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73011000</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r.c. FIER- </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BETON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r.c. FIER-BETON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72142000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r.c. FIER-BETON</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72149910</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SÂRMĂ LAMINATĂ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LAMINATĂ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72131000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LAMINATĂ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72132000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LAMINATĂ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72139110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LAMINATĂ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72139120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LAMINATĂ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72139141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LAMINATĂ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72139149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LAMINATĂ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72139170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LAMINATĂ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72139190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LAMINATĂ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72139910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LAMINATĂ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72139990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LAMINATĂ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72210010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SÂRMĂ LAMINATĂ</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72210090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LAMINATĂ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72271000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LAMINATĂ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72272000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lastRenderedPageBreak/>
              <w:t xml:space="preserve">SÂRMĂ LAMINATĂ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72279010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LAMINATĂ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72279050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LAMINATĂ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72279095</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b/>
                <w:bCs/>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BARE DIN FIER DE CALITATE COMERCIALĂ </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LAMINATE LA CALD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BARE DIN FIER DE CALITATE COMERCIALĂ LAMINATE LA CALD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72143000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DIN FIER DE CALITATE COMERCIALĂ LAMINATE LA CALD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72149931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DIN FIER DE CALITATE COMERCIALĂ LAMINATE LA CALD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72149939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DIN FIER DE CALITATE COMERCIALĂ LAMINATE LA CALD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72149950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DIN FIER DE CALITATE COMERCIALĂ LAMINATE LA CALD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72149971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DIN FIER DE CALITATE COMERCIALĂ LAMINATE LA CALD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72149979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DIN FIER DE CALITATE COMERCIALĂ LAMINATE LA CALD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72149995</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DIN FIER DE CALITATE COMERCIALĂ LAMINATE LA CALD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72221111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DIN FIER DE CALITATE COMERCIALĂ LAMINATE LA CALD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72221119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DIN FIER DE CALITATE COMERCIALĂ LAMINATE LA CALD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72221181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BARE DIN FIER DE CALITATE COMERCIALĂ LAMINATE LA CALD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72221189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DIN FIER DE CALITATE COMERCIALĂ LAMINATE LA CALD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72221910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DIN FIER DE CALITATE COMERCIALĂ LAMINATE LA CALD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72221990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DIN FIER DE CALITATE COMERCIALĂ LAMINATE LA CALD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72281020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DIN FIER DE CALITATE COMERCIALĂ LAMINATE LA CALD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72282091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DIN FIER DE CALITATE COMERCIALĂ LAMINATE LA CALD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72283020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DIN FIER DE CALITATE COMERCIALĂ LAMINATE LA CALD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72283041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DIN FIER DE CALITATE COMERCIALĂ LAMINATE LA CALD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72283049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DIN FIER DE CALITATE COMERCIALĂ LAMINATE LA CALD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72283061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DIN FIER DE CALITATE COMERCIALĂ LAMINATE LA CALD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72283069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DIN FIER DE CALITATE COMERCIALĂ LAMINATE LA CALD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72283089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 DIN FIER DE CALITATE COMERCIALĂ LAMINATE LA CALD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72288000</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PLĂCI </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DE CALITATE COMERCIALĂ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PLĂCI DE CALITATE COMERCIALĂ</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72149110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DE CALITATE COMERCIALĂ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72149190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DE CALITATE COMERCIALĂ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72282010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PLĂCI DE CALITATE COMERCIALĂ</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72283070</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BENZI LAMINATE LA CALD </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&lt; 600 mm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BENZI LAMINATE LA CALD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72111400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BENZI LAMINATE LA CALD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72111900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BENZI LAMINATE LA CALD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72126000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BENZI LAMINATE LA CALD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72201100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BENZI LAMINATE LA CALD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72201200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BENZI LAMINATE LA CALD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72261910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BENZI LAMINATE LA CALD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72269120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BENZI LAMINATE LA CALD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72269191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BENZI LAMINATE LA CALD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72269199</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PLĂCI LAMINATE LA CALD </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ȘI BENZI PLATE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CALD ȘI BENZI PLATE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72084000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CALD ȘI BENZI PLATE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72085120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CALD ȘI BENZI PLATE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72085191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CALD ȘI BENZI PLATE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72085198</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CALD ȘI BENZI PLATE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72085210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CALD ȘI BENZI PLATE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72085291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CALD ȘI BENZI PLATE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72085299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CALD ȘI BENZI PLATE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72085310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CALD ȘI BENZI PLATE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72085390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CALD ȘI BENZI PLATE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72085400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PLĂCI LAMINATE LA CALD ȘI BENZI PLATE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72089020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CALD ȘI BENZI PLATE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72089080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CALD ȘI BENZI PLATE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72109030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CALD ȘI BENZI PLATE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72111300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CALD ȘI BENZI PLATE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72192110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CALD ȘI BENZI PLATE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72192190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CALD ȘI BENZI PLATE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72192210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CALD ȘI BENZI PLATE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72192290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CALD ȘI BENZI PLATE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72192300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CALD ȘI BENZI PLATE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72192400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CALD ȘI BENZI PLATE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72254012</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CALD ȘI BENZI PLATE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72254015</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CALD ȘI BENZI PLATE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72254040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CALD ȘI BENZI PLATE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72254060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CALD ȘI BENZI PLATE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72254090</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PLĂCI </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LAMINATE LA RECE &gt;600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lastRenderedPageBreak/>
              <w:t xml:space="preserve">PLĂCI LAMINATE LA RECE &gt;600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72091500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RECE &gt;601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72091690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RECE &gt;602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72091790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RECE &gt;603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72091891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RECE &gt;604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72092500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RECE &gt;605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72092690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RECE &gt;606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72092790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PLĂCI LAMINATE LA RECE &gt;607</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72092890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RECE &gt;608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72099020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RECE &gt;609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72099080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RECE &gt;610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72193100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PLĂCI LAMINATE LA RECE &gt;611</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72193210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RECE &gt;612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72193290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RECE &gt;613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72193310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RECE &gt;614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72193390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RECE &gt;615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72193410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PLĂCI LAMINATE LA RECE &gt;616</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72193490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RECE &gt;617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72193510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RECE &gt;618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72193590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RECE &gt;619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72199020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RECE &gt;620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72199080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RECE &gt;621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72255020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PLĂCI LAMINATE LA RECE &gt;622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72255080</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BANDĂ NEAGRĂ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BANDĂ NEAGRĂ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72091899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BANDĂ NEAGRĂ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72112380</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MAGNETICĂ </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TABLE ȘI PLĂCI/BENZI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TABLE ȘI PLĂCI/BENZI MAGNETICE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72091610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MAGNETICE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72091710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MAGNETICE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72091810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MAGNETICE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72092610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TABLE ȘI PLĂCI/BENZI MAGNETICE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72092710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MAGNETICE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72092810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MAGNETICE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72112320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MAGNETICE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72251100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MAGNETICE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72251990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TABLE ȘI PLĂCI/BENZI MAGNETICE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72261100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MAGNETICE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72261980</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TABLE ȘI PLĂCI/BENZI </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PLACATE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PLACATE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72101100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PLACATE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72101220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PLACATE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72101280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PLACATE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72107010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PLACATE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72109040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PLACATE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72121010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PLACATE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72121090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PLACATE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72124020</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TABLE ȘI PLĂCI T.F.S.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 T.F.S.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72105000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 T.F.S.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72125020</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TABLE ȘI PLĂCI/BENZI </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GALVANIZATE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GALVANIZATE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72104100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GALVANIZATE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72104900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TABLE ȘI PLĂCI/BENZI GALVANIZATE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72123000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GALVANIZATE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72259200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GALVANIZATE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72269930</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TABLE ȘI PLĂCI/BENZI </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ELECTROGALVANIZATE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ELECTROGALVANIZATE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72103000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ELECTROGALVANIZATE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72122000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ELECTROGALVANIZATE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72259100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ELECTROGALVANIZATE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72269910</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TABLE ȘI PLĂCI/BENZI </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PLACATE ORGANIC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PLACATE ORGANIC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72107080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PLACATE ORGANIC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72124080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PLACATE ORGANIC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72259900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PLACATE ORGANIC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72269970</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TABLE ȘI PLĂCI/BENZI </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PLACATE CU ALTE METALE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PLACATE CU ALTE METALE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72102000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PLACATE CU ALTE METALE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72106100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PLACATE CU ALTE METALE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72106900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PLACATE CU ALTE METALE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72109080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PLACATE CU ALTE METALE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72125030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PLACATE CU ALTE METALE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72125040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PLACATE CU ALTE METALE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72125061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PLACATE CU ALTE METALE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72125069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TABLE ȘI PLĂCI/BENZI PLACATE CU ALTE METALE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72125090</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TUBURI </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FĂRĂ SUDURĂ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73041100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73041910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TUBURI FĂRĂ SUDURĂ</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73041930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73041990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73042200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73042300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73042400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73042910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73042930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73042990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73043120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73043180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lastRenderedPageBreak/>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73043910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73043952</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73043958</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73043992</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73043993</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73043998</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73044100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73044910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73044993</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TUBURI FĂRĂ SUDURĂ</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73044995</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73044999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73045112</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73045118</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73045181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73045189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73045910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73045932</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73045938</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73045992</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73045993</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73045999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FĂRĂ SUDURĂ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73049000</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TUBURI SUDATE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SUDATE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73051100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SUDATE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73051200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SUDATE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73051900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TUBURI SUDATE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73052000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TUBURI SUDATE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73053100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TUBURI SUDATE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73053900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SUDATE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73059000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TUBURI SUDATE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73061110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SUDATE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73061190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SUDATE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73061910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TUBURI SUDATE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73061990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SUDATE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73062100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SUDATE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73062900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SUDATE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73063011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SUDATE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73063019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SUDATE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73063041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SUDATE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73063049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SUDATE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73063072</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SUDATE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73063077</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SUDATE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73063080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SUDATE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73064020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SUDATE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73064080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SUDATE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73065020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SUDATE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73065080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SUDATE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73066110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SUDATE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73066192</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SUDATE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73066199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SUDATE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73066910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SUDATE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73066990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TUBURI SUDATE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73069000</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PRODUSE </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FORJATE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PRODUSE FORJATE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72141000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PRODUSE FORJATE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72223051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PRODUSE FORJATE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72223091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PRODUSE FORJATE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72281050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PRODUSE FORJATE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72284010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PRODUSE FORJATE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72284090</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BARE/PROFILE </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FINISATE LA RECE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BARE/PROFILE FINISATE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72151000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BARE/PROFILE FINISATE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72155011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BARE/PROFILE FINISATE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72155019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BARE/PROFILE FINISATE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72155080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BARE/PROFILE FINISATE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72159000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BARE/PROFILE FINISATE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72166110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BARE/PROFILE FINISATE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72166190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BARE/PROFILE FINISATE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72166900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BARE/PROFILE FINISATE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72169110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BARE/PROFILE FINISATE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72169180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BARE/PROFILE FINISATE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72222011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BARE/PROFILE FINISATE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72222019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BARE/PROFILE FINISATE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72222021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BARE/PROFILE FINISATE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72222029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BARE/PROFILE FINISATE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72222031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BARE/PROFILE FINISATE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72222039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BARE/PROFILE FINISATE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72222081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BARE/PROFILE FINISATE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72222089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BARE/PROFILE FINISATE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72223097</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BARE/PROFILE FINISATE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72224050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BARE/PROFILE FINISATE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72224090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BARE/PROFILE FINISATE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72281090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BARE/PROFILE FINISATE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72282099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BARE/PROFILE FINISATE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72285020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BARE/PROFILE FINISATE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72285040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BARE/PROFILE FINISATE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72285061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BARE/PROFILE FINISATE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72285069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BARE/PROFILE FINISATE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72285080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BARE/PROFILE FINISATE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72286020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BARE/PROFILE FINISATE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72286080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BARE/PROFILE FINISATE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72287090</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SÂRMĂ </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TRASĂ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TRASĂ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72171010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SÂRMĂ TRASĂ</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72171031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TRASĂ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72171039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SÂRMĂ TRASĂ</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72171050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TRASĂ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72171090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TRASĂ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72172010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SÂRMĂ TRASĂ</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72172030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TRASĂ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72172050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TRASĂ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72172090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TRASĂ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72173041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lastRenderedPageBreak/>
              <w:t xml:space="preserve">SÂRMĂ TRASĂ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72173049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TRASĂ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72173050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TRASĂ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72173090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TRASĂ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72179020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SÂRMĂ TRASĂ</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72179050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TRASĂ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72179090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TRASĂ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72230011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TRASĂ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72230019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TRASĂ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72230091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TRASĂ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72230099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TRASĂ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72292000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SÂRMĂ TRASĂ</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72299020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TRASĂ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72299050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SÂRMĂ TRASĂ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72299090</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BENZI </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LAMINATE LA RECE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BENZI LAMINATE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72112330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BENZI LAMINATE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72112900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BENZI LAMINATE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72119020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BENZI LAMINATE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72119080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BENZI LAMINATE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72202021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BENZI LAMINATE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72202029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BENZI LAMINATE LA RECE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72202041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BENZI LAMINATE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72202049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BENZI LAMINATE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72202081</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BENZI LAMINATE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72202089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BENZI LAMINATE LA RECE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72209020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BENZI LAMINATE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72209080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BENZI LAMINATE LA RECE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72262000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BENZI LAMINATE LA RECE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72269200</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rPr>
                <w:rFonts w:ascii="Calibri" w:eastAsia="Times New Roman" w:hAnsi="Calibri" w:cs="Calibri"/>
                <w:color w:val="000000"/>
              </w:rPr>
            </w:pP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SEMIFABRICATE </w:t>
            </w:r>
          </w:p>
        </w:tc>
      </w:tr>
      <w:tr w:rsidR="00F265F4" w:rsidRPr="00583B72" w:rsidTr="00E06F9A">
        <w:tc>
          <w:tcPr>
            <w:tcW w:w="5320" w:type="dxa"/>
            <w:tcBorders>
              <w:top w:val="nil"/>
              <w:left w:val="single" w:sz="4" w:space="0" w:color="auto"/>
              <w:bottom w:val="nil"/>
              <w:right w:val="nil"/>
            </w:tcBorders>
            <w:shd w:val="clear" w:color="auto" w:fill="auto"/>
            <w:vAlign w:val="bottom"/>
          </w:tcPr>
          <w:p w:rsidR="00F265F4" w:rsidRPr="00583B72"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b/>
                <w:bCs/>
                <w:color w:val="000000"/>
              </w:rPr>
            </w:pPr>
            <w:r w:rsidRPr="00583B72">
              <w:rPr>
                <w:rFonts w:ascii="Calibri" w:hAnsi="Calibri"/>
                <w:b/>
                <w:color w:val="000000"/>
              </w:rPr>
              <w:t xml:space="preserve">FORJATE </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SEMIFABRICATE FORJATE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72071190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SEMIFABRICATE FORJATE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72071290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SEMIFABRICATE FORJATE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72071919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SEMIFABRICATE FORJATE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72072019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SEMIFABRICATE FORJATE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72072039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SEMIFABRICATE FORJATE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72072059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SEMIFABRICATE FORJATE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72189919</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SEMIFABRICATE FORJATE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72189980</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SEMIFABRICATE FORJATE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72249018</w:t>
            </w:r>
          </w:p>
        </w:tc>
      </w:tr>
      <w:tr w:rsidR="00F265F4" w:rsidRPr="00583B72" w:rsidTr="00223553">
        <w:tc>
          <w:tcPr>
            <w:tcW w:w="5320" w:type="dxa"/>
            <w:tcBorders>
              <w:top w:val="nil"/>
              <w:left w:val="single" w:sz="4" w:space="0" w:color="auto"/>
              <w:bottom w:val="nil"/>
              <w:right w:val="nil"/>
            </w:tcBorders>
            <w:shd w:val="clear" w:color="auto" w:fill="auto"/>
            <w:vAlign w:val="bottom"/>
            <w:hideMark/>
          </w:tcPr>
          <w:p w:rsidR="00F265F4" w:rsidRPr="00583B72" w:rsidRDefault="00F265F4" w:rsidP="00F265F4">
            <w:pPr>
              <w:spacing w:after="0" w:line="240" w:lineRule="auto"/>
              <w:rPr>
                <w:rFonts w:ascii="Calibri" w:eastAsia="Times New Roman" w:hAnsi="Calibri" w:cs="Calibri"/>
                <w:color w:val="000000"/>
              </w:rPr>
            </w:pPr>
            <w:r w:rsidRPr="00583B72">
              <w:rPr>
                <w:rFonts w:ascii="Calibri" w:hAnsi="Calibri"/>
                <w:color w:val="000000"/>
              </w:rPr>
              <w:t xml:space="preserve">SEMIFABRICATE FORJATE </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83B72" w:rsidRDefault="00F265F4" w:rsidP="00F265F4">
            <w:pPr>
              <w:spacing w:after="0" w:line="240" w:lineRule="auto"/>
              <w:jc w:val="center"/>
              <w:rPr>
                <w:rFonts w:ascii="Calibri" w:eastAsia="Times New Roman" w:hAnsi="Calibri" w:cs="Calibri"/>
                <w:color w:val="000000"/>
              </w:rPr>
            </w:pPr>
            <w:r w:rsidRPr="00583B72">
              <w:rPr>
                <w:rFonts w:ascii="Calibri" w:hAnsi="Calibri"/>
                <w:color w:val="000000"/>
              </w:rPr>
              <w:t>72249090</w:t>
            </w:r>
          </w:p>
        </w:tc>
      </w:tr>
    </w:tbl>
    <w:p w:rsidR="00F265F4" w:rsidRPr="00583B72" w:rsidRDefault="00F265F4" w:rsidP="00CF773E">
      <w:pPr>
        <w:spacing w:line="240" w:lineRule="auto"/>
        <w:ind w:left="708" w:hanging="356"/>
        <w:jc w:val="both"/>
        <w:rPr>
          <w:rFonts w:ascii="Times New Roman" w:hAnsi="Times New Roman" w:cs="Times New Roman"/>
          <w:sz w:val="24"/>
          <w:szCs w:val="24"/>
        </w:rPr>
      </w:pPr>
    </w:p>
    <w:sectPr w:rsidR="00F265F4" w:rsidRPr="00583B72" w:rsidSect="00F265F4">
      <w:pgSz w:w="11909" w:h="16834"/>
      <w:pgMar w:top="567" w:right="852" w:bottom="284"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FF2" w:rsidRDefault="00223FF2" w:rsidP="00146EE7">
      <w:pPr>
        <w:spacing w:after="0" w:line="240" w:lineRule="auto"/>
      </w:pPr>
      <w:r>
        <w:separator/>
      </w:r>
    </w:p>
  </w:endnote>
  <w:endnote w:type="continuationSeparator" w:id="0">
    <w:p w:rsidR="00223FF2" w:rsidRDefault="00223FF2" w:rsidP="00146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2691"/>
      <w:docPartObj>
        <w:docPartGallery w:val="Page Numbers (Bottom of Page)"/>
        <w:docPartUnique/>
      </w:docPartObj>
    </w:sdtPr>
    <w:sdtEndPr/>
    <w:sdtContent>
      <w:p w:rsidR="005406FC" w:rsidRDefault="00DD1C06">
        <w:pPr>
          <w:pStyle w:val="Footer"/>
          <w:jc w:val="right"/>
        </w:pPr>
        <w:r>
          <w:fldChar w:fldCharType="begin"/>
        </w:r>
        <w:r w:rsidR="00474F4E">
          <w:instrText xml:space="preserve"> PAGE   \* MERGEFORMAT </w:instrText>
        </w:r>
        <w:r>
          <w:fldChar w:fldCharType="separate"/>
        </w:r>
        <w:r w:rsidR="00583B72">
          <w:rPr>
            <w:noProof/>
          </w:rPr>
          <w:t>19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FF2" w:rsidRDefault="00223FF2" w:rsidP="00146EE7">
      <w:pPr>
        <w:spacing w:after="0" w:line="240" w:lineRule="auto"/>
      </w:pPr>
      <w:r>
        <w:separator/>
      </w:r>
    </w:p>
  </w:footnote>
  <w:footnote w:type="continuationSeparator" w:id="0">
    <w:p w:rsidR="00223FF2" w:rsidRDefault="00223FF2" w:rsidP="00146E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5F4" w:rsidRPr="00F265F4" w:rsidRDefault="00F265F4" w:rsidP="00F265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709B0"/>
    <w:multiLevelType w:val="hybridMultilevel"/>
    <w:tmpl w:val="AA68F698"/>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08543250"/>
    <w:multiLevelType w:val="hybridMultilevel"/>
    <w:tmpl w:val="FD844668"/>
    <w:lvl w:ilvl="0" w:tplc="C53AB7CC">
      <w:start w:val="1"/>
      <w:numFmt w:val="decimal"/>
      <w:lvlText w:val="(%1)"/>
      <w:lvlJc w:val="left"/>
      <w:pPr>
        <w:tabs>
          <w:tab w:val="num" w:pos="720"/>
        </w:tabs>
        <w:ind w:left="720" w:hanging="360"/>
      </w:pPr>
      <w:rPr>
        <w:rFonts w:hint="default"/>
      </w:rPr>
    </w:lvl>
    <w:lvl w:ilvl="1" w:tplc="04100011">
      <w:start w:val="1"/>
      <w:numFmt w:val="decimal"/>
      <w:lvlText w:val="%2)"/>
      <w:lvlJc w:val="left"/>
      <w:pPr>
        <w:tabs>
          <w:tab w:val="num" w:pos="1440"/>
        </w:tabs>
        <w:ind w:left="1440" w:hanging="360"/>
      </w:pPr>
      <w:rPr>
        <w:rFonts w:hint="default"/>
      </w:rPr>
    </w:lvl>
    <w:lvl w:ilvl="2" w:tplc="297864E4">
      <w:start w:val="5"/>
      <w:numFmt w:val="lowerLetter"/>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A480D64"/>
    <w:multiLevelType w:val="hybridMultilevel"/>
    <w:tmpl w:val="27D2FE46"/>
    <w:lvl w:ilvl="0" w:tplc="C53AB7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AD4007"/>
    <w:multiLevelType w:val="hybridMultilevel"/>
    <w:tmpl w:val="BEE628F8"/>
    <w:lvl w:ilvl="0" w:tplc="C53AB7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BC602E3"/>
    <w:multiLevelType w:val="hybridMultilevel"/>
    <w:tmpl w:val="D07E10E2"/>
    <w:lvl w:ilvl="0" w:tplc="29B448EE">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3282582F"/>
    <w:multiLevelType w:val="hybridMultilevel"/>
    <w:tmpl w:val="AA68F69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36C310E2"/>
    <w:multiLevelType w:val="hybridMultilevel"/>
    <w:tmpl w:val="7CBE02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26D001B"/>
    <w:multiLevelType w:val="hybridMultilevel"/>
    <w:tmpl w:val="58DA06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ACD51EE"/>
    <w:multiLevelType w:val="hybridMultilevel"/>
    <w:tmpl w:val="BB4CE260"/>
    <w:lvl w:ilvl="0" w:tplc="C53AB7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1A62271"/>
    <w:multiLevelType w:val="hybridMultilevel"/>
    <w:tmpl w:val="7C62515E"/>
    <w:lvl w:ilvl="0" w:tplc="E6F86C84">
      <w:start w:val="1"/>
      <w:numFmt w:val="bullet"/>
      <w:lvlText w:val="□"/>
      <w:lvlJc w:val="left"/>
      <w:pPr>
        <w:ind w:left="720" w:hanging="360"/>
      </w:pPr>
      <w:rPr>
        <w:rFonts w:ascii="Franklin Gothic Demi Cond" w:hAnsi="Franklin Gothic Demi Cond" w:hint="default"/>
        <w:sz w:val="4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356440F"/>
    <w:multiLevelType w:val="hybridMultilevel"/>
    <w:tmpl w:val="D1ECEA46"/>
    <w:lvl w:ilvl="0" w:tplc="29B448E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4530552"/>
    <w:multiLevelType w:val="hybridMultilevel"/>
    <w:tmpl w:val="2ECCAEEC"/>
    <w:lvl w:ilvl="0" w:tplc="C53AB7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49501F7"/>
    <w:multiLevelType w:val="hybridMultilevel"/>
    <w:tmpl w:val="15BACA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49959CB"/>
    <w:multiLevelType w:val="hybridMultilevel"/>
    <w:tmpl w:val="44D4F8A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782A30E6"/>
    <w:multiLevelType w:val="hybridMultilevel"/>
    <w:tmpl w:val="A8C05FA0"/>
    <w:lvl w:ilvl="0" w:tplc="C53AB7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842464F"/>
    <w:multiLevelType w:val="hybridMultilevel"/>
    <w:tmpl w:val="2D4E5866"/>
    <w:lvl w:ilvl="0" w:tplc="C53AB7C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3"/>
  </w:num>
  <w:num w:numId="2">
    <w:abstractNumId w:val="0"/>
  </w:num>
  <w:num w:numId="3">
    <w:abstractNumId w:val="5"/>
  </w:num>
  <w:num w:numId="4">
    <w:abstractNumId w:val="7"/>
  </w:num>
  <w:num w:numId="5">
    <w:abstractNumId w:val="11"/>
  </w:num>
  <w:num w:numId="6">
    <w:abstractNumId w:val="12"/>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
  </w:num>
  <w:num w:numId="11">
    <w:abstractNumId w:val="14"/>
  </w:num>
  <w:num w:numId="12">
    <w:abstractNumId w:val="8"/>
  </w:num>
  <w:num w:numId="13">
    <w:abstractNumId w:val="10"/>
  </w:num>
  <w:num w:numId="14">
    <w:abstractNumId w:val="1"/>
  </w:num>
  <w:num w:numId="15">
    <w:abstractNumId w:val="4"/>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doNotHyphenateCap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rsids>
    <w:rsidRoot w:val="00B310BB"/>
    <w:rsid w:val="00030019"/>
    <w:rsid w:val="0003454E"/>
    <w:rsid w:val="00040E93"/>
    <w:rsid w:val="0004391F"/>
    <w:rsid w:val="00043DED"/>
    <w:rsid w:val="000501D0"/>
    <w:rsid w:val="0006251F"/>
    <w:rsid w:val="00063EF4"/>
    <w:rsid w:val="00064A20"/>
    <w:rsid w:val="000675B4"/>
    <w:rsid w:val="00067B2B"/>
    <w:rsid w:val="00070BB3"/>
    <w:rsid w:val="00073A90"/>
    <w:rsid w:val="0008055F"/>
    <w:rsid w:val="000826BB"/>
    <w:rsid w:val="00082902"/>
    <w:rsid w:val="00085F28"/>
    <w:rsid w:val="00086412"/>
    <w:rsid w:val="00093DC2"/>
    <w:rsid w:val="000B093A"/>
    <w:rsid w:val="000C4716"/>
    <w:rsid w:val="000D519B"/>
    <w:rsid w:val="000D56C7"/>
    <w:rsid w:val="000E71C8"/>
    <w:rsid w:val="000F0829"/>
    <w:rsid w:val="000F4DF4"/>
    <w:rsid w:val="00110BEC"/>
    <w:rsid w:val="00114FDF"/>
    <w:rsid w:val="00116744"/>
    <w:rsid w:val="00122302"/>
    <w:rsid w:val="00131A39"/>
    <w:rsid w:val="001338EF"/>
    <w:rsid w:val="001354A7"/>
    <w:rsid w:val="00146EE7"/>
    <w:rsid w:val="001479CF"/>
    <w:rsid w:val="001528D6"/>
    <w:rsid w:val="00160CDF"/>
    <w:rsid w:val="0016197C"/>
    <w:rsid w:val="00175273"/>
    <w:rsid w:val="0019643F"/>
    <w:rsid w:val="001972CD"/>
    <w:rsid w:val="001B3A1F"/>
    <w:rsid w:val="001C1744"/>
    <w:rsid w:val="001C7D7C"/>
    <w:rsid w:val="001D37AE"/>
    <w:rsid w:val="001E3716"/>
    <w:rsid w:val="001E58F8"/>
    <w:rsid w:val="002028A7"/>
    <w:rsid w:val="00203C70"/>
    <w:rsid w:val="00223553"/>
    <w:rsid w:val="00223FF2"/>
    <w:rsid w:val="00224337"/>
    <w:rsid w:val="00231A56"/>
    <w:rsid w:val="00254720"/>
    <w:rsid w:val="0028784F"/>
    <w:rsid w:val="002938E4"/>
    <w:rsid w:val="002A06FD"/>
    <w:rsid w:val="002A1841"/>
    <w:rsid w:val="002B04DC"/>
    <w:rsid w:val="002B5CDE"/>
    <w:rsid w:val="002C2BB8"/>
    <w:rsid w:val="002C5732"/>
    <w:rsid w:val="002D091D"/>
    <w:rsid w:val="002D6A33"/>
    <w:rsid w:val="002F016A"/>
    <w:rsid w:val="002F6A03"/>
    <w:rsid w:val="00311055"/>
    <w:rsid w:val="003307BD"/>
    <w:rsid w:val="00351851"/>
    <w:rsid w:val="0036093C"/>
    <w:rsid w:val="00361749"/>
    <w:rsid w:val="003676FC"/>
    <w:rsid w:val="003700F9"/>
    <w:rsid w:val="00371FF2"/>
    <w:rsid w:val="00376DB1"/>
    <w:rsid w:val="00381ADE"/>
    <w:rsid w:val="0039017F"/>
    <w:rsid w:val="00391B3F"/>
    <w:rsid w:val="003A3BF5"/>
    <w:rsid w:val="003A55DD"/>
    <w:rsid w:val="003B3C39"/>
    <w:rsid w:val="003C4AC4"/>
    <w:rsid w:val="003D7DE6"/>
    <w:rsid w:val="003E0C25"/>
    <w:rsid w:val="004058E2"/>
    <w:rsid w:val="0040618D"/>
    <w:rsid w:val="00416471"/>
    <w:rsid w:val="004213AA"/>
    <w:rsid w:val="00430FEF"/>
    <w:rsid w:val="0044285E"/>
    <w:rsid w:val="00443381"/>
    <w:rsid w:val="00451E01"/>
    <w:rsid w:val="00455DAA"/>
    <w:rsid w:val="004564D0"/>
    <w:rsid w:val="00461FC5"/>
    <w:rsid w:val="00467E43"/>
    <w:rsid w:val="004704DB"/>
    <w:rsid w:val="004709C3"/>
    <w:rsid w:val="00474F4E"/>
    <w:rsid w:val="0048620C"/>
    <w:rsid w:val="0048684B"/>
    <w:rsid w:val="00491E7F"/>
    <w:rsid w:val="00491F13"/>
    <w:rsid w:val="004925CF"/>
    <w:rsid w:val="004A68F0"/>
    <w:rsid w:val="004C068D"/>
    <w:rsid w:val="004C5D48"/>
    <w:rsid w:val="004D5196"/>
    <w:rsid w:val="004F09FB"/>
    <w:rsid w:val="004F1085"/>
    <w:rsid w:val="004F1B6A"/>
    <w:rsid w:val="004F1DE0"/>
    <w:rsid w:val="00502D9D"/>
    <w:rsid w:val="005076E5"/>
    <w:rsid w:val="0052640D"/>
    <w:rsid w:val="00526D96"/>
    <w:rsid w:val="00537CC7"/>
    <w:rsid w:val="005406FC"/>
    <w:rsid w:val="00544AC7"/>
    <w:rsid w:val="00546AE8"/>
    <w:rsid w:val="0055077D"/>
    <w:rsid w:val="00552AC9"/>
    <w:rsid w:val="00561134"/>
    <w:rsid w:val="005621BD"/>
    <w:rsid w:val="005714AF"/>
    <w:rsid w:val="005764D0"/>
    <w:rsid w:val="00577A7D"/>
    <w:rsid w:val="00583B72"/>
    <w:rsid w:val="00586CE6"/>
    <w:rsid w:val="00595219"/>
    <w:rsid w:val="00597E01"/>
    <w:rsid w:val="005A546C"/>
    <w:rsid w:val="005B622C"/>
    <w:rsid w:val="005C4747"/>
    <w:rsid w:val="005C523D"/>
    <w:rsid w:val="005C6254"/>
    <w:rsid w:val="005D089C"/>
    <w:rsid w:val="005D08DC"/>
    <w:rsid w:val="005D38DD"/>
    <w:rsid w:val="005E08E6"/>
    <w:rsid w:val="005E2655"/>
    <w:rsid w:val="006039C3"/>
    <w:rsid w:val="00606FE7"/>
    <w:rsid w:val="006251D1"/>
    <w:rsid w:val="00625AE5"/>
    <w:rsid w:val="006263D7"/>
    <w:rsid w:val="00626639"/>
    <w:rsid w:val="006270DA"/>
    <w:rsid w:val="00655DC9"/>
    <w:rsid w:val="006568FF"/>
    <w:rsid w:val="00656A94"/>
    <w:rsid w:val="00666C40"/>
    <w:rsid w:val="00673A96"/>
    <w:rsid w:val="0068063F"/>
    <w:rsid w:val="00687712"/>
    <w:rsid w:val="006C4402"/>
    <w:rsid w:val="006D4BF0"/>
    <w:rsid w:val="006E7DDA"/>
    <w:rsid w:val="006E7F4B"/>
    <w:rsid w:val="006F7602"/>
    <w:rsid w:val="007016E3"/>
    <w:rsid w:val="00707A33"/>
    <w:rsid w:val="00714AD1"/>
    <w:rsid w:val="0073155F"/>
    <w:rsid w:val="00733CD8"/>
    <w:rsid w:val="00742F89"/>
    <w:rsid w:val="00755E45"/>
    <w:rsid w:val="00760AF9"/>
    <w:rsid w:val="00786695"/>
    <w:rsid w:val="00790C96"/>
    <w:rsid w:val="007B09C9"/>
    <w:rsid w:val="007B0A3C"/>
    <w:rsid w:val="007B4AFE"/>
    <w:rsid w:val="007E128B"/>
    <w:rsid w:val="007E15B1"/>
    <w:rsid w:val="007F4CFB"/>
    <w:rsid w:val="008159DE"/>
    <w:rsid w:val="008162CB"/>
    <w:rsid w:val="00822B47"/>
    <w:rsid w:val="008311D0"/>
    <w:rsid w:val="00836745"/>
    <w:rsid w:val="008500E4"/>
    <w:rsid w:val="008508EE"/>
    <w:rsid w:val="00855BF2"/>
    <w:rsid w:val="00870860"/>
    <w:rsid w:val="008D01A3"/>
    <w:rsid w:val="008D4C6E"/>
    <w:rsid w:val="008E72DD"/>
    <w:rsid w:val="00907232"/>
    <w:rsid w:val="009142C4"/>
    <w:rsid w:val="0091570C"/>
    <w:rsid w:val="00915B27"/>
    <w:rsid w:val="00921AEE"/>
    <w:rsid w:val="0092466C"/>
    <w:rsid w:val="0094018C"/>
    <w:rsid w:val="00952519"/>
    <w:rsid w:val="009777E3"/>
    <w:rsid w:val="0098237F"/>
    <w:rsid w:val="009A3824"/>
    <w:rsid w:val="009B2934"/>
    <w:rsid w:val="009C46FC"/>
    <w:rsid w:val="009E4381"/>
    <w:rsid w:val="009E4D53"/>
    <w:rsid w:val="00A00B83"/>
    <w:rsid w:val="00A153A1"/>
    <w:rsid w:val="00A431A4"/>
    <w:rsid w:val="00A505F5"/>
    <w:rsid w:val="00A52A09"/>
    <w:rsid w:val="00A65A21"/>
    <w:rsid w:val="00A73A08"/>
    <w:rsid w:val="00A756ED"/>
    <w:rsid w:val="00A80E67"/>
    <w:rsid w:val="00A839F3"/>
    <w:rsid w:val="00A91928"/>
    <w:rsid w:val="00AA5D46"/>
    <w:rsid w:val="00AA6146"/>
    <w:rsid w:val="00AB0F43"/>
    <w:rsid w:val="00AC3B7D"/>
    <w:rsid w:val="00AD2386"/>
    <w:rsid w:val="00AD4906"/>
    <w:rsid w:val="00AD6CDA"/>
    <w:rsid w:val="00B057AD"/>
    <w:rsid w:val="00B144CD"/>
    <w:rsid w:val="00B26B7B"/>
    <w:rsid w:val="00B310BB"/>
    <w:rsid w:val="00B61F3C"/>
    <w:rsid w:val="00B67A0D"/>
    <w:rsid w:val="00B71506"/>
    <w:rsid w:val="00B76C36"/>
    <w:rsid w:val="00B90236"/>
    <w:rsid w:val="00B96FCF"/>
    <w:rsid w:val="00BA3E74"/>
    <w:rsid w:val="00BC10D0"/>
    <w:rsid w:val="00BC5DDA"/>
    <w:rsid w:val="00BD11D7"/>
    <w:rsid w:val="00BD4BEC"/>
    <w:rsid w:val="00BF09C2"/>
    <w:rsid w:val="00BF2D03"/>
    <w:rsid w:val="00BF7796"/>
    <w:rsid w:val="00C01A69"/>
    <w:rsid w:val="00C0795E"/>
    <w:rsid w:val="00C179AB"/>
    <w:rsid w:val="00C213BF"/>
    <w:rsid w:val="00C22B35"/>
    <w:rsid w:val="00C231E5"/>
    <w:rsid w:val="00C2507F"/>
    <w:rsid w:val="00C34756"/>
    <w:rsid w:val="00C479D4"/>
    <w:rsid w:val="00C509E7"/>
    <w:rsid w:val="00C57332"/>
    <w:rsid w:val="00C75963"/>
    <w:rsid w:val="00C83004"/>
    <w:rsid w:val="00C84E86"/>
    <w:rsid w:val="00C87594"/>
    <w:rsid w:val="00C90352"/>
    <w:rsid w:val="00CA1DEC"/>
    <w:rsid w:val="00CA5AF0"/>
    <w:rsid w:val="00CB46E5"/>
    <w:rsid w:val="00CB794E"/>
    <w:rsid w:val="00CD1450"/>
    <w:rsid w:val="00CF6747"/>
    <w:rsid w:val="00CF773E"/>
    <w:rsid w:val="00CF7F22"/>
    <w:rsid w:val="00D00006"/>
    <w:rsid w:val="00D138EC"/>
    <w:rsid w:val="00D22B86"/>
    <w:rsid w:val="00D24539"/>
    <w:rsid w:val="00D24F86"/>
    <w:rsid w:val="00D27263"/>
    <w:rsid w:val="00D27DC3"/>
    <w:rsid w:val="00D32987"/>
    <w:rsid w:val="00D36B81"/>
    <w:rsid w:val="00D378CD"/>
    <w:rsid w:val="00D41B58"/>
    <w:rsid w:val="00D450E2"/>
    <w:rsid w:val="00D60E7C"/>
    <w:rsid w:val="00D6146B"/>
    <w:rsid w:val="00D61B9D"/>
    <w:rsid w:val="00D73C6D"/>
    <w:rsid w:val="00D83131"/>
    <w:rsid w:val="00D87C55"/>
    <w:rsid w:val="00DA7380"/>
    <w:rsid w:val="00DA7421"/>
    <w:rsid w:val="00DC1FAE"/>
    <w:rsid w:val="00DD1C06"/>
    <w:rsid w:val="00DD4EA5"/>
    <w:rsid w:val="00DD4FC4"/>
    <w:rsid w:val="00DD7622"/>
    <w:rsid w:val="00DE27CE"/>
    <w:rsid w:val="00DF6CED"/>
    <w:rsid w:val="00E04380"/>
    <w:rsid w:val="00E058E3"/>
    <w:rsid w:val="00E06F9A"/>
    <w:rsid w:val="00E1152D"/>
    <w:rsid w:val="00E131C7"/>
    <w:rsid w:val="00E232D8"/>
    <w:rsid w:val="00E50D7C"/>
    <w:rsid w:val="00E67CB3"/>
    <w:rsid w:val="00E85195"/>
    <w:rsid w:val="00E87B3C"/>
    <w:rsid w:val="00E91566"/>
    <w:rsid w:val="00E976DA"/>
    <w:rsid w:val="00EA7FF7"/>
    <w:rsid w:val="00EC023F"/>
    <w:rsid w:val="00EC26E1"/>
    <w:rsid w:val="00EC6367"/>
    <w:rsid w:val="00EC6946"/>
    <w:rsid w:val="00EC72A4"/>
    <w:rsid w:val="00ED32D2"/>
    <w:rsid w:val="00ED61ED"/>
    <w:rsid w:val="00F03D15"/>
    <w:rsid w:val="00F044D6"/>
    <w:rsid w:val="00F064E1"/>
    <w:rsid w:val="00F2494C"/>
    <w:rsid w:val="00F265F4"/>
    <w:rsid w:val="00F32D90"/>
    <w:rsid w:val="00F34065"/>
    <w:rsid w:val="00F34A56"/>
    <w:rsid w:val="00F4394A"/>
    <w:rsid w:val="00F516F1"/>
    <w:rsid w:val="00F5565C"/>
    <w:rsid w:val="00F66476"/>
    <w:rsid w:val="00F70DCA"/>
    <w:rsid w:val="00F75634"/>
    <w:rsid w:val="00F849C9"/>
    <w:rsid w:val="00F85119"/>
    <w:rsid w:val="00FA2916"/>
    <w:rsid w:val="00FA7E29"/>
    <w:rsid w:val="00FC1E17"/>
    <w:rsid w:val="00FC34BD"/>
    <w:rsid w:val="00FC6127"/>
    <w:rsid w:val="00FC62AD"/>
    <w:rsid w:val="00FD42B0"/>
    <w:rsid w:val="00FE670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3145A0B9-51D8-4320-B4A9-9CD2C1FE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9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17F"/>
    <w:pPr>
      <w:ind w:left="720"/>
      <w:contextualSpacing/>
    </w:pPr>
  </w:style>
  <w:style w:type="paragraph" w:styleId="Header">
    <w:name w:val="header"/>
    <w:basedOn w:val="Normal"/>
    <w:link w:val="HeaderChar"/>
    <w:uiPriority w:val="99"/>
    <w:unhideWhenUsed/>
    <w:rsid w:val="00146EE7"/>
    <w:pPr>
      <w:tabs>
        <w:tab w:val="center" w:pos="4819"/>
        <w:tab w:val="right" w:pos="9638"/>
      </w:tabs>
      <w:spacing w:after="0" w:line="240" w:lineRule="auto"/>
    </w:pPr>
  </w:style>
  <w:style w:type="character" w:customStyle="1" w:styleId="HeaderChar">
    <w:name w:val="Header Char"/>
    <w:basedOn w:val="DefaultParagraphFont"/>
    <w:link w:val="Header"/>
    <w:uiPriority w:val="99"/>
    <w:rsid w:val="00146EE7"/>
  </w:style>
  <w:style w:type="paragraph" w:styleId="Footer">
    <w:name w:val="footer"/>
    <w:basedOn w:val="Normal"/>
    <w:link w:val="FooterChar"/>
    <w:uiPriority w:val="99"/>
    <w:unhideWhenUsed/>
    <w:rsid w:val="00146EE7"/>
    <w:pPr>
      <w:tabs>
        <w:tab w:val="center" w:pos="4819"/>
        <w:tab w:val="right" w:pos="9638"/>
      </w:tabs>
      <w:spacing w:after="0" w:line="240" w:lineRule="auto"/>
    </w:pPr>
  </w:style>
  <w:style w:type="character" w:customStyle="1" w:styleId="FooterChar">
    <w:name w:val="Footer Char"/>
    <w:basedOn w:val="DefaultParagraphFont"/>
    <w:link w:val="Footer"/>
    <w:uiPriority w:val="99"/>
    <w:rsid w:val="00146EE7"/>
  </w:style>
  <w:style w:type="paragraph" w:styleId="BalloonText">
    <w:name w:val="Balloon Text"/>
    <w:basedOn w:val="Normal"/>
    <w:link w:val="BalloonTextChar"/>
    <w:uiPriority w:val="99"/>
    <w:semiHidden/>
    <w:unhideWhenUsed/>
    <w:rsid w:val="00952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519"/>
    <w:rPr>
      <w:rFonts w:ascii="Tahoma" w:hAnsi="Tahoma" w:cs="Tahoma"/>
      <w:sz w:val="16"/>
      <w:szCs w:val="16"/>
    </w:rPr>
  </w:style>
  <w:style w:type="character" w:styleId="CommentReference">
    <w:name w:val="annotation reference"/>
    <w:basedOn w:val="DefaultParagraphFont"/>
    <w:uiPriority w:val="99"/>
    <w:semiHidden/>
    <w:unhideWhenUsed/>
    <w:rsid w:val="005D08DC"/>
    <w:rPr>
      <w:sz w:val="16"/>
      <w:szCs w:val="16"/>
    </w:rPr>
  </w:style>
  <w:style w:type="paragraph" w:styleId="CommentText">
    <w:name w:val="annotation text"/>
    <w:basedOn w:val="Normal"/>
    <w:link w:val="CommentTextChar"/>
    <w:uiPriority w:val="99"/>
    <w:semiHidden/>
    <w:unhideWhenUsed/>
    <w:rsid w:val="005D08DC"/>
    <w:pPr>
      <w:spacing w:line="240" w:lineRule="auto"/>
    </w:pPr>
    <w:rPr>
      <w:sz w:val="20"/>
      <w:szCs w:val="20"/>
    </w:rPr>
  </w:style>
  <w:style w:type="character" w:customStyle="1" w:styleId="CommentTextChar">
    <w:name w:val="Comment Text Char"/>
    <w:basedOn w:val="DefaultParagraphFont"/>
    <w:link w:val="CommentText"/>
    <w:uiPriority w:val="99"/>
    <w:semiHidden/>
    <w:rsid w:val="005D08DC"/>
    <w:rPr>
      <w:sz w:val="20"/>
      <w:szCs w:val="20"/>
    </w:rPr>
  </w:style>
  <w:style w:type="paragraph" w:styleId="CommentSubject">
    <w:name w:val="annotation subject"/>
    <w:basedOn w:val="CommentText"/>
    <w:next w:val="CommentText"/>
    <w:link w:val="CommentSubjectChar"/>
    <w:uiPriority w:val="99"/>
    <w:semiHidden/>
    <w:unhideWhenUsed/>
    <w:rsid w:val="005D08DC"/>
    <w:rPr>
      <w:b/>
      <w:bCs/>
    </w:rPr>
  </w:style>
  <w:style w:type="character" w:customStyle="1" w:styleId="CommentSubjectChar">
    <w:name w:val="Comment Subject Char"/>
    <w:basedOn w:val="CommentTextChar"/>
    <w:link w:val="CommentSubject"/>
    <w:uiPriority w:val="99"/>
    <w:semiHidden/>
    <w:rsid w:val="005D08DC"/>
    <w:rPr>
      <w:b/>
      <w:bCs/>
      <w:sz w:val="20"/>
      <w:szCs w:val="20"/>
    </w:rPr>
  </w:style>
  <w:style w:type="paragraph" w:styleId="Revision">
    <w:name w:val="Revision"/>
    <w:hidden/>
    <w:uiPriority w:val="99"/>
    <w:semiHidden/>
    <w:rsid w:val="001338EF"/>
    <w:pPr>
      <w:spacing w:after="0" w:line="240" w:lineRule="auto"/>
    </w:pPr>
  </w:style>
  <w:style w:type="paragraph" w:customStyle="1" w:styleId="Style1">
    <w:name w:val="Style1"/>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rPr>
  </w:style>
  <w:style w:type="paragraph" w:customStyle="1" w:styleId="Style3">
    <w:name w:val="Style3"/>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rPr>
  </w:style>
  <w:style w:type="paragraph" w:customStyle="1" w:styleId="Style4">
    <w:name w:val="Style4"/>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rPr>
  </w:style>
  <w:style w:type="paragraph" w:customStyle="1" w:styleId="Style5">
    <w:name w:val="Style5"/>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rPr>
  </w:style>
  <w:style w:type="paragraph" w:customStyle="1" w:styleId="Style6">
    <w:name w:val="Style6"/>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rPr>
  </w:style>
  <w:style w:type="paragraph" w:customStyle="1" w:styleId="Style8">
    <w:name w:val="Style8"/>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rPr>
  </w:style>
  <w:style w:type="paragraph" w:customStyle="1" w:styleId="Style12">
    <w:name w:val="Style12"/>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rPr>
  </w:style>
  <w:style w:type="paragraph" w:customStyle="1" w:styleId="Style13">
    <w:name w:val="Style13"/>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rPr>
  </w:style>
  <w:style w:type="character" w:customStyle="1" w:styleId="FontStyle17">
    <w:name w:val="Font Style17"/>
    <w:basedOn w:val="DefaultParagraphFont"/>
    <w:uiPriority w:val="99"/>
    <w:rsid w:val="00F265F4"/>
    <w:rPr>
      <w:rFonts w:ascii="Batang" w:eastAsia="Batang" w:cs="Batang"/>
      <w:b/>
      <w:bCs/>
      <w:color w:val="000000"/>
      <w:sz w:val="16"/>
      <w:szCs w:val="16"/>
    </w:rPr>
  </w:style>
  <w:style w:type="character" w:customStyle="1" w:styleId="FontStyle18">
    <w:name w:val="Font Style18"/>
    <w:basedOn w:val="DefaultParagraphFont"/>
    <w:uiPriority w:val="99"/>
    <w:rsid w:val="00F265F4"/>
    <w:rPr>
      <w:rFonts w:ascii="Franklin Gothic Demi Cond" w:hAnsi="Franklin Gothic Demi Cond" w:cs="Franklin Gothic Demi Cond"/>
      <w:color w:val="000000"/>
      <w:sz w:val="16"/>
      <w:szCs w:val="16"/>
    </w:rPr>
  </w:style>
  <w:style w:type="character" w:customStyle="1" w:styleId="FontStyle19">
    <w:name w:val="Font Style19"/>
    <w:basedOn w:val="DefaultParagraphFont"/>
    <w:uiPriority w:val="99"/>
    <w:rsid w:val="00F265F4"/>
    <w:rPr>
      <w:rFonts w:ascii="Book Antiqua" w:hAnsi="Book Antiqua" w:cs="Book Antiqua"/>
      <w:color w:val="000000"/>
      <w:sz w:val="16"/>
      <w:szCs w:val="16"/>
    </w:rPr>
  </w:style>
  <w:style w:type="character" w:customStyle="1" w:styleId="FontStyle21">
    <w:name w:val="Font Style21"/>
    <w:basedOn w:val="DefaultParagraphFont"/>
    <w:uiPriority w:val="99"/>
    <w:rsid w:val="00F265F4"/>
    <w:rPr>
      <w:rFonts w:ascii="Book Antiqua" w:hAnsi="Book Antiqua" w:cs="Book Antiqua"/>
      <w:b/>
      <w:bCs/>
      <w:color w:val="000000"/>
      <w:sz w:val="16"/>
      <w:szCs w:val="16"/>
    </w:rPr>
  </w:style>
  <w:style w:type="character" w:styleId="Hyperlink">
    <w:name w:val="Hyperlink"/>
    <w:basedOn w:val="DefaultParagraphFont"/>
    <w:uiPriority w:val="99"/>
    <w:semiHidden/>
    <w:unhideWhenUsed/>
    <w:rsid w:val="00F265F4"/>
    <w:rPr>
      <w:color w:val="0000FF"/>
      <w:u w:val="single"/>
    </w:rPr>
  </w:style>
  <w:style w:type="character" w:styleId="FollowedHyperlink">
    <w:name w:val="FollowedHyperlink"/>
    <w:basedOn w:val="DefaultParagraphFont"/>
    <w:uiPriority w:val="99"/>
    <w:semiHidden/>
    <w:unhideWhenUsed/>
    <w:rsid w:val="00F265F4"/>
    <w:rPr>
      <w:color w:val="800080"/>
      <w:u w:val="single"/>
    </w:rPr>
  </w:style>
  <w:style w:type="paragraph" w:customStyle="1" w:styleId="font0">
    <w:name w:val="font0"/>
    <w:basedOn w:val="Normal"/>
    <w:rsid w:val="00F265F4"/>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F265F4"/>
    <w:pPr>
      <w:spacing w:before="100" w:beforeAutospacing="1" w:after="100" w:afterAutospacing="1" w:line="240" w:lineRule="auto"/>
    </w:pPr>
    <w:rPr>
      <w:rFonts w:ascii="Calibri" w:eastAsia="Times New Roman" w:hAnsi="Calibri" w:cs="Calibri"/>
      <w:color w:val="FF0000"/>
    </w:rPr>
  </w:style>
  <w:style w:type="paragraph" w:customStyle="1" w:styleId="font6">
    <w:name w:val="font6"/>
    <w:basedOn w:val="Normal"/>
    <w:rsid w:val="00F265F4"/>
    <w:pPr>
      <w:spacing w:before="100" w:beforeAutospacing="1" w:after="100" w:afterAutospacing="1" w:line="240" w:lineRule="auto"/>
    </w:pPr>
    <w:rPr>
      <w:rFonts w:ascii="Calibri" w:eastAsia="Times New Roman" w:hAnsi="Calibri" w:cs="Calibri"/>
    </w:rPr>
  </w:style>
  <w:style w:type="paragraph" w:customStyle="1" w:styleId="xl63">
    <w:name w:val="xl63"/>
    <w:basedOn w:val="Normal"/>
    <w:rsid w:val="00F265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F26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F265F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F265F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F26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8">
    <w:name w:val="xl68"/>
    <w:basedOn w:val="Normal"/>
    <w:rsid w:val="00F265F4"/>
    <w:pPr>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Normal"/>
    <w:rsid w:val="00F265F4"/>
    <w:pPr>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0">
    <w:name w:val="xl70"/>
    <w:basedOn w:val="Normal"/>
    <w:rsid w:val="00F265F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1">
    <w:name w:val="xl71"/>
    <w:basedOn w:val="Normal"/>
    <w:rsid w:val="00F265F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Normal"/>
    <w:rsid w:val="00F265F4"/>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F265F4"/>
    <w:pPr>
      <w:pBdr>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4">
    <w:name w:val="xl74"/>
    <w:basedOn w:val="Normal"/>
    <w:rsid w:val="00F265F4"/>
    <w:pPr>
      <w:pBdr>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Normal"/>
    <w:rsid w:val="00F265F4"/>
    <w:pPr>
      <w:pBdr>
        <w:lef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6">
    <w:name w:val="xl76"/>
    <w:basedOn w:val="Normal"/>
    <w:rsid w:val="00F265F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F265F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F265F4"/>
    <w:pPr>
      <w:pBdr>
        <w:left w:val="single" w:sz="4" w:space="0" w:color="auto"/>
        <w:right w:val="single" w:sz="4" w:space="0" w:color="auto"/>
      </w:pBdr>
      <w:shd w:val="clear" w:color="000000" w:fill="CCE8C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Normal"/>
    <w:rsid w:val="00F265F4"/>
    <w:pPr>
      <w:pBdr>
        <w:left w:val="single" w:sz="4" w:space="0" w:color="auto"/>
        <w:right w:val="single" w:sz="4" w:space="0" w:color="auto"/>
      </w:pBdr>
      <w:shd w:val="clear" w:color="000000" w:fill="CCE8C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F265F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1">
    <w:name w:val="xl81"/>
    <w:basedOn w:val="Normal"/>
    <w:rsid w:val="00F265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Normal"/>
    <w:rsid w:val="00F265F4"/>
    <w:pPr>
      <w:pBdr>
        <w:left w:val="single" w:sz="4" w:space="0" w:color="auto"/>
        <w:right w:val="single" w:sz="4" w:space="0" w:color="auto"/>
      </w:pBdr>
      <w:shd w:val="clear" w:color="000000" w:fill="CCE8C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F265F4"/>
    <w:pPr>
      <w:pBdr>
        <w:left w:val="single" w:sz="4" w:space="0" w:color="auto"/>
        <w:right w:val="single" w:sz="4" w:space="0" w:color="auto"/>
      </w:pBdr>
      <w:shd w:val="clear" w:color="000000" w:fill="CCE8CF"/>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84">
    <w:name w:val="xl84"/>
    <w:basedOn w:val="Normal"/>
    <w:rsid w:val="00F265F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rsid w:val="00F265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F265F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Normal"/>
    <w:rsid w:val="00F265F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8">
    <w:name w:val="xl88"/>
    <w:basedOn w:val="Normal"/>
    <w:rsid w:val="00F265F4"/>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F265F4"/>
    <w:pPr>
      <w:pBdr>
        <w:left w:val="single" w:sz="4" w:space="0" w:color="auto"/>
        <w:right w:val="single" w:sz="4" w:space="0" w:color="auto"/>
      </w:pBdr>
      <w:shd w:val="clear" w:color="000000" w:fill="CCE8C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Normal"/>
    <w:rsid w:val="00F265F4"/>
    <w:pPr>
      <w:pBdr>
        <w:left w:val="single" w:sz="4" w:space="0" w:color="auto"/>
        <w:right w:val="single" w:sz="4" w:space="0" w:color="auto"/>
      </w:pBdr>
      <w:shd w:val="clear" w:color="000000" w:fill="CCE8C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Normal"/>
    <w:rsid w:val="00F265F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2">
    <w:name w:val="xl92"/>
    <w:basedOn w:val="Normal"/>
    <w:rsid w:val="00F26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Normal"/>
    <w:rsid w:val="00F265F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94">
    <w:name w:val="xl94"/>
    <w:basedOn w:val="Normal"/>
    <w:rsid w:val="00F265F4"/>
    <w:pPr>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F265F4"/>
    <w:pPr>
      <w:pBdr>
        <w:lef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6">
    <w:name w:val="xl96"/>
    <w:basedOn w:val="Normal"/>
    <w:rsid w:val="00F265F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Normal"/>
    <w:rsid w:val="00F265F4"/>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8">
    <w:name w:val="xl98"/>
    <w:basedOn w:val="Normal"/>
    <w:rsid w:val="00F265F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F265F4"/>
    <w:pPr>
      <w:pBdr>
        <w:top w:val="single" w:sz="4" w:space="0" w:color="auto"/>
        <w:left w:val="single" w:sz="4" w:space="0" w:color="auto"/>
        <w:bottom w:val="single" w:sz="4" w:space="0" w:color="auto"/>
        <w:right w:val="single" w:sz="4" w:space="0" w:color="auto"/>
      </w:pBdr>
      <w:shd w:val="clear" w:color="000000" w:fill="9ED3A4"/>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0">
    <w:name w:val="xl100"/>
    <w:basedOn w:val="Normal"/>
    <w:rsid w:val="00F265F4"/>
    <w:pPr>
      <w:pBdr>
        <w:top w:val="single" w:sz="4" w:space="0" w:color="auto"/>
        <w:left w:val="single" w:sz="4" w:space="0" w:color="auto"/>
        <w:bottom w:val="single" w:sz="4" w:space="0" w:color="auto"/>
        <w:right w:val="single" w:sz="4" w:space="0" w:color="auto"/>
      </w:pBdr>
      <w:shd w:val="clear" w:color="000000" w:fill="9ED3A4"/>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styleId="BodyText">
    <w:name w:val="Body Text"/>
    <w:link w:val="BodyTextChar"/>
    <w:qFormat/>
    <w:rsid w:val="004A68F0"/>
    <w:pPr>
      <w:spacing w:before="120" w:after="0" w:line="260" w:lineRule="exact"/>
      <w:ind w:left="1418"/>
    </w:pPr>
    <w:rPr>
      <w:rFonts w:ascii="Verdana" w:eastAsia="Times New Roman" w:hAnsi="Verdana" w:cs="Times New Roman"/>
      <w:sz w:val="20"/>
      <w:szCs w:val="20"/>
    </w:rPr>
  </w:style>
  <w:style w:type="character" w:customStyle="1" w:styleId="BodyTextChar">
    <w:name w:val="Body Text Char"/>
    <w:basedOn w:val="DefaultParagraphFont"/>
    <w:link w:val="BodyText"/>
    <w:rsid w:val="004A68F0"/>
    <w:rPr>
      <w:rFonts w:ascii="Verdana" w:eastAsia="Times New Roman" w:hAnsi="Verdana" w:cs="Times New Roman"/>
      <w:sz w:val="20"/>
      <w:szCs w:val="20"/>
      <w:lang w:val="ro-RO" w:eastAsia="en-GB"/>
    </w:rPr>
  </w:style>
  <w:style w:type="paragraph" w:styleId="PlainText">
    <w:name w:val="Plain Text"/>
    <w:basedOn w:val="Normal"/>
    <w:link w:val="PlainTextChar"/>
    <w:uiPriority w:val="99"/>
    <w:rsid w:val="004A68F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4A68F0"/>
    <w:rPr>
      <w:rFonts w:ascii="Courier New" w:eastAsia="Times New Roman" w:hAnsi="Courier New" w:cs="Courier New"/>
      <w:sz w:val="20"/>
      <w:szCs w:val="20"/>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041348">
      <w:bodyDiv w:val="1"/>
      <w:marLeft w:val="0"/>
      <w:marRight w:val="0"/>
      <w:marTop w:val="0"/>
      <w:marBottom w:val="0"/>
      <w:divBdr>
        <w:top w:val="none" w:sz="0" w:space="0" w:color="auto"/>
        <w:left w:val="none" w:sz="0" w:space="0" w:color="auto"/>
        <w:bottom w:val="none" w:sz="0" w:space="0" w:color="auto"/>
        <w:right w:val="none" w:sz="0" w:space="0" w:color="auto"/>
      </w:divBdr>
    </w:div>
    <w:div w:id="1435515955">
      <w:bodyDiv w:val="1"/>
      <w:marLeft w:val="0"/>
      <w:marRight w:val="0"/>
      <w:marTop w:val="0"/>
      <w:marBottom w:val="0"/>
      <w:divBdr>
        <w:top w:val="none" w:sz="0" w:space="0" w:color="auto"/>
        <w:left w:val="none" w:sz="0" w:space="0" w:color="auto"/>
        <w:bottom w:val="none" w:sz="0" w:space="0" w:color="auto"/>
        <w:right w:val="none" w:sz="0" w:space="0" w:color="auto"/>
      </w:divBdr>
    </w:div>
    <w:div w:id="2087649732">
      <w:bodyDiv w:val="1"/>
      <w:marLeft w:val="0"/>
      <w:marRight w:val="0"/>
      <w:marTop w:val="0"/>
      <w:marBottom w:val="0"/>
      <w:divBdr>
        <w:top w:val="none" w:sz="0" w:space="0" w:color="auto"/>
        <w:left w:val="none" w:sz="0" w:space="0" w:color="auto"/>
        <w:bottom w:val="none" w:sz="0" w:space="0" w:color="auto"/>
        <w:right w:val="none" w:sz="0" w:space="0" w:color="auto"/>
      </w:divBdr>
      <w:divsChild>
        <w:div w:id="137036063">
          <w:marLeft w:val="0"/>
          <w:marRight w:val="0"/>
          <w:marTop w:val="0"/>
          <w:marBottom w:val="0"/>
          <w:divBdr>
            <w:top w:val="none" w:sz="0" w:space="0" w:color="auto"/>
            <w:left w:val="none" w:sz="0" w:space="0" w:color="auto"/>
            <w:bottom w:val="none" w:sz="0" w:space="0" w:color="auto"/>
            <w:right w:val="none" w:sz="0" w:space="0" w:color="auto"/>
          </w:divBdr>
          <w:divsChild>
            <w:div w:id="272906351">
              <w:marLeft w:val="0"/>
              <w:marRight w:val="0"/>
              <w:marTop w:val="0"/>
              <w:marBottom w:val="0"/>
              <w:divBdr>
                <w:top w:val="none" w:sz="0" w:space="0" w:color="auto"/>
                <w:left w:val="none" w:sz="0" w:space="0" w:color="auto"/>
                <w:bottom w:val="none" w:sz="0" w:space="0" w:color="auto"/>
                <w:right w:val="none" w:sz="0" w:space="0" w:color="auto"/>
              </w:divBdr>
              <w:divsChild>
                <w:div w:id="14301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AF6A32-A36A-4BA7-AB5F-AFAE2BFFF09A}">
  <ds:schemaRefs>
    <ds:schemaRef ds:uri="http://schemas.openxmlformats.org/officeDocument/2006/bibliography"/>
  </ds:schemaRefs>
</ds:datastoreItem>
</file>

<file path=customXml/itemProps2.xml><?xml version="1.0" encoding="utf-8"?>
<ds:datastoreItem xmlns:ds="http://schemas.openxmlformats.org/officeDocument/2006/customXml" ds:itemID="{B1C1148B-4F12-4B6F-AB83-99E94834B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22</Pages>
  <Words>7883</Words>
  <Characters>44938</Characters>
  <Application>Microsoft Office Word</Application>
  <DocSecurity>0</DocSecurity>
  <Lines>374</Lines>
  <Paragraphs>105</Paragraphs>
  <ScaleCrop>false</ScaleCrop>
  <HeadingPairs>
    <vt:vector size="2" baseType="variant">
      <vt:variant>
        <vt:lpstr>Titolo</vt:lpstr>
      </vt:variant>
      <vt:variant>
        <vt:i4>1</vt:i4>
      </vt:variant>
    </vt:vector>
  </HeadingPairs>
  <TitlesOfParts>
    <vt:vector size="1" baseType="lpstr">
      <vt:lpstr/>
    </vt:vector>
  </TitlesOfParts>
  <Company>Agenzia delle Dogane</Company>
  <LinksUpToDate>false</LinksUpToDate>
  <CharactersWithSpaces>52716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LAURELLI NICOLA ANTONIO</dc:creator>
  <cp:lastModifiedBy>Ke, Tingting</cp:lastModifiedBy>
  <cp:revision>15</cp:revision>
  <cp:lastPrinted>2018-02-23T12:35:00Z</cp:lastPrinted>
  <dcterms:created xsi:type="dcterms:W3CDTF">2017-03-17T10:07:00Z</dcterms:created>
  <dcterms:modified xsi:type="dcterms:W3CDTF">2018-03-27T02:46:00Z</dcterms:modified>
</cp:coreProperties>
</file>