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FB6E53" w14:paraId="5CD3FC2E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CE15DB0" w14:textId="77777777" w:rsidR="00FB6E53" w:rsidRDefault="00FB6E53" w:rsidP="00FD3014">
            <w:pPr>
              <w:pStyle w:val="SNREPUBLIQUE"/>
            </w:pPr>
            <w:r>
              <w:t xml:space="preserve">REPUBLIKA FRANCUSKA</w:t>
            </w:r>
          </w:p>
        </w:tc>
      </w:tr>
      <w:tr w:rsidR="00FB6E53" w14:paraId="539E9BB1" w14:textId="77777777" w:rsidTr="00FD3014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B7E6958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B9C3FBE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44462FA5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</w:tr>
      <w:tr w:rsidR="00FB6E53" w14:paraId="594C5F7F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6C7AB79" w14:textId="77777777" w:rsidR="00FB6E53" w:rsidRDefault="00FB6E53" w:rsidP="00FD3014">
            <w:pPr>
              <w:pStyle w:val="SNTimbre"/>
            </w:pPr>
            <w:r>
              <w:t xml:space="preserve">Ministerstwo Przemian Ekologicznych</w:t>
            </w:r>
          </w:p>
          <w:p w14:paraId="3509F017" w14:textId="77777777" w:rsidR="00FB6E53" w:rsidRDefault="00FB6E53" w:rsidP="00FD3014">
            <w:pPr>
              <w:pStyle w:val="SNTimbre"/>
            </w:pPr>
          </w:p>
        </w:tc>
      </w:tr>
      <w:tr w:rsidR="00FB6E53" w14:paraId="325B9B32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1F86D5E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12888E03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BBCBAEB" w14:textId="77777777" w:rsidR="00FB6E53" w:rsidRDefault="00FB6E53" w:rsidP="00FD3014">
            <w:pPr>
              <w:snapToGrid w:val="0"/>
            </w:pPr>
          </w:p>
        </w:tc>
      </w:tr>
      <w:tr w:rsidR="00FB6E53" w14:paraId="685B030A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F5D8E20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3224DF9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616161D" w14:textId="77777777" w:rsidR="00FB6E53" w:rsidRDefault="00FB6E53" w:rsidP="00FD3014">
            <w:pPr>
              <w:snapToGrid w:val="0"/>
            </w:pPr>
          </w:p>
        </w:tc>
      </w:tr>
    </w:tbl>
    <w:p w14:paraId="069092CB" w14:textId="77777777" w:rsidR="00FB6E53" w:rsidRDefault="00FB6E53" w:rsidP="00FB6E53">
      <w:pPr>
        <w:pStyle w:val="SNNature"/>
      </w:pPr>
      <w:r>
        <w:t xml:space="preserve">Dekret nr 2022-...</w:t>
      </w:r>
      <w:r>
        <w:t xml:space="preserve">                         </w:t>
      </w:r>
      <w:r>
        <w:t xml:space="preserve">z dnia...</w:t>
      </w:r>
    </w:p>
    <w:p w14:paraId="735C2865" w14:textId="77777777" w:rsidR="00FB6E53" w:rsidRDefault="00902234" w:rsidP="00FB6E53">
      <w:pPr>
        <w:pStyle w:val="SNtitre"/>
      </w:pPr>
      <w:r>
        <w:t xml:space="preserve">w sprawie kompensacji emisji dwutlenku węgla i stwierdzeń dotyczących neutralności pod względem emisji dwutlenku węgla w reklamie</w:t>
      </w:r>
    </w:p>
    <w:p w14:paraId="3186A2CD" w14:textId="77777777" w:rsidR="00FB6E53" w:rsidRDefault="00FB6E53" w:rsidP="00FB6E53">
      <w:pPr>
        <w:pStyle w:val="SNNORCentr"/>
        <w:rPr>
          <w:i/>
        </w:rPr>
      </w:pPr>
      <w:r>
        <w:t xml:space="preserve">REPREZENTANT POWIADAMIAJĄCY:</w:t>
      </w:r>
      <w:r>
        <w:t xml:space="preserve"> </w:t>
      </w:r>
      <w:r>
        <w:t xml:space="preserve">[…]</w:t>
      </w:r>
    </w:p>
    <w:p w14:paraId="152072E9" w14:textId="77777777" w:rsidR="00FB6E53" w:rsidRPr="002808A7" w:rsidRDefault="00FB6E53" w:rsidP="00FB6E53">
      <w:pPr>
        <w:pStyle w:val="SNAutorit"/>
        <w:jc w:val="both"/>
        <w:rPr>
          <w:b w:val="0"/>
          <w:i/>
        </w:rPr>
      </w:pPr>
      <w:r>
        <w:rPr>
          <w:i/>
        </w:rPr>
        <w:t xml:space="preserve">Grupa docelowa: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Reklamodawcy</w:t>
      </w:r>
      <w:r>
        <w:rPr>
          <w:i/>
          <w:b w:val="0"/>
        </w:rPr>
        <w:t xml:space="preserve"> </w:t>
      </w:r>
    </w:p>
    <w:p w14:paraId="18E4FF5B" w14:textId="77777777" w:rsidR="00FB6E53" w:rsidRPr="002808A7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Przedmiot: </w:t>
      </w:r>
      <w:r>
        <w:rPr>
          <w:i/>
          <w:b w:val="0"/>
        </w:rPr>
        <w:t xml:space="preserve">stosowanie art. 12 ustawy nr 2021-1104 z dnia 22 sierpnia 2021 r. o zwalczaniu zmiany klimatu i wzmacniania odporności na jej skutki.</w:t>
      </w:r>
    </w:p>
    <w:p w14:paraId="24250E11" w14:textId="77777777" w:rsidR="00FB6E53" w:rsidRPr="00AC1942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Wejście w życie: </w:t>
      </w:r>
      <w:r>
        <w:rPr>
          <w:i/>
          <w:b w:val="0"/>
        </w:rPr>
        <w:t xml:space="preserve">tekst wchodzi w życie następnego dnia po jego opublikowaniu, z wyjątkiem art. 2 i 3, które wchodzą w życie z dniem 1 stycznia 2023 r.</w:t>
      </w:r>
    </w:p>
    <w:p w14:paraId="3C996B02" w14:textId="77777777" w:rsidR="00FB6E53" w:rsidRPr="009F1E9F" w:rsidRDefault="009F1E9F" w:rsidP="009F1E9F">
      <w:pPr>
        <w:pStyle w:val="SNAutorit"/>
        <w:spacing w:before="120"/>
        <w:jc w:val="both"/>
        <w:rPr>
          <w:b w:val="0"/>
          <w:i/>
        </w:rPr>
      </w:pPr>
      <w:r>
        <w:rPr>
          <w:i/>
        </w:rPr>
        <w:t xml:space="preserve">Uwaga:</w:t>
      </w:r>
      <w:r>
        <w:rPr>
          <w:i/>
        </w:rPr>
        <w:t xml:space="preserve"> </w:t>
      </w:r>
      <w:r>
        <w:rPr>
          <w:i/>
          <w:b w:val="0"/>
        </w:rPr>
        <w:t xml:space="preserve">Niniejszy dekret określa sposób przekazywania przez reklamodawców informacji, o których mowa w art. 12 wspomnianej ustawy nr 2021-1104.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Ma ona zastosowanie do wszystkich reklam emitowanych po wejściu w życie tekstu.</w:t>
      </w:r>
      <w:r>
        <w:rPr>
          <w:i/>
        </w:rPr>
        <w:t xml:space="preserve"> </w:t>
      </w:r>
    </w:p>
    <w:p w14:paraId="64AAF47B" w14:textId="77777777" w:rsidR="00FB6E53" w:rsidRDefault="00FB6E53" w:rsidP="00FB6E53">
      <w:pPr>
        <w:pStyle w:val="SNAutorit"/>
        <w:spacing w:before="120"/>
        <w:jc w:val="both"/>
      </w:pPr>
      <w:r>
        <w:rPr>
          <w:i/>
        </w:rPr>
        <w:t xml:space="preserve">Referencje: </w:t>
      </w:r>
      <w:r>
        <w:rPr>
          <w:i/>
          <w:b w:val="0"/>
        </w:rPr>
        <w:t xml:space="preserve">przepisy dekretu zostały przyjęte w celu zastosowania art. 12 ustawy nr 2021-1104 z dnia 22 sierpnia 2021 r. o zwalczaniu zmiany klimatu i wzmacnianiu odporności na jej skutki.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Przedmiotową ustawę i dekret można znaleźć na stronie internetowej Légifrance (http://www.legifrance.gouv.fr).</w:t>
      </w:r>
    </w:p>
    <w:p w14:paraId="0D71FAD6" w14:textId="77777777" w:rsidR="00FB6E53" w:rsidRDefault="00FB6E53" w:rsidP="00FB6E53">
      <w:pPr>
        <w:pStyle w:val="SNAutorit"/>
      </w:pPr>
      <w:r>
        <w:t xml:space="preserve">Premier,</w:t>
      </w:r>
    </w:p>
    <w:p w14:paraId="68B0A9A6" w14:textId="77777777" w:rsidR="00FB6E53" w:rsidRDefault="00FB6E53" w:rsidP="00FB6E53">
      <w:pPr>
        <w:pStyle w:val="SNRapport"/>
      </w:pPr>
      <w:r>
        <w:t xml:space="preserve">na podstawie sprawozdania Minister Transformacji Ekologicznej,</w:t>
      </w:r>
    </w:p>
    <w:p w14:paraId="5C693133" w14:textId="77777777" w:rsidR="0099494E" w:rsidRPr="0099494E" w:rsidRDefault="0099494E" w:rsidP="001E3BBD">
      <w:pPr>
        <w:pStyle w:val="SNRapport"/>
        <w:ind w:left="708" w:firstLine="12"/>
      </w:pPr>
      <w:r>
        <w:t xml:space="preserve">uwzględniając dyrektywę Parlamentu Europejskiego i Rady (UE) 2015/1535 z dnia 9 września 2015 r. ustanawiającą procedurę udzielania informacji w dziedzinie przepisów technicznych oraz zasad dotyczących usług społeczeństwa informacyjnego (tekst jednolity), w szczególności zgłoszenie nr xxx,</w:t>
      </w:r>
    </w:p>
    <w:p w14:paraId="4A9160F2" w14:textId="77777777" w:rsidR="008C2EFB" w:rsidRDefault="008C2EFB" w:rsidP="00FB6E53">
      <w:pPr>
        <w:pStyle w:val="SNRapport"/>
      </w:pPr>
      <w:r>
        <w:t xml:space="preserve">uwzględniając kodeks środowiskowy,</w:t>
      </w:r>
    </w:p>
    <w:p w14:paraId="46410193" w14:textId="77777777" w:rsidR="00FB6E53" w:rsidRDefault="00FB6E53" w:rsidP="00FB6E53">
      <w:pPr>
        <w:pStyle w:val="SNVisa"/>
        <w:ind w:left="708" w:firstLine="12"/>
      </w:pPr>
      <w:r>
        <w:t xml:space="preserve">uwzględniając ustawę nr 2021-1104 z dnia 22 sierpnia 2021 r. w sprawie przeciwdziałania zmianie klimatu i wzmocnienia odporności na jej skutki, w szczególności jej art. 12 i 147,</w:t>
      </w:r>
    </w:p>
    <w:p w14:paraId="46E64030" w14:textId="77777777" w:rsidR="00DA728B" w:rsidRDefault="00DA728B" w:rsidP="00DA728B">
      <w:pPr>
        <w:pStyle w:val="SNVisa"/>
        <w:ind w:left="708" w:firstLine="12"/>
        <w:jc w:val="both"/>
      </w:pPr>
      <w:r>
        <w:t xml:space="preserve">uwzględniając dekret nr 97-1198 z dnia 19 grudnia 1997 r. wdrażający art. 2 akapit pierwszy dekretu nr 97-34 z dnia 15 stycznia 1997 r. w sprawie dekoncentracji indywidualnych decyzji administracyjnych na rzecz ministrów odpowiedzialnych za transformację ekologiczną i solidarną, spójność terytorialną oraz stosunki z władzami lokalnymi i regionalnymi,</w:t>
      </w:r>
    </w:p>
    <w:p w14:paraId="0A395ED6" w14:textId="77777777" w:rsidR="00FB6E53" w:rsidRPr="00FB6E53" w:rsidRDefault="00FB6E53" w:rsidP="00FB6E53">
      <w:pPr>
        <w:pStyle w:val="SNVisa"/>
        <w:ind w:left="708" w:firstLine="12"/>
      </w:pPr>
      <w:r>
        <w:t xml:space="preserve">uwzględniając dekret nr 2020-457 z dnia 21 kwietnia 2020 r. w sprawie krajowych budżetów emisji dwutlenku węgla i krajowej strategii niskoemisyjnej,</w:t>
      </w:r>
    </w:p>
    <w:p w14:paraId="55F7F2B6" w14:textId="77777777" w:rsidR="00FB6E53" w:rsidRDefault="00FB6E53" w:rsidP="00FB6E53">
      <w:pPr>
        <w:pStyle w:val="SNVisa"/>
        <w:ind w:left="708" w:firstLine="12"/>
      </w:pPr>
      <w:r>
        <w:t xml:space="preserve">uwzględniając uwagi zgłoszone podczas konsultacji społecznych przeprowadzonych między XX i XX, zgodnie z art. L. 123-19-1 kodeksu ochrony środowiska,</w:t>
      </w:r>
    </w:p>
    <w:p w14:paraId="24270816" w14:textId="77777777" w:rsidR="007B2607" w:rsidRPr="00975B1D" w:rsidRDefault="007B2607" w:rsidP="007B2607">
      <w:pPr>
        <w:pStyle w:val="SNVisa"/>
        <w:ind w:left="708" w:firstLine="12"/>
      </w:pPr>
      <w:r>
        <w:t xml:space="preserve">Po wysłuchaniu Rady Stanu,</w:t>
      </w:r>
    </w:p>
    <w:p w14:paraId="086DF0EA" w14:textId="77777777" w:rsidR="007B2607" w:rsidRDefault="007B2607" w:rsidP="00FB6E53">
      <w:pPr>
        <w:pStyle w:val="SNVisa"/>
        <w:ind w:left="708" w:firstLine="12"/>
        <w:rPr>
          <w:lang w:eastAsia="fr-FR"/>
        </w:rPr>
      </w:pPr>
    </w:p>
    <w:p w14:paraId="7CBFE7F8" w14:textId="77777777" w:rsidR="00E075D6" w:rsidRPr="00FB6E53" w:rsidRDefault="00E075D6" w:rsidP="00FB6E53">
      <w:pPr>
        <w:pStyle w:val="SNVisa"/>
        <w:ind w:left="708" w:firstLine="12"/>
        <w:rPr>
          <w:lang w:eastAsia="fr-FR"/>
        </w:rPr>
      </w:pPr>
    </w:p>
    <w:p w14:paraId="69330050" w14:textId="77777777" w:rsidR="00FB6E53" w:rsidRDefault="00FB6E53" w:rsidP="00FB6E53">
      <w:pPr>
        <w:pStyle w:val="SNActe"/>
      </w:pPr>
      <w:r>
        <w:t xml:space="preserve">Postanawia, co następuje:</w:t>
      </w:r>
    </w:p>
    <w:p w14:paraId="649FFA91" w14:textId="77777777" w:rsidR="00FB6E53" w:rsidRDefault="00FB6E53" w:rsidP="00FB6E53">
      <w:pPr>
        <w:jc w:val="both"/>
        <w:rPr>
          <w:color w:val="000000"/>
        </w:rPr>
      </w:pPr>
    </w:p>
    <w:p w14:paraId="685C7007" w14:textId="77777777" w:rsidR="007B2607" w:rsidRPr="007C21D8" w:rsidRDefault="007B2607" w:rsidP="007B2607">
      <w:pPr>
        <w:pStyle w:val="SNArticle"/>
      </w:pPr>
      <w:r>
        <w:t xml:space="preserve">Artykuł 1</w:t>
      </w:r>
    </w:p>
    <w:p w14:paraId="3D42B733" w14:textId="77777777" w:rsidR="007B2607" w:rsidRPr="007C21D8" w:rsidRDefault="007B2607" w:rsidP="007B2607">
      <w:pPr>
        <w:jc w:val="both"/>
      </w:pPr>
      <w:r>
        <w:t xml:space="preserve">W tytule II rozdział IX księgi II kodeksu środowiska dodaje się sekcję 7 w brzmieniu:</w:t>
      </w:r>
    </w:p>
    <w:p w14:paraId="437B06A1" w14:textId="77777777" w:rsidR="007B2607" w:rsidRPr="007C21D8" w:rsidRDefault="007B2607" w:rsidP="007B2607">
      <w:pPr>
        <w:jc w:val="both"/>
      </w:pPr>
    </w:p>
    <w:p w14:paraId="61BA25EE" w14:textId="77777777" w:rsidR="007B2607" w:rsidRPr="00175048" w:rsidRDefault="007B2607" w:rsidP="007B2607">
      <w:r>
        <w:t xml:space="preserve">„Sekcja 7:</w:t>
      </w:r>
      <w:r>
        <w:t xml:space="preserve"> </w:t>
      </w:r>
      <w:r>
        <w:t xml:space="preserve">Redukcja emisji z projektów kompensacji emisji gazów cieplarnianych</w:t>
      </w:r>
    </w:p>
    <w:p w14:paraId="3D4DF454" w14:textId="77777777" w:rsidR="007B2607" w:rsidRDefault="007B2607" w:rsidP="007B2607"/>
    <w:p w14:paraId="72A2FE53" w14:textId="77777777" w:rsidR="007B2607" w:rsidRDefault="007B2607" w:rsidP="007B2607">
      <w:pPr>
        <w:jc w:val="both"/>
      </w:pPr>
      <w:r>
        <w:t xml:space="preserve">Artykuł R. 229-103.- Zasady określone w art. L. 229-55 muszą być zgodne z następującymi procedurami wykonawczymi:</w:t>
      </w:r>
    </w:p>
    <w:p w14:paraId="72039EC0" w14:textId="77777777" w:rsidR="007B2607" w:rsidRDefault="007B2607" w:rsidP="007B2607">
      <w:pPr>
        <w:jc w:val="both"/>
      </w:pPr>
    </w:p>
    <w:p w14:paraId="0FEE1B79" w14:textId="77777777" w:rsidR="007B2607" w:rsidRDefault="007B2607" w:rsidP="007B2607">
      <w:pPr>
        <w:spacing w:after="160" w:line="259" w:lineRule="auto"/>
        <w:jc w:val="both"/>
      </w:pPr>
      <w:r>
        <w:t xml:space="preserve">Mierzalny charakter: emisje gazów cieplarnianych, których uniknięto lub sekwestrowano w ramach projektów, określa się ilościowo w oparciu o przejrzystą i publicznie dostępną metodologię.</w:t>
      </w:r>
      <w:r>
        <w:t xml:space="preserve"> </w:t>
      </w:r>
      <w:r>
        <w:t xml:space="preserve">Metoda oznaczania ilościowego opiera się na najnowszej wiedzy naukowej i technicznej.</w:t>
      </w:r>
      <w:r>
        <w:t xml:space="preserve"> </w:t>
      </w:r>
      <w:r>
        <w:t xml:space="preserve">Dane pomiarowe są wyraźnie udokumentowane i można je zweryfikować.</w:t>
      </w:r>
      <w:r>
        <w:t xml:space="preserve"> </w:t>
      </w:r>
      <w:r>
        <w:t xml:space="preserve">Metodyka, do której odnosi się projekt kompensacji, określa scenariusz odniesienia, na podstawie którego oblicza się redukcje emisji wygenerowane w ramach projektu.</w:t>
      </w:r>
      <w:r>
        <w:t xml:space="preserve"> </w:t>
      </w:r>
      <w:r>
        <w:t xml:space="preserve">Scenariusz odniesienia musi obejmować cały projekt i odzwierciedlać niedawną tendencję w zakresie emisji gazów cieplarnianych oraz stosowanie istniejących najlepszych praktyk.</w:t>
      </w:r>
    </w:p>
    <w:p w14:paraId="3CA09DD7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Weryfikowalny charakter: uniknięte lub sekwestrowane emisje gazów cieplarnianych są weryfikowane przez audytora, który jest niezależny od sponsora projektu.</w:t>
      </w:r>
      <w:r>
        <w:t xml:space="preserve"> </w:t>
      </w:r>
      <w:r>
        <w:t xml:space="preserve">Na podstawie kontroli dokumentacji lub kontroli na miejscu audytor zatwierdza redukcję emisji gazów cieplarnianych, którą można osiągnąć za pomocą działań realizowanych w trakcie realizacji projektu.</w:t>
      </w:r>
    </w:p>
    <w:p w14:paraId="78D41360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Stały charakter: trwale unika się emisji gazów cieplarnianych, których uniknięto lub sekwestruje się w ramach projektów kompensacyjnych.</w:t>
      </w:r>
      <w:r>
        <w:t xml:space="preserve"> </w:t>
      </w:r>
      <w:r>
        <w:t xml:space="preserve">W stosownych przypadkach przy pomocy metody oznaczania ilościowego uwzględnia się ryzyko nietrwałości.</w:t>
      </w:r>
    </w:p>
    <w:p w14:paraId="7AF834A5" w14:textId="77777777" w:rsidR="007B2607" w:rsidRDefault="007B2607" w:rsidP="007B2607">
      <w:pPr>
        <w:spacing w:after="160" w:line="259" w:lineRule="auto"/>
        <w:jc w:val="both"/>
      </w:pPr>
      <w:r>
        <w:t xml:space="preserve">Charakter dodatkowy: projekty kompensacyjne nie mogłyby zostać zrealizowane bez specjalnego finansowania, z uwzględnieniem istniejących zachęt gospodarczych, dobrych praktyk i mających zastosowanie zobowiązań.</w:t>
      </w:r>
    </w:p>
    <w:p w14:paraId="1F089800" w14:textId="77777777" w:rsidR="007B2607" w:rsidRDefault="007B2607" w:rsidP="007B2607">
      <w:pPr>
        <w:spacing w:after="160" w:line="259" w:lineRule="auto"/>
        <w:jc w:val="both"/>
      </w:pPr>
    </w:p>
    <w:p w14:paraId="27BC0DCB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Artykuł R. 229-104.– Projekty kompensacyjne są zgodne z zasadą przejrzystości.</w:t>
      </w:r>
      <w:r>
        <w:t xml:space="preserve"> </w:t>
      </w:r>
      <w:r>
        <w:t xml:space="preserve">Metodyka, do której odnosi się projekt kompensacji, oraz elementy opisowe projektu, w szczególności w zakresie identyfikacji, lokalizacji i rozliczania redukcji emisji gazów cieplarnianych, są publicznie dostępne i łatwo dostępne.”</w:t>
      </w:r>
    </w:p>
    <w:p w14:paraId="7469FDC2" w14:textId="77777777" w:rsidR="007B2607" w:rsidRDefault="007B2607" w:rsidP="00FB6E53">
      <w:pPr>
        <w:pStyle w:val="SNArticle"/>
        <w:rPr>
          <w:bCs/>
        </w:rPr>
      </w:pPr>
    </w:p>
    <w:p w14:paraId="2138F397" w14:textId="77777777" w:rsidR="00FB6E53" w:rsidRDefault="00FB6E53" w:rsidP="00FB6E53">
      <w:pPr>
        <w:pStyle w:val="SNArticle"/>
        <w:rPr>
          <w:bCs/>
        </w:rPr>
      </w:pPr>
      <w:r>
        <w:t xml:space="preserve">Artykuł 2</w:t>
      </w:r>
    </w:p>
    <w:p w14:paraId="20E5A1ED" w14:textId="77777777" w:rsidR="002C342A" w:rsidRDefault="002C342A" w:rsidP="002C342A">
      <w:pPr>
        <w:pStyle w:val="BodyText"/>
      </w:pPr>
      <w:r>
        <w:t xml:space="preserve">Rozdział IX tytułu II księgi II kodeksu ochrony środowiska uzupełnia się sekcją 9 w następujący sposób:</w:t>
      </w:r>
    </w:p>
    <w:p w14:paraId="2481D22C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„Sekcja 9</w:t>
      </w:r>
    </w:p>
    <w:p w14:paraId="2368A9FE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„Stwierdzenia dotyczące ochrony środowiska”</w:t>
      </w:r>
    </w:p>
    <w:p w14:paraId="014E3E1C" w14:textId="77777777" w:rsidR="002C342A" w:rsidRPr="007B2607" w:rsidRDefault="002C342A" w:rsidP="00FB6E53">
      <w:pPr>
        <w:pStyle w:val="BodyText"/>
        <w:spacing w:after="0"/>
        <w:rPr>
          <w:bCs/>
        </w:rPr>
      </w:pPr>
      <w:r>
        <w:t xml:space="preserve">Artykuł D. 229-105.— Reklamodawca, który twierdzi w reklamie, że produkt lub usługa jest neutralna pod względem emisji dwutlenku węgla lub używa jakiegokolwiek sformułowania o równoważnym znaczeniu lub zakresie, stosuje się do postanowień niniejszej sekcji.</w:t>
      </w:r>
    </w:p>
    <w:p w14:paraId="31B15A91" w14:textId="77777777" w:rsidR="00EC0B91" w:rsidRPr="007B2607" w:rsidRDefault="00EC0B91" w:rsidP="00FB6E53">
      <w:pPr>
        <w:pStyle w:val="BodyText"/>
        <w:spacing w:after="0"/>
        <w:rPr>
          <w:bCs/>
        </w:rPr>
      </w:pPr>
    </w:p>
    <w:p w14:paraId="7BEC2E76" w14:textId="77777777" w:rsidR="00EC0B91" w:rsidRPr="007B2607" w:rsidRDefault="008C2EFB" w:rsidP="00FB6E53">
      <w:pPr>
        <w:pStyle w:val="BodyText"/>
        <w:spacing w:after="0"/>
        <w:rPr>
          <w:bCs/>
        </w:rPr>
      </w:pPr>
      <w:r>
        <w:t xml:space="preserve">Niniejsza sekcja dotyczy korespondencji reklamowej skierowanej do osób fizycznych, druków reklamowych rozpowszechnianych publicznie, plakatów reklamowych, reklam w publikacjach prasowych, reklam nadawanych w kinach, reklam emitowanych przez telewizję lub usługi nadawcze i za pośrednictwem usług komunikacji z publicznością online, a także na stwierdzeń przytwierdzonych do opakowań towarów.</w:t>
      </w:r>
    </w:p>
    <w:p w14:paraId="2EBF5CA4" w14:textId="77777777" w:rsidR="002C342A" w:rsidRPr="007B2607" w:rsidRDefault="002C342A" w:rsidP="00FB6E53">
      <w:pPr>
        <w:pStyle w:val="BodyText"/>
        <w:spacing w:after="0"/>
        <w:rPr>
          <w:bCs/>
        </w:rPr>
      </w:pPr>
    </w:p>
    <w:p w14:paraId="7E51D3DE" w14:textId="77777777" w:rsidR="00BB26CE" w:rsidRPr="007B2607" w:rsidRDefault="002C342A" w:rsidP="00FB6E53">
      <w:pPr>
        <w:pStyle w:val="BodyText"/>
        <w:spacing w:after="0"/>
        <w:rPr>
          <w:bCs/>
        </w:rPr>
      </w:pPr>
      <w:r>
        <w:t xml:space="preserve">Artykuł D. 229-106.— Reklamodawca, o którym mowa w art. D. 229-105, sporządza bilans emisji gazów cieplarnianych dla danego produktu lub usługi obejmujący cały jego cykl życia.</w:t>
      </w:r>
      <w:r>
        <w:t xml:space="preserve"> </w:t>
      </w:r>
      <w:r>
        <w:t xml:space="preserve">Bilans ten jest aktualizowany corocznie.</w:t>
      </w:r>
      <w:r>
        <w:t xml:space="preserve"> </w:t>
      </w:r>
    </w:p>
    <w:p w14:paraId="2439F91D" w14:textId="77777777" w:rsidR="00BB26CE" w:rsidRPr="007B2607" w:rsidRDefault="00BB26CE" w:rsidP="00FB6E53">
      <w:pPr>
        <w:pStyle w:val="BodyText"/>
        <w:spacing w:after="0"/>
        <w:rPr>
          <w:bCs/>
        </w:rPr>
      </w:pPr>
    </w:p>
    <w:p w14:paraId="5F16A4FA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Bilans ten sporządza się zgodnie z wymogami normy NF EN ISO 14067 lub jakiejkolwiek innej normy zgodnej z wymogami tej normy.</w:t>
      </w:r>
      <w:r>
        <w:t xml:space="preserve"> </w:t>
      </w:r>
      <w:r>
        <w:t xml:space="preserve">Zarządzenie ministra właściwego do spraw środowiska może uzupełnić te wymogi w celu dostosowania metodologii bilansu emisji do metodyki oznakowania ekologicznego, o której mowa w art. L. 541-9-11 niniejszego kodeksu.</w:t>
      </w:r>
      <w:r>
        <w:t xml:space="preserve"> </w:t>
      </w:r>
    </w:p>
    <w:p w14:paraId="02C3E3B0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0029AC0" w14:textId="77777777" w:rsidR="000911C8" w:rsidRDefault="000911C8" w:rsidP="00FB6E53">
      <w:pPr>
        <w:pStyle w:val="BodyText"/>
        <w:spacing w:after="0"/>
        <w:rPr>
          <w:bCs/>
        </w:rPr>
      </w:pPr>
      <w:r>
        <w:t xml:space="preserve">„Artykuł D. 229-107.</w:t>
      </w:r>
      <w:r>
        <w:t xml:space="preserve"> </w:t>
      </w:r>
      <w:r>
        <w:t xml:space="preserve">— Reklamodawca, o którym mowa w art. D. 229-105, publikuje na swojej stronie internetowej publicznego przekazu lub, w przypadku jej braku, w aplikacji mobilnej sprawozdanie podsumowujące ślad węglowy reklamowanego produktu lub usługi oraz środki, za pomocą których przede wszystkim unika się, a następnie zmniejsza i ostatecznie kompensuje te emisje gazów cieplarnianych.</w:t>
      </w:r>
      <w:r>
        <w:t xml:space="preserve"> </w:t>
      </w:r>
      <w:r>
        <w:t xml:space="preserve">Sprawozdanie to zawiera trzy załączniki szczegółowo określające jego treść i przedstawione w następującej kolejności:</w:t>
      </w:r>
    </w:p>
    <w:p w14:paraId="6EF779FD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70FBF45" w14:textId="77777777" w:rsidR="000911C8" w:rsidRDefault="008C2EFB" w:rsidP="00FB6E53">
      <w:pPr>
        <w:pStyle w:val="BodyText"/>
        <w:spacing w:after="0"/>
        <w:rPr>
          <w:bCs/>
        </w:rPr>
      </w:pPr>
      <w:r>
        <w:t xml:space="preserve">(1) załącznik określający wyniki bilansu przewidzianego w art. D. 229-106 oraz podsumowanie metodyki stosowanej do sporządzania tego bilansu.</w:t>
      </w:r>
      <w:r>
        <w:t xml:space="preserve"> </w:t>
      </w:r>
      <w:r>
        <w:t xml:space="preserve">W podsumowaniu tym określa się w szczególności zakres definicji danego produktu lub usługi, wykorzystywane jednostki funkcjonalne lub deklarowane, granice danego systemu, metodę przetwarzania etapu wycofania z eksploatacji, dane dotyczące emisji uwzględnione w odniesieniu do energii elektrycznej lub gazu zużytego z sieci.</w:t>
      </w:r>
      <w:r>
        <w:t xml:space="preserve"> </w:t>
      </w:r>
      <w:r>
        <w:t xml:space="preserve">Określa się w nim kraj lub obszary geograficzne, w których mają miejsce emisje i emisje z transportu międzynarodowego, w zakresie, w jakim dane te są dostępne,</w:t>
      </w:r>
    </w:p>
    <w:p w14:paraId="22298453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DC617DB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(2) załącznik określający docelową ścieżkę redukcji emisji gazów cieplarnianych związanych z reklamowanym produktem lub usługą, wraz z określonymi ilościowo rocznymi celami w zakresie postępów, obejmującą co najmniej dziesięć lat po opublikowaniu sprawozdania,</w:t>
      </w:r>
    </w:p>
    <w:p w14:paraId="238DECC6" w14:textId="77777777" w:rsidR="006E7C91" w:rsidRPr="007B2607" w:rsidRDefault="008C2EFB" w:rsidP="00FB6E53">
      <w:pPr>
        <w:pStyle w:val="BodyText"/>
        <w:spacing w:after="0"/>
        <w:rPr>
          <w:bCs/>
        </w:rPr>
      </w:pPr>
      <w:r>
        <w:t xml:space="preserve">(3) załącznik wyszczególniający procedury kompensacji emisji resztkowych, określający w szczególności charakter i opis projektów kompensacyjnych.</w:t>
      </w:r>
      <w:r>
        <w:t xml:space="preserve"> </w:t>
      </w:r>
      <w:r>
        <w:t xml:space="preserve">W załączniku tym można również dobrowolnie przedstawiać informacje na temat ich kosztów (ogółem i na tonę CO</w:t>
      </w:r>
      <w:r>
        <w:rPr>
          <w:vertAlign w:val="subscript"/>
        </w:rPr>
        <w:t xml:space="preserve">2</w:t>
      </w:r>
      <w:r>
        <w:t xml:space="preserve">).</w:t>
      </w:r>
      <w:r>
        <w:t xml:space="preserve"> </w:t>
      </w:r>
      <w:r>
        <w:t xml:space="preserve">W załączniku wykazuje się, że wielkość emisji, której uniknięto lub zmniejszono dzięki tej kompensacji, odpowiada emisjom resztkowym wszystkich sprzedawanych produktów lub usług objętych reklamą.</w:t>
      </w:r>
      <w:r>
        <w:t xml:space="preserve">  </w:t>
      </w:r>
      <w:r>
        <w:t xml:space="preserve">W załączniku określa się również środki wdrożone przez reklamodawcę w celu zapewnienia, że nie będzie on podwójnie odliczał rekompensaty wynikającej z tych projektów.</w:t>
      </w:r>
      <w:r>
        <w:t xml:space="preserve"> </w:t>
      </w:r>
      <w:r>
        <w:t xml:space="preserve">W szczególności określono w nim metody usuwania redukcji emisji z rynku w przypadku stosowania kompensacji jednostek emisji.</w:t>
      </w:r>
      <w:r>
        <w:t xml:space="preserve"> </w:t>
      </w:r>
      <w:r>
        <w:t xml:space="preserve">Ponadto w załączniku wyszczególnia się wysiłki podjęte w celu zapewnienia jak największej spójności między obszarami geograficznymi, na których realizowane są projekty, a obszarami, na których realizowane są emisje.</w:t>
      </w:r>
    </w:p>
    <w:p w14:paraId="16C134F5" w14:textId="77777777" w:rsidR="00E478EA" w:rsidRPr="007B2607" w:rsidRDefault="00E478EA" w:rsidP="00FB6E53">
      <w:pPr>
        <w:pStyle w:val="BodyText"/>
        <w:spacing w:after="0"/>
        <w:rPr>
          <w:bCs/>
        </w:rPr>
      </w:pPr>
    </w:p>
    <w:p w14:paraId="0D196A5B" w14:textId="77777777" w:rsidR="00865CE0" w:rsidRPr="007B2607" w:rsidRDefault="008C2EFB" w:rsidP="00FB6E53">
      <w:pPr>
        <w:pStyle w:val="BodyText"/>
        <w:spacing w:after="0"/>
        <w:rPr>
          <w:bCs/>
        </w:rPr>
      </w:pPr>
      <w:r>
        <w:t xml:space="preserve">Publikacja ta jest aktualizowana corocznie przez cały okres wprowadzania produktu lub usługi do obrotu.</w:t>
      </w:r>
      <w:r>
        <w:t xml:space="preserve"> </w:t>
      </w:r>
      <w:r>
        <w:t xml:space="preserve">W szczególności aktualizacja umożliwia monitorowanie ewolucji emisji związanych z produktem lub usługą w porównaniu ze ścieżką redukcji, o której mowa powyżej.</w:t>
      </w:r>
      <w:r>
        <w:t xml:space="preserve"> </w:t>
      </w:r>
      <w:r>
        <w:t xml:space="preserve">Reklamodawca będzie musiał wycofać stwierdzenie, o którym mowa w art. D. 229-105, jeżeli okaże się, że emisja jednostkowa związana z produktem lub usługą przed zwiększeniem rekompensaty przez dwa kolejne lata.</w:t>
      </w:r>
      <w:r>
        <w:t xml:space="preserve"> </w:t>
      </w:r>
    </w:p>
    <w:p w14:paraId="2311E640" w14:textId="77777777" w:rsidR="00865CE0" w:rsidRPr="007B2607" w:rsidRDefault="00865CE0" w:rsidP="00FB6E53">
      <w:pPr>
        <w:pStyle w:val="BodyText"/>
        <w:spacing w:after="0"/>
        <w:rPr>
          <w:bCs/>
        </w:rPr>
      </w:pPr>
    </w:p>
    <w:p w14:paraId="00BAD9C7" w14:textId="77777777" w:rsidR="00E478EA" w:rsidRPr="007B2607" w:rsidRDefault="008C2EFB" w:rsidP="00FB6E53">
      <w:pPr>
        <w:pStyle w:val="BodyText"/>
        <w:spacing w:after="0"/>
        <w:rPr>
          <w:bCs/>
        </w:rPr>
      </w:pPr>
      <w:r>
        <w:t xml:space="preserve">Łącze do strony internetowej lub kod szybkiego reagowania (kod QR) umożliwiający dostęp do tej publikacji jest podany na reklamie lub opakowaniu z informacją o neutralności pod względem emisji dwutlenku węgla.</w:t>
      </w:r>
      <w:r>
        <w:t xml:space="preserve"> </w:t>
      </w:r>
    </w:p>
    <w:p w14:paraId="1B41676F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729D362" w14:textId="77777777" w:rsidR="00BE3757" w:rsidRDefault="00CE28B0" w:rsidP="00BE3757">
      <w:pPr>
        <w:jc w:val="both"/>
      </w:pPr>
      <w:r>
        <w:t xml:space="preserve">„Artykuł D. 229-108.</w:t>
      </w:r>
      <w:r>
        <w:t xml:space="preserve"> </w:t>
      </w:r>
      <w:r>
        <w:t xml:space="preserve">— Projekty kompensacyjne wykorzystywane przez reklamodawcę, o których mowa w art. D. 229-105, spełniają warunki określone w art. R. 229-103 i R. 229-104.</w:t>
      </w:r>
    </w:p>
    <w:p w14:paraId="5A9F3592" w14:textId="77777777" w:rsidR="0061349E" w:rsidRPr="007B2607" w:rsidRDefault="0061349E" w:rsidP="00BE3757">
      <w:pPr>
        <w:jc w:val="both"/>
      </w:pPr>
    </w:p>
    <w:p w14:paraId="28D717D4" w14:textId="77777777" w:rsidR="0061349E" w:rsidRDefault="0061349E" w:rsidP="0061349E">
      <w:pPr>
        <w:pStyle w:val="BodyText"/>
        <w:spacing w:after="0"/>
      </w:pPr>
      <w:r>
        <w:t xml:space="preserve">Projekty kompensacyjne nie mogą mieć negatywnego wpływu na zachowanie i odtworzenie naturalnych ekosystemów i ich funkcjonalności.</w:t>
      </w:r>
    </w:p>
    <w:p w14:paraId="5EB9E82C" w14:textId="77777777" w:rsidR="00640D83" w:rsidRPr="007B2607" w:rsidRDefault="00640D83" w:rsidP="00FB6E53">
      <w:pPr>
        <w:pStyle w:val="BodyText"/>
        <w:spacing w:after="0"/>
      </w:pPr>
    </w:p>
    <w:p w14:paraId="1D0CB6C1" w14:textId="77777777" w:rsidR="00640D83" w:rsidRPr="007B2607" w:rsidRDefault="008C2EFB" w:rsidP="00640D83">
      <w:pPr>
        <w:pStyle w:val="BodyText"/>
        <w:spacing w:after="0"/>
      </w:pPr>
      <w:r>
        <w:t xml:space="preserve">Emisje związane z produktami lub usługami konsumowanymi we Francji muszą być kompensowane głównie na terytorium Francji.</w:t>
      </w:r>
    </w:p>
    <w:p w14:paraId="0BCBCAA1" w14:textId="77777777" w:rsidR="00640D83" w:rsidRPr="007B2607" w:rsidRDefault="00640D83" w:rsidP="00640D83">
      <w:pPr>
        <w:pStyle w:val="BodyText"/>
        <w:spacing w:after="0"/>
      </w:pPr>
    </w:p>
    <w:p w14:paraId="24294507" w14:textId="77777777" w:rsidR="0061349E" w:rsidRDefault="0061349E" w:rsidP="00640D83">
      <w:pPr>
        <w:pStyle w:val="BodyText"/>
        <w:spacing w:after="0"/>
      </w:pPr>
    </w:p>
    <w:p w14:paraId="5E49DC68" w14:textId="77777777" w:rsidR="0061349E" w:rsidRDefault="0061349E" w:rsidP="00640D83">
      <w:pPr>
        <w:pStyle w:val="BodyText"/>
        <w:spacing w:after="0"/>
      </w:pPr>
      <w:r>
        <w:t xml:space="preserve">Ograniczenia emisji uznane na mocy dekretu nr 2018-1043 z dnia 28 listopada 2018 r. ustanawiającego oznakowanie „niskoemisyjne” uznaje się za zgodne z art. R. 229-103.</w:t>
      </w:r>
    </w:p>
    <w:p w14:paraId="52996AD4" w14:textId="77777777" w:rsidR="0061349E" w:rsidRDefault="0061349E" w:rsidP="00640D83">
      <w:pPr>
        <w:pStyle w:val="BodyText"/>
        <w:spacing w:after="0"/>
      </w:pPr>
    </w:p>
    <w:p w14:paraId="62A43A2E" w14:textId="77777777" w:rsidR="00851850" w:rsidRPr="00851850" w:rsidRDefault="00851850" w:rsidP="00851850">
      <w:pPr>
        <w:pStyle w:val="BodyText"/>
        <w:rPr>
          <w:bCs/>
        </w:rPr>
      </w:pPr>
      <w:r>
        <w:t xml:space="preserve">Artykuł R. 229-109.</w:t>
      </w:r>
      <w:r>
        <w:t xml:space="preserve"> </w:t>
      </w:r>
      <w:r>
        <w:t xml:space="preserve">— Zgodnie z art. L. 229-69 minister właściwy do spraw środowiska może ukarać niespełnienie zobowiązania przewidzianego w art. L. 229-68 na warunkach określonych w niniejszym artykule.</w:t>
      </w:r>
    </w:p>
    <w:p w14:paraId="5158D784" w14:textId="77777777" w:rsidR="00851850" w:rsidRPr="00851850" w:rsidRDefault="00851850" w:rsidP="00851850">
      <w:pPr>
        <w:pStyle w:val="BodyText"/>
        <w:rPr>
          <w:bCs/>
        </w:rPr>
      </w:pPr>
      <w:r>
        <w:t xml:space="preserve">Niespełnienie zobowiązań określone w art. L. 229-68 stwierdza urzędnik upoważniony w tym celu przez ministra właściwego do spraw środowiska.</w:t>
      </w:r>
    </w:p>
    <w:p w14:paraId="5850D6DE" w14:textId="77777777" w:rsidR="00851850" w:rsidRPr="00851850" w:rsidRDefault="00851850" w:rsidP="00851850">
      <w:pPr>
        <w:pStyle w:val="BodyText"/>
        <w:rPr>
          <w:bCs/>
        </w:rPr>
      </w:pPr>
      <w:r>
        <w:t xml:space="preserve">Minister właściwy do spraw środowiska, po umożliwieniu reklamodawcy przedstawienia uwag na piśmie w przedmiocie podniesionych wobec niego zarzutów, może wezwać go do wykonania tego obowiązku w terminie wyznaczonym przez ministra.</w:t>
      </w:r>
      <w:r>
        <w:t xml:space="preserve"> </w:t>
      </w:r>
      <w:r>
        <w:t xml:space="preserve">Minister może opublikować niniejsze wezwanie do usunięcia uchybienia.</w:t>
      </w:r>
      <w:r>
        <w:t xml:space="preserve">  </w:t>
      </w:r>
    </w:p>
    <w:p w14:paraId="304FDC6A" w14:textId="77777777" w:rsidR="00851850" w:rsidRPr="007B2607" w:rsidRDefault="00851850" w:rsidP="00851850">
      <w:pPr>
        <w:pStyle w:val="BodyText"/>
        <w:spacing w:after="0"/>
        <w:rPr>
          <w:bCs/>
        </w:rPr>
      </w:pPr>
      <w:r>
        <w:t xml:space="preserve">Jeżeli reklamodawca nie zastosuje się do tego wezwania w wyznaczonym terminie, minister właściwy do spraw środowiska może nakazać mu zapłatę grzywny przewidzianej w art. L. 229-69 kodeksu ochrony środowiska.”</w:t>
      </w:r>
    </w:p>
    <w:p w14:paraId="02C79937" w14:textId="77777777" w:rsidR="00FB6E53" w:rsidRPr="00FB6E53" w:rsidRDefault="00FB6E53" w:rsidP="00FB6E53">
      <w:pPr>
        <w:pStyle w:val="BodyText"/>
      </w:pPr>
    </w:p>
    <w:p w14:paraId="3E4D8A21" w14:textId="77777777" w:rsidR="00FB6E53" w:rsidRDefault="00FB6E53" w:rsidP="00FB6E53">
      <w:pPr>
        <w:pStyle w:val="SNArticle"/>
        <w:rPr>
          <w:bCs/>
        </w:rPr>
      </w:pPr>
      <w:r>
        <w:t xml:space="preserve">Artykuł 3</w:t>
      </w:r>
    </w:p>
    <w:p w14:paraId="3FB8E1D7" w14:textId="77777777" w:rsidR="00851850" w:rsidRDefault="00851850" w:rsidP="00851850">
      <w:pPr>
        <w:pStyle w:val="SNArticle"/>
        <w:jc w:val="left"/>
        <w:rPr>
          <w:b w:val="0"/>
        </w:rPr>
      </w:pPr>
      <w:r>
        <w:rPr>
          <w:b w:val="0"/>
        </w:rPr>
        <w:t xml:space="preserve">W załączniku 1 do dekretu z dnia 19 grudnia 1997 r., o którym mowa powyżej, tytuł „Energia i klimat” uzupełnia się w następujący sposób: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6"/>
      </w:tblGrid>
      <w:tr w:rsidR="00851850" w14:paraId="0AECA584" w14:textId="77777777" w:rsidTr="003C32DD">
        <w:tc>
          <w:tcPr>
            <w:tcW w:w="704" w:type="dxa"/>
          </w:tcPr>
          <w:p w14:paraId="32BCDB62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[64]</w:t>
            </w:r>
          </w:p>
        </w:tc>
        <w:tc>
          <w:tcPr>
            <w:tcW w:w="4253" w:type="dxa"/>
          </w:tcPr>
          <w:p w14:paraId="1239161F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Wezwanie do usunięcia uchybienia i sankcje za stwierdzenie w reklamie, że produkt lub usługa są neutralne pod względem emisji dwutlenku węgla</w:t>
            </w:r>
          </w:p>
        </w:tc>
        <w:tc>
          <w:tcPr>
            <w:tcW w:w="2051" w:type="dxa"/>
          </w:tcPr>
          <w:p w14:paraId="33125CBC" w14:textId="77777777" w:rsidR="00851850" w:rsidRPr="00851850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Kodeks ochrony środowiska</w:t>
            </w:r>
          </w:p>
          <w:p w14:paraId="627C57FC" w14:textId="77777777" w:rsidR="00851850" w:rsidRPr="001D0716" w:rsidRDefault="00851850" w:rsidP="003C32DD">
            <w:pPr>
              <w:pStyle w:val="BodyText"/>
            </w:pPr>
            <w:r>
              <w:t xml:space="preserve">Artykuł R. 229-109</w:t>
            </w:r>
          </w:p>
        </w:tc>
        <w:tc>
          <w:tcPr>
            <w:tcW w:w="2336" w:type="dxa"/>
          </w:tcPr>
          <w:p w14:paraId="57484785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Minister Środowiska</w:t>
            </w:r>
          </w:p>
        </w:tc>
      </w:tr>
    </w:tbl>
    <w:p w14:paraId="33967785" w14:textId="77777777" w:rsidR="00851850" w:rsidRDefault="00851850" w:rsidP="00BE3757">
      <w:pPr>
        <w:pStyle w:val="BodyText"/>
      </w:pPr>
    </w:p>
    <w:p w14:paraId="2E73F67E" w14:textId="77777777" w:rsidR="00851850" w:rsidRDefault="00851850" w:rsidP="00BE3757">
      <w:pPr>
        <w:pStyle w:val="BodyText"/>
      </w:pPr>
    </w:p>
    <w:p w14:paraId="31C41D0F" w14:textId="77777777" w:rsidR="00851850" w:rsidRPr="00851850" w:rsidRDefault="00851850" w:rsidP="00851850">
      <w:pPr>
        <w:pStyle w:val="SNArticle"/>
        <w:rPr>
          <w:bCs/>
        </w:rPr>
      </w:pPr>
      <w:r>
        <w:t xml:space="preserve">Artykuł 4</w:t>
      </w:r>
    </w:p>
    <w:p w14:paraId="4B9BA7C2" w14:textId="77777777" w:rsidR="0061349E" w:rsidRDefault="00851850" w:rsidP="00BE3757">
      <w:pPr>
        <w:pStyle w:val="BodyText"/>
      </w:pPr>
      <w:r>
        <w:t xml:space="preserve">Niniejszy dekret wchodzi w życie następnego dnia po jego opublikowaniu, z wyjątkiem art. 2 i 3, które wchodzą w życie w dniu 1 stycznia 2023 r.</w:t>
      </w:r>
    </w:p>
    <w:p w14:paraId="2D7F991E" w14:textId="77777777" w:rsidR="0061349E" w:rsidRDefault="0061349E" w:rsidP="00BE3757">
      <w:pPr>
        <w:pStyle w:val="BodyText"/>
      </w:pPr>
    </w:p>
    <w:p w14:paraId="1321CCFF" w14:textId="77777777" w:rsidR="00064968" w:rsidRDefault="0061349E" w:rsidP="00BE3757">
      <w:pPr>
        <w:pStyle w:val="BodyText"/>
      </w:pPr>
      <w:r>
        <w:t xml:space="preserve">Do dnia 31 grudnia 2025 r. finansowanie projektów na terytorium Francji jest równoznaczne z przydziałem dla reklamodawcy redukcji emisji zgodnie z przepisami art. D. 229-107 pkt 3, jeżeli reklamodawca może uzasadnić w drodze umowy ostateczne uznanie korzyści ze zweryfikowanych redukcji emisji w ramach tego projektu.</w:t>
      </w:r>
      <w:r>
        <w:t xml:space="preserve"> </w:t>
      </w:r>
      <w:r>
        <w:t xml:space="preserve">Reklamodawca zapewnia przestrzeganie swoich obowiązków w zakresie kompensacji emisji, w stosownych przypadkach poprzez nabycie dodatkowych jednostek emisji odpowiadających różnicy między zweryfikowanymi ograniczeniami emisji w ramach projektu a tymi, które są finansowane.</w:t>
      </w:r>
    </w:p>
    <w:p w14:paraId="12C215DA" w14:textId="77777777" w:rsidR="00064968" w:rsidRDefault="00064968" w:rsidP="00BE3757">
      <w:pPr>
        <w:pStyle w:val="BodyText"/>
      </w:pPr>
    </w:p>
    <w:p w14:paraId="3ACCFD0D" w14:textId="77777777" w:rsidR="00064968" w:rsidRPr="00851850" w:rsidRDefault="00851850" w:rsidP="00851850">
      <w:pPr>
        <w:pStyle w:val="SNArticle"/>
        <w:rPr>
          <w:bCs/>
        </w:rPr>
      </w:pPr>
      <w:r>
        <w:t xml:space="preserve">Artykuł 5</w:t>
      </w:r>
    </w:p>
    <w:p w14:paraId="65149FAE" w14:textId="77777777" w:rsidR="00FB6E53" w:rsidRDefault="00FB6E53" w:rsidP="00FB6E53">
      <w:pPr>
        <w:pStyle w:val="BodyText"/>
      </w:pPr>
      <w:r>
        <w:t xml:space="preserve">Francuski minister ds. transformacji ekologicznej jest odpowiedzialny za wykonanie niniejszego dekretu, który zostanie opublikowany w </w:t>
      </w:r>
      <w:r>
        <w:rPr>
          <w:i/>
          <w:iCs/>
        </w:rPr>
        <w:t xml:space="preserve">Dzienniku Urzędowym</w:t>
      </w:r>
      <w:r>
        <w:t xml:space="preserve"> Republiki Francuskiej.</w:t>
      </w:r>
    </w:p>
    <w:p w14:paraId="633ECCBF" w14:textId="77777777" w:rsidR="00FB6E53" w:rsidRDefault="00FB6E53" w:rsidP="00FB6E53">
      <w:pPr>
        <w:pStyle w:val="SNDate"/>
      </w:pPr>
      <w:r>
        <w:t xml:space="preserve">Sporządzono dnia [ ] r.</w:t>
      </w:r>
    </w:p>
    <w:p w14:paraId="7B41A2DC" w14:textId="77777777" w:rsidR="00FB6E53" w:rsidRDefault="00FB6E53" w:rsidP="00FB6E53">
      <w:pPr>
        <w:ind w:left="567"/>
      </w:pPr>
      <w:r>
        <w:t xml:space="preserve">Z upoważnienia Premiera:</w:t>
      </w:r>
    </w:p>
    <w:p w14:paraId="2011CC35" w14:textId="77777777" w:rsidR="00FB6E53" w:rsidRDefault="00FB6E53" w:rsidP="00FB6E53">
      <w:pPr>
        <w:pStyle w:val="SNSignatureGauche"/>
        <w:ind w:left="567" w:right="5669"/>
      </w:pPr>
      <w:r>
        <w:t xml:space="preserve">Minister Transformacji Ekologicznej,</w:t>
      </w:r>
    </w:p>
    <w:p w14:paraId="65D3D183" w14:textId="77777777" w:rsidR="00FD3014" w:rsidRDefault="00FB6E53" w:rsidP="003E7D77">
      <w:pPr>
        <w:pStyle w:val="SNSignatureprnomnomGauche"/>
        <w:spacing w:after="240"/>
        <w:ind w:left="567" w:right="4535"/>
      </w:pPr>
      <w:r>
        <w:t xml:space="preserve">Barbara POMPILI</w:t>
      </w:r>
    </w:p>
    <w:sectPr w:rsidR="00FD3014" w:rsidSect="00FD3014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AC9"/>
    <w:multiLevelType w:val="hybridMultilevel"/>
    <w:tmpl w:val="8348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98F"/>
    <w:multiLevelType w:val="hybridMultilevel"/>
    <w:tmpl w:val="4C10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10C2"/>
    <w:multiLevelType w:val="hybridMultilevel"/>
    <w:tmpl w:val="16CA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3"/>
    <w:rsid w:val="00001B01"/>
    <w:rsid w:val="00020A46"/>
    <w:rsid w:val="00021079"/>
    <w:rsid w:val="00064968"/>
    <w:rsid w:val="0007470F"/>
    <w:rsid w:val="00076F37"/>
    <w:rsid w:val="00081C95"/>
    <w:rsid w:val="000911C8"/>
    <w:rsid w:val="000A1D6B"/>
    <w:rsid w:val="000D72B2"/>
    <w:rsid w:val="000F0B84"/>
    <w:rsid w:val="000F1712"/>
    <w:rsid w:val="000F4D8E"/>
    <w:rsid w:val="001202A5"/>
    <w:rsid w:val="001253C6"/>
    <w:rsid w:val="001360BB"/>
    <w:rsid w:val="00156FB4"/>
    <w:rsid w:val="00163F8A"/>
    <w:rsid w:val="0018653A"/>
    <w:rsid w:val="001C4F5C"/>
    <w:rsid w:val="001D31A0"/>
    <w:rsid w:val="001E3BBD"/>
    <w:rsid w:val="001F6CAF"/>
    <w:rsid w:val="002259E9"/>
    <w:rsid w:val="00227921"/>
    <w:rsid w:val="002808A7"/>
    <w:rsid w:val="002C342A"/>
    <w:rsid w:val="002D6CC2"/>
    <w:rsid w:val="00324CBF"/>
    <w:rsid w:val="0033279F"/>
    <w:rsid w:val="00336098"/>
    <w:rsid w:val="003600B7"/>
    <w:rsid w:val="0036429E"/>
    <w:rsid w:val="00373B40"/>
    <w:rsid w:val="00392934"/>
    <w:rsid w:val="003953A5"/>
    <w:rsid w:val="003D56F4"/>
    <w:rsid w:val="003E531C"/>
    <w:rsid w:val="003E7D77"/>
    <w:rsid w:val="00417F87"/>
    <w:rsid w:val="004248A4"/>
    <w:rsid w:val="004500CC"/>
    <w:rsid w:val="00451717"/>
    <w:rsid w:val="00452322"/>
    <w:rsid w:val="004B1160"/>
    <w:rsid w:val="004C6705"/>
    <w:rsid w:val="00501509"/>
    <w:rsid w:val="00512792"/>
    <w:rsid w:val="00520B5A"/>
    <w:rsid w:val="005B5D1A"/>
    <w:rsid w:val="00600E69"/>
    <w:rsid w:val="0061349E"/>
    <w:rsid w:val="00640BDF"/>
    <w:rsid w:val="00640D83"/>
    <w:rsid w:val="00643B83"/>
    <w:rsid w:val="006525C1"/>
    <w:rsid w:val="00685933"/>
    <w:rsid w:val="00693019"/>
    <w:rsid w:val="006C22BA"/>
    <w:rsid w:val="006E7C91"/>
    <w:rsid w:val="00702E13"/>
    <w:rsid w:val="007112FA"/>
    <w:rsid w:val="00791B47"/>
    <w:rsid w:val="007A3FFB"/>
    <w:rsid w:val="007B2607"/>
    <w:rsid w:val="007B3186"/>
    <w:rsid w:val="007B5E58"/>
    <w:rsid w:val="007C3419"/>
    <w:rsid w:val="007E19E0"/>
    <w:rsid w:val="008065A8"/>
    <w:rsid w:val="00822045"/>
    <w:rsid w:val="00831FD0"/>
    <w:rsid w:val="00851850"/>
    <w:rsid w:val="00865CE0"/>
    <w:rsid w:val="00884E8B"/>
    <w:rsid w:val="00890740"/>
    <w:rsid w:val="008A0170"/>
    <w:rsid w:val="008B57D4"/>
    <w:rsid w:val="008C2EFB"/>
    <w:rsid w:val="008D746C"/>
    <w:rsid w:val="008E30D0"/>
    <w:rsid w:val="00902234"/>
    <w:rsid w:val="00932796"/>
    <w:rsid w:val="0099494E"/>
    <w:rsid w:val="009A39A4"/>
    <w:rsid w:val="009C4BBD"/>
    <w:rsid w:val="009F1E9F"/>
    <w:rsid w:val="009F2DC3"/>
    <w:rsid w:val="00A26CD3"/>
    <w:rsid w:val="00A364CF"/>
    <w:rsid w:val="00A36FBB"/>
    <w:rsid w:val="00A51457"/>
    <w:rsid w:val="00A852F3"/>
    <w:rsid w:val="00A9018C"/>
    <w:rsid w:val="00AA1CBA"/>
    <w:rsid w:val="00AA35C5"/>
    <w:rsid w:val="00AC0DE4"/>
    <w:rsid w:val="00AC1942"/>
    <w:rsid w:val="00AC27E9"/>
    <w:rsid w:val="00AE0098"/>
    <w:rsid w:val="00B0118D"/>
    <w:rsid w:val="00B60325"/>
    <w:rsid w:val="00B73691"/>
    <w:rsid w:val="00B76A4A"/>
    <w:rsid w:val="00BB26CE"/>
    <w:rsid w:val="00BB66DF"/>
    <w:rsid w:val="00BE3757"/>
    <w:rsid w:val="00C26E13"/>
    <w:rsid w:val="00C35314"/>
    <w:rsid w:val="00C50902"/>
    <w:rsid w:val="00C8186B"/>
    <w:rsid w:val="00C85D8C"/>
    <w:rsid w:val="00CE28B0"/>
    <w:rsid w:val="00CF4307"/>
    <w:rsid w:val="00D066A6"/>
    <w:rsid w:val="00D35BD8"/>
    <w:rsid w:val="00D411B1"/>
    <w:rsid w:val="00D507C6"/>
    <w:rsid w:val="00DA728B"/>
    <w:rsid w:val="00DB0386"/>
    <w:rsid w:val="00DC6664"/>
    <w:rsid w:val="00E075D6"/>
    <w:rsid w:val="00E22AA3"/>
    <w:rsid w:val="00E23DDB"/>
    <w:rsid w:val="00E26347"/>
    <w:rsid w:val="00E3390A"/>
    <w:rsid w:val="00E478EA"/>
    <w:rsid w:val="00E47B26"/>
    <w:rsid w:val="00E971FC"/>
    <w:rsid w:val="00EC0B91"/>
    <w:rsid w:val="00F0638A"/>
    <w:rsid w:val="00F064E7"/>
    <w:rsid w:val="00F16F71"/>
    <w:rsid w:val="00F3475D"/>
    <w:rsid w:val="00F538E4"/>
    <w:rsid w:val="00F820F9"/>
    <w:rsid w:val="00F94097"/>
    <w:rsid w:val="00FA5F21"/>
    <w:rsid w:val="00FB3B22"/>
    <w:rsid w:val="00FB6E53"/>
    <w:rsid w:val="00FC0F7A"/>
    <w:rsid w:val="00FD3014"/>
    <w:rsid w:val="00FD78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AC"/>
  <w15:docId w15:val="{26CE345B-8D68-4F83-B087-BD4010F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FB6E53"/>
    <w:rPr>
      <w:sz w:val="16"/>
      <w:szCs w:val="16"/>
    </w:rPr>
  </w:style>
  <w:style w:type="paragraph" w:styleId="BodyText">
    <w:name w:val="Body Text"/>
    <w:basedOn w:val="Normal"/>
    <w:link w:val="BodyTextChar"/>
    <w:rsid w:val="00FB6E5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B6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FB6E53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qFormat/>
    <w:rsid w:val="00FB6E53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rsid w:val="00FB6E53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rsid w:val="00FB6E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FB6E53"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Normal"/>
    <w:next w:val="SNSignatureGauche"/>
    <w:qFormat/>
    <w:rsid w:val="00FB6E53"/>
    <w:pPr>
      <w:spacing w:before="120" w:after="120"/>
      <w:ind w:left="5041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qFormat/>
    <w:rsid w:val="00FB6E53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Normal"/>
    <w:qFormat/>
    <w:rsid w:val="00FB6E53"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rsid w:val="00FB6E53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rsid w:val="00FB6E53"/>
    <w:pPr>
      <w:spacing w:before="240" w:after="120"/>
      <w:ind w:firstLine="720"/>
    </w:pPr>
  </w:style>
  <w:style w:type="paragraph" w:customStyle="1" w:styleId="SNVisa">
    <w:name w:val="SNVisa"/>
    <w:basedOn w:val="Normal"/>
    <w:qFormat/>
    <w:rsid w:val="00FB6E53"/>
    <w:pPr>
      <w:spacing w:before="120" w:after="120"/>
      <w:ind w:firstLine="720"/>
    </w:pPr>
  </w:style>
  <w:style w:type="paragraph" w:customStyle="1" w:styleId="SNDate">
    <w:name w:val="SNDate"/>
    <w:basedOn w:val="Normal"/>
    <w:next w:val="Normal"/>
    <w:qFormat/>
    <w:rsid w:val="00FB6E53"/>
    <w:pPr>
      <w:spacing w:before="480" w:after="2760"/>
      <w:ind w:firstLine="720"/>
    </w:pPr>
  </w:style>
  <w:style w:type="paragraph" w:customStyle="1" w:styleId="SNActe">
    <w:name w:val="SNActe"/>
    <w:basedOn w:val="Normal"/>
    <w:qFormat/>
    <w:rsid w:val="00FB6E53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rsid w:val="00FB6E53"/>
    <w:pPr>
      <w:spacing w:before="240" w:after="240"/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qFormat/>
    <w:rsid w:val="00FB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6E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B6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3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2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072-2097-4A35-92E6-3A32BF9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DICANOT Anthony</dc:creator>
  <cp:lastModifiedBy>Dimitris Dimitriadis</cp:lastModifiedBy>
  <cp:revision>4</cp:revision>
  <dcterms:created xsi:type="dcterms:W3CDTF">2021-12-28T12:10:00Z</dcterms:created>
  <dcterms:modified xsi:type="dcterms:W3CDTF">2022-01-07T07:42:00Z</dcterms:modified>
</cp:coreProperties>
</file>