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D723"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Uredba br. 2022-539 od 13. travnja 2022. o neutralizaciji emisija ugljika i tvrdnjama o ugljičnoj neutralnosti u oglašavanju</w:t>
      </w:r>
    </w:p>
    <w:p w14:paraId="5B3D45D6"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Oznaka 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br. 0088 od 14. travnja 2022.</w:t>
      </w:r>
      <w:r>
        <w:rPr>
          <w:rFonts w:ascii="Times New Roman" w:hAnsi="Times New Roman"/>
          <w:sz w:val="24"/>
        </w:rPr>
        <w:br/>
        <w:t>Tekst br. 17</w:t>
      </w:r>
    </w:p>
    <w:p w14:paraId="58AD00B3"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Zainteresirane strane: oglašivači. </w:t>
      </w:r>
      <w:r>
        <w:rPr>
          <w:rFonts w:ascii="Times New Roman" w:hAnsi="Times New Roman"/>
          <w:sz w:val="24"/>
        </w:rPr>
        <w:br/>
        <w:t xml:space="preserve">Predmet: podrobna pravila o primjeni komunikacije oglašivača o navodima o ugljičnoj neutralnosti na proizvodima i uslugama u skladu s člankom 12. Zakona br. 2021-1104 od 22. kolovoza 2021. o borbi protiv klimatskih promjena i jačanju otpornosti na njihove učinke. </w:t>
      </w:r>
      <w:r>
        <w:rPr>
          <w:rFonts w:ascii="Times New Roman" w:hAnsi="Times New Roman"/>
          <w:sz w:val="24"/>
        </w:rPr>
        <w:br/>
        <w:t xml:space="preserve">Stupanje na snagu: tekst stupa na snagu 1. siječnja 2023. </w:t>
      </w:r>
      <w:r>
        <w:rPr>
          <w:rFonts w:ascii="Times New Roman" w:hAnsi="Times New Roman"/>
          <w:sz w:val="24"/>
        </w:rPr>
        <w:br/>
        <w:t xml:space="preserve">Sažetak: Uredbom se utvrđuju detaljna pravila za komunikaciju oglašivača o ugljičnoj neutralnosti njihovih proizvoda ili usluga. Njome se također predviđaju protunavodi protiv tih tvrdnji kako bi se osigurala transparentnost u odnosu na javnost i spriječio svaki rizik od manipulativnog zelenog marketinga. Primjenjuje se na sve oglase koji će se emitirati nakon što tekst uredbe stupi na snagu. </w:t>
      </w:r>
      <w:r>
        <w:rPr>
          <w:rFonts w:ascii="Times New Roman" w:hAnsi="Times New Roman"/>
          <w:sz w:val="24"/>
        </w:rPr>
        <w:br/>
        <w:t xml:space="preserve">Upućivanja: Zakonik o okolišu izmijenjen ovom Uredbom dostupan je, u verziji koja proizlazi iz ove izmjene, na internetskoj stranici Légifrance (http://www.legifrance.gouv.fr). </w:t>
      </w:r>
    </w:p>
    <w:p w14:paraId="0000CAB1"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Premijer,</w:t>
      </w:r>
      <w:r>
        <w:rPr>
          <w:rFonts w:ascii="Times New Roman" w:hAnsi="Times New Roman"/>
          <w:sz w:val="24"/>
        </w:rPr>
        <w:br/>
        <w:t>na temelju izvješća ministrice ekološke tranzicije,</w:t>
      </w:r>
      <w:r>
        <w:rPr>
          <w:rFonts w:ascii="Times New Roman" w:hAnsi="Times New Roman"/>
          <w:sz w:val="24"/>
        </w:rPr>
        <w:br/>
        <w:t>uzimajući u obzir Direktivu (EU) 2015/1535 Europskog parlamenta i Vijeća od 9. rujna 2015. o utvrđivanju postupka pružanja informacija u području tehničkih propisa i pravila o uslugama informacijskog društva (kodificirani tekst), a posebno obavijest br. 2021/904/F,</w:t>
      </w:r>
      <w:r>
        <w:rPr>
          <w:rFonts w:ascii="Times New Roman" w:hAnsi="Times New Roman"/>
          <w:sz w:val="24"/>
        </w:rPr>
        <w:br/>
        <w:t>uzimajući u obzir Zakonik o okolišu,</w:t>
      </w:r>
      <w:r>
        <w:rPr>
          <w:rFonts w:ascii="Times New Roman" w:hAnsi="Times New Roman"/>
          <w:sz w:val="24"/>
        </w:rPr>
        <w:br/>
        <w:t>uzimajući u obzir Zakon br. 2021-1104 od 22. kolovoza 2021. o borbi protiv klimatskih promjena i jačanju otpornosti na njihove učinke, a posebno njegove članke 12. i 147.,</w:t>
      </w:r>
      <w:r>
        <w:rPr>
          <w:rFonts w:ascii="Times New Roman" w:hAnsi="Times New Roman"/>
          <w:sz w:val="24"/>
        </w:rPr>
        <w:br/>
        <w:t>uzimajući u obzir Uredbu br. 97-1198 od 19. prosinca 1997. o provedbi prvog stavka članka 2. Uredba br. 97-34 od 15. siječnja 1997. o dekoncentriranju pojedinačnih upravnih odluka na ministre odgovorne za ekološku i solidarnu tranziciju, teritorijalnu koheziju i odnose s lokalnim i regionalnim vlastima,</w:t>
      </w:r>
      <w:r>
        <w:rPr>
          <w:rFonts w:ascii="Times New Roman" w:hAnsi="Times New Roman"/>
          <w:sz w:val="24"/>
        </w:rPr>
        <w:br/>
        <w:t>uzimajući u obzir Uredbu br. 2020-457 od 21. travnja 2020. o nacionalnim proračunima ugljika i nacionalnoj strategiji za niske emisije ugljika,</w:t>
      </w:r>
      <w:r>
        <w:rPr>
          <w:rFonts w:ascii="Times New Roman" w:hAnsi="Times New Roman"/>
          <w:sz w:val="24"/>
        </w:rPr>
        <w:br/>
        <w:t>uzimajući u obzir primjedbe iznesene tijekom javnog savjetovanja provedenog od 20. siječnja 2022. do 10. veljače 2022., u skladu s člankom L. 123-19-1. Zakonika o okolišu,</w:t>
      </w:r>
      <w:r>
        <w:rPr>
          <w:rFonts w:ascii="Times New Roman" w:hAnsi="Times New Roman"/>
          <w:sz w:val="24"/>
        </w:rPr>
        <w:br/>
        <w:t>Donosi sljedeće:</w:t>
      </w:r>
    </w:p>
    <w:p w14:paraId="734C8D8E" w14:textId="77777777" w:rsidR="00DB34B2" w:rsidRDefault="00DB34B2">
      <w:pPr>
        <w:rPr>
          <w:rFonts w:ascii="Times New Roman" w:hAnsi="Times New Roman"/>
          <w:b/>
          <w:sz w:val="24"/>
        </w:rPr>
      </w:pPr>
      <w:r>
        <w:rPr>
          <w:rFonts w:ascii="Times New Roman" w:hAnsi="Times New Roman"/>
          <w:b/>
          <w:sz w:val="24"/>
        </w:rPr>
        <w:br w:type="page"/>
      </w:r>
    </w:p>
    <w:p w14:paraId="396C9ED9" w14:textId="13E5D5EC"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Članak 1.</w:t>
      </w:r>
    </w:p>
    <w:p w14:paraId="1716CDAB"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Poglavlju IX. glave II. Knjige II. Zakonika o okolišu dodaje se odjeljak 9. kako slijedi:</w:t>
      </w:r>
    </w:p>
    <w:p w14:paraId="60DCCA6C"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„Odjeljak 9. „Tvrdnje o utjecaju na okoliš“</w:t>
      </w:r>
    </w:p>
    <w:p w14:paraId="114E7F02" w14:textId="2AD3B6FA"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Članak D. 229-106. - Oglašivač koji u oglašavanju tvrdi da su proizvod ili usluga „ugljično neutralni”, „s nultom emisijom ugljika”, „s nultim ugljičnim otiskom”, „klimatski neutralni”, „potpuno neutralizirani”, „100 % neutralni” ili koristi bilo koji tekst jednakog značenja ili opsega mora biti u skladu s odredbama ovog odjeljka.</w:t>
      </w:r>
      <w:r>
        <w:rPr>
          <w:rFonts w:ascii="Times New Roman" w:hAnsi="Times New Roman"/>
          <w:sz w:val="24"/>
        </w:rPr>
        <w:br/>
      </w:r>
      <w:r w:rsidR="008F5968" w:rsidRPr="008F5968">
        <w:rPr>
          <w:rFonts w:ascii="Times New Roman" w:hAnsi="Times New Roman"/>
          <w:sz w:val="24"/>
        </w:rPr>
        <w:t>„</w:t>
      </w:r>
      <w:r>
        <w:rPr>
          <w:rFonts w:ascii="Times New Roman" w:hAnsi="Times New Roman"/>
          <w:sz w:val="24"/>
        </w:rPr>
        <w:t>Ovaj se odjeljak primjenjuje na promidžbenu korespondenciju i tiskane materijale za oglašavanje, plakate za oglašavanje, oglase u informativnim publikacijama, oglase u kinima, oglašavanja na televiziji ili radiju uslugama emitiranja ili oglašavanja putem sredstva priopćavanja javnosti na internetu, kao i na tvrdnje istaknute na ambalaži proizvoda.</w:t>
      </w:r>
    </w:p>
    <w:p w14:paraId="0B6B272D" w14:textId="4D0B959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„Članak D. 229-107. - Oglašivač iz članka D. 229-106. izrađuje proračun emisija stakleničkih plinova za predmetni proizvod ili uslugu koji obuhvaća cijeli njegov životni ciklus. Taj se proračun ažurira svake godine.</w:t>
      </w:r>
      <w:r>
        <w:rPr>
          <w:rFonts w:ascii="Times New Roman" w:hAnsi="Times New Roman"/>
          <w:sz w:val="24"/>
        </w:rPr>
        <w:br/>
      </w:r>
      <w:r w:rsidR="008F5968" w:rsidRPr="008F5968">
        <w:rPr>
          <w:rFonts w:ascii="Times New Roman" w:hAnsi="Times New Roman"/>
          <w:sz w:val="24"/>
        </w:rPr>
        <w:t>„</w:t>
      </w:r>
      <w:r>
        <w:rPr>
          <w:rFonts w:ascii="Times New Roman" w:hAnsi="Times New Roman"/>
          <w:sz w:val="24"/>
        </w:rPr>
        <w:t>Proračun se sastavlja u skladu sa zahtjevima norme NF EN ISO 14067 ili bilo koje druge norme koja je u jednakovrijedna zahtjevima te norme. Odlukom ministra nadležnog za okoliš mogu se dopuniti ti zahtjevi kako bi se metodologija proračuna emisija uskladila s metodologijom ekološkog označavanja iz članka L. 541-9-11. ovog Zakonika.</w:t>
      </w:r>
    </w:p>
    <w:p w14:paraId="28CAACB6" w14:textId="7AF8050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8F5968" w:rsidRPr="008F5968">
        <w:rPr>
          <w:rFonts w:ascii="Times New Roman" w:hAnsi="Times New Roman"/>
          <w:sz w:val="24"/>
        </w:rPr>
        <w:t>„</w:t>
      </w:r>
      <w:r>
        <w:rPr>
          <w:rFonts w:ascii="Times New Roman" w:hAnsi="Times New Roman"/>
          <w:sz w:val="24"/>
        </w:rPr>
        <w:t>Članak D. 229-108. - Oglašivač iz članka D. 229-106. na svojoj internetskoj stranici za komunikaciju s javnosti ili, ako to nije moguće, na svojoj mobilnoj aplikaciji objavljuje sažeto izvješće u kojem se opisuje ugljični otisak oglašenog proizvoda ili oglašene usluge i načini na koje se te emisije stakleničkih plinova prvenstveno izbjegavaju, zatim smanjuju i konačno nadoknađuju. Izvješće sadržava tri priloga u kojima se detaljno opisuje njegov sadržaj, a predstavljeni su sljedećim redoslijedom:</w:t>
      </w:r>
      <w:r>
        <w:rPr>
          <w:rFonts w:ascii="Times New Roman" w:hAnsi="Times New Roman"/>
          <w:sz w:val="24"/>
        </w:rPr>
        <w:br/>
        <w:t>„1. prilog u kojem se navode rezultati proračuna iz članka D. 229.-107. i sažetak metodologije koja se koristi za sastavljanje tog proračuna. U tom se sažetku posebno navodi područje primjene koje se upotrebljava za definiranje predmetnog proizvoda ili usluge, funkcionalne ili deklarirane jedinice, granice predmetnog sustava, metoda obrade na kraju životnog vijeka, podaci o emisijama koji su uzeti u obzir za električnu energiju ili plin potrošen iz mreža. Navode se zemlje ili geografska područja u kojima se odvijaju emisije i emisije iz međunarodnog prijevoza, u mjeri u kojoj su takvi podaci dostupni;</w:t>
      </w:r>
      <w:r>
        <w:rPr>
          <w:rFonts w:ascii="Times New Roman" w:hAnsi="Times New Roman"/>
          <w:sz w:val="24"/>
        </w:rPr>
        <w:br/>
        <w:t>„2. prilog u kojem se navodi ciljna vrijednost za smanjenje emisija stakleničkih plinova povezanih s oglašenim proizvodom ili oglašenom uslugom, s kvantificiranim godišnjim ciljevima napretka, koji obuhvaća razdoblje od najmanje deset godina nakon objave izvješća. Ažurirana putanja koja obuhvaća daljnje razdoblje od deset godina utvrđuje se svakih pet godina nakon objave prvog izvješća u ovom odjeljku;</w:t>
      </w:r>
      <w:r>
        <w:rPr>
          <w:rFonts w:ascii="Times New Roman" w:hAnsi="Times New Roman"/>
          <w:sz w:val="24"/>
        </w:rPr>
        <w:br/>
      </w:r>
      <w:r w:rsidR="008F5968" w:rsidRPr="008F5968">
        <w:rPr>
          <w:rFonts w:ascii="Times New Roman" w:hAnsi="Times New Roman"/>
          <w:sz w:val="24"/>
        </w:rPr>
        <w:t>„</w:t>
      </w:r>
      <w:r>
        <w:rPr>
          <w:rFonts w:ascii="Times New Roman" w:hAnsi="Times New Roman"/>
          <w:sz w:val="24"/>
        </w:rPr>
        <w:t>3</w:t>
      </w:r>
      <w:r w:rsidR="008F5968">
        <w:rPr>
          <w:rFonts w:ascii="Times New Roman" w:hAnsi="Times New Roman"/>
          <w:sz w:val="24"/>
        </w:rPr>
        <w:t>.</w:t>
      </w:r>
      <w:r>
        <w:rPr>
          <w:rFonts w:ascii="Times New Roman" w:hAnsi="Times New Roman"/>
          <w:sz w:val="24"/>
        </w:rPr>
        <w:t xml:space="preserve"> prilog u kojem se detaljno navode postupci za neutralizaciju preostalih emisija, koji posebno obuhvaćaju prirodu i opis projekta kompenzacije.  U Prilogu se mogu </w:t>
      </w:r>
      <w:r>
        <w:rPr>
          <w:rFonts w:ascii="Times New Roman" w:hAnsi="Times New Roman"/>
          <w:sz w:val="24"/>
        </w:rPr>
        <w:lastRenderedPageBreak/>
        <w:t>dobrovoljno navesti i informacije o njihovim troškovima uz razvrstavanje po sljedećim kategorijama: manje od 10 € po toni CO2, od 10 do 40 € po toni CO2 ili iznad 40 € po toni CO2. Prilog pokazuje da količina emisija smanjenih ili uhvaćenih ovom kompenzacijom odgovara preostalim emisijama svih prodanih proizvoda ili usluga na koje se oglašavanje odnosi. Također, u prilogu se navode i sredstva koja oglašivač primjenjuje kako bi osigurao da se kompenzacija omogućena ovim projektima ne zaračuna dva puta. Konkretno, utvrđuju se metode za uklanjanje smanjenja i hvatanja emisija s tržišta kada se koriste krediti neutralizacije. Naposljetku, prilogom se detaljno opisuju napori uloženi kako bi se osigurala najbolja moguća usklađenost između zemljopisnih područja na kojima se provode projekti i u kojima se odvijaju emisije.</w:t>
      </w:r>
      <w:r>
        <w:rPr>
          <w:rFonts w:ascii="Times New Roman" w:hAnsi="Times New Roman"/>
          <w:sz w:val="24"/>
        </w:rPr>
        <w:br/>
      </w:r>
      <w:r w:rsidR="008F5968" w:rsidRPr="008F5968">
        <w:rPr>
          <w:rFonts w:ascii="Times New Roman" w:hAnsi="Times New Roman"/>
          <w:sz w:val="24"/>
        </w:rPr>
        <w:t>„</w:t>
      </w:r>
      <w:r>
        <w:rPr>
          <w:rFonts w:ascii="Times New Roman" w:hAnsi="Times New Roman"/>
          <w:sz w:val="24"/>
        </w:rPr>
        <w:t>Publikacija se ažurira svake godine tijekom cijelog razdoblja stavljanja proizvoda ili usluge na tržište tijekom kojeg oglašivač u oglasu tvrdi da su isti proizvod ili usluga ugljično neutralni ili upotrebljava bilo koji tekst istovrijednog značenja ili opsega. Ažuriranjem se posebno omogućuje praćenje razvoja emisija povezanih s proizvodom ili uslugom u usporedbi s prethodno navedenim smjerom smanjenja. Oglašivač stoga povlači zahtjev iz članka D. 229-106. ako se pokaže da su se jedinice smanjenja emisije povezane s proizvodom ili uslugom prije kompenzacije povećale tijekom dvije uzastopne godine.</w:t>
      </w:r>
      <w:r>
        <w:rPr>
          <w:rFonts w:ascii="Times New Roman" w:hAnsi="Times New Roman"/>
          <w:sz w:val="24"/>
        </w:rPr>
        <w:br/>
        <w:t xml:space="preserve">Internetska poveznica ili kod brzog odgovora (QR-kod) za pristup ovoj publikaciji naveden je na oglasu ili ambalaži uz tvrdnju o ugljičnoj neutralnosti. </w:t>
      </w:r>
    </w:p>
    <w:p w14:paraId="025080E9" w14:textId="2B66161B"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8F5968" w:rsidRPr="008F5968">
        <w:rPr>
          <w:rFonts w:ascii="Times New Roman" w:hAnsi="Times New Roman"/>
          <w:sz w:val="24"/>
        </w:rPr>
        <w:t>„</w:t>
      </w:r>
      <w:r>
        <w:rPr>
          <w:rFonts w:ascii="Times New Roman" w:hAnsi="Times New Roman"/>
          <w:sz w:val="24"/>
        </w:rPr>
        <w:t>Članak D. 229-109. - Smanjenja emisija i hvatanja koja proizlaze iz kompenzacijskih projekata koje upotrebljava oglašivač iz članka D. 229-106. moraju biti u skladu s načelima utvrđenima u članku L. 229–55. i njegovim provedbenim tekstovima.</w:t>
      </w:r>
      <w:r>
        <w:rPr>
          <w:rFonts w:ascii="Times New Roman" w:hAnsi="Times New Roman"/>
          <w:sz w:val="24"/>
        </w:rPr>
        <w:br/>
        <w:t xml:space="preserve">Projekti kompenzacije ne štete očuvanju i obnovi prirodnih ekosustava i njihovih funkcionalnosti. </w:t>
      </w:r>
      <w:r>
        <w:rPr>
          <w:rFonts w:ascii="Times New Roman" w:hAnsi="Times New Roman"/>
          <w:sz w:val="24"/>
        </w:rPr>
        <w:br/>
      </w:r>
      <w:r w:rsidR="008F5968" w:rsidRPr="008F5968">
        <w:rPr>
          <w:rFonts w:ascii="Times New Roman" w:hAnsi="Times New Roman"/>
          <w:sz w:val="24"/>
        </w:rPr>
        <w:t>„</w:t>
      </w:r>
      <w:r>
        <w:rPr>
          <w:rFonts w:ascii="Times New Roman" w:hAnsi="Times New Roman"/>
          <w:sz w:val="24"/>
        </w:rPr>
        <w:t>Smatra se da su smanjenja emisija priznata Uredbom br. 2018-1043 od 28. studenoga 2018. o uvođenju oznake „Bas Carbone” („Niskougljično”) u skladu s dvama prethodnim stavcima.</w:t>
      </w:r>
      <w:r>
        <w:rPr>
          <w:rFonts w:ascii="Times New Roman" w:hAnsi="Times New Roman"/>
          <w:sz w:val="24"/>
        </w:rPr>
        <w:br/>
      </w:r>
      <w:r w:rsidR="008F5968" w:rsidRPr="008F5968">
        <w:rPr>
          <w:rFonts w:ascii="Times New Roman" w:hAnsi="Times New Roman"/>
          <w:sz w:val="24"/>
        </w:rPr>
        <w:t>„</w:t>
      </w:r>
      <w:r>
        <w:rPr>
          <w:rFonts w:ascii="Times New Roman" w:hAnsi="Times New Roman"/>
          <w:sz w:val="24"/>
        </w:rPr>
        <w:t>Oglašivači mogu postaviti riječi „Kompenzacija izvršena u Francuskoj” ili bilo koji navod istovjetnog značenja ili opsega samo ako se svi projekti kompenzacije provode u Francuskoj.”</w:t>
      </w:r>
    </w:p>
    <w:p w14:paraId="656E265C"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Članak 2.</w:t>
      </w:r>
    </w:p>
    <w:p w14:paraId="4DC28EB6"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Ova Uredba stupa na snagu 1. siječnja 2023.</w:t>
      </w:r>
      <w:r>
        <w:rPr>
          <w:rFonts w:ascii="Times New Roman" w:hAnsi="Times New Roman"/>
          <w:sz w:val="24"/>
        </w:rPr>
        <w:br/>
        <w:t>Do 31. prosinca 2025. financiranje projekata u državama članicama EU-a istovjetno je dodjeli smanjenja i hvatanja emisija oglašivaču u skladu s odredbama članka D. 229-109. ako oglašivač ugovorom može opravdati eventualno priznavanje koristi od provjerenih i potvrđenih smanjenja i hvatanja emisija tog projekta. Oglašivač osigurava usklađenost svojih obveza kompenzacije emisija, prema potrebi stjecanjem dodatnih jedinica smanjenja emisija koje odgovaraju razlici između provjerenih i potvrđenih smanjenja emisija i uhvaćenih projekta i financiranih smanjenja emisija.</w:t>
      </w:r>
    </w:p>
    <w:p w14:paraId="3BE9AD31" w14:textId="77777777" w:rsidR="002A3E9F" w:rsidRPr="002A3E9F" w:rsidRDefault="002A3E9F" w:rsidP="00DB34B2">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Članak 3.</w:t>
      </w:r>
    </w:p>
    <w:p w14:paraId="0EA5F8CF"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Francuska ministrica ekološke tranzicije odgovorna je za provedbu ove Uredbe, koja će biti objavljena u Službenom listu Francuske Republike.</w:t>
      </w:r>
    </w:p>
    <w:p w14:paraId="1046E608"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Sastavljeno 13. travnja 2022.</w:t>
      </w:r>
    </w:p>
    <w:p w14:paraId="0AF389AA"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Predsjednik vlade:</w:t>
      </w:r>
    </w:p>
    <w:p w14:paraId="3BF5008C" w14:textId="6C5ADF43"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Ministrica ekološke tranzicije,</w:t>
      </w:r>
      <w:r>
        <w:rPr>
          <w:rFonts w:ascii="Times New Roman" w:hAnsi="Times New Roman"/>
          <w:sz w:val="24"/>
        </w:rPr>
        <w:br/>
        <w:t xml:space="preserve">Barbara </w:t>
      </w:r>
      <w:r w:rsidR="00DB34B2">
        <w:rPr>
          <w:rFonts w:ascii="Times New Roman" w:hAnsi="Times New Roman"/>
          <w:sz w:val="24"/>
        </w:rPr>
        <w:t>Pompili</w:t>
      </w:r>
    </w:p>
    <w:p w14:paraId="4122C0C5"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8F5968"/>
    <w:rsid w:val="00DB3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E53D"/>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1301</Words>
  <Characters>7419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2022-08-01T12:49:00Z</dcterms:created>
  <dcterms:modified xsi:type="dcterms:W3CDTF">2022-08-02T15:14:00Z</dcterms:modified>
</cp:coreProperties>
</file>