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0481" w14:textId="77777777" w:rsidR="002A3E9F" w:rsidRPr="002A3E9F" w:rsidRDefault="002A3E9F" w:rsidP="002A3E9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2022 m. balandžio 13 d. Nutarimas Nr. 2022-539 dėl anglies dioksido kompensavimo ir teiginių apie anglies dioksido poveikio neutralumą reklamoje</w:t>
      </w:r>
    </w:p>
    <w:p w14:paraId="368DA148" w14:textId="77777777" w:rsidR="002A3E9F" w:rsidRPr="002A3E9F" w:rsidRDefault="002A3E9F" w:rsidP="002A3E9F">
      <w:pPr>
        <w:spacing w:after="0" w:line="240" w:lineRule="auto"/>
        <w:rPr>
          <w:rFonts w:ascii="Times New Roman" w:eastAsia="Times New Roman" w:hAnsi="Times New Roman" w:cs="Times New Roman"/>
          <w:sz w:val="24"/>
          <w:szCs w:val="24"/>
        </w:rPr>
      </w:pPr>
      <w:r>
        <w:rPr>
          <w:rFonts w:ascii="Times New Roman" w:hAnsi="Times New Roman"/>
          <w:sz w:val="24"/>
        </w:rPr>
        <w:t>NOR: TRER2209794D</w:t>
      </w:r>
      <w:r>
        <w:rPr>
          <w:rFonts w:ascii="Times New Roman" w:hAnsi="Times New Roman"/>
          <w:sz w:val="24"/>
        </w:rPr>
        <w:br/>
        <w:t>ELI: https://www.legifrance.gouv.fr/eli/decret/2022/4/13/TRER2209794D/jo/texte</w:t>
      </w:r>
      <w:r>
        <w:rPr>
          <w:rFonts w:ascii="Times New Roman" w:hAnsi="Times New Roman"/>
          <w:sz w:val="24"/>
        </w:rPr>
        <w:br/>
        <w:t>Alias: https://www.legifrance.gouv.fr/eli/decret/2022/4/13/2022-539/jo/texte 2022 m. balandžio 14 d. JORF Nr. 0088</w:t>
      </w:r>
      <w:r>
        <w:rPr>
          <w:rFonts w:ascii="Times New Roman" w:hAnsi="Times New Roman"/>
          <w:sz w:val="24"/>
        </w:rPr>
        <w:br/>
        <w:t>Tekstas Nr. 17</w:t>
      </w:r>
    </w:p>
    <w:p w14:paraId="72710784"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Tikslinė auditorija: reklamuotojai. </w:t>
      </w:r>
      <w:r>
        <w:rPr>
          <w:rFonts w:ascii="Times New Roman" w:hAnsi="Times New Roman"/>
          <w:sz w:val="24"/>
        </w:rPr>
        <w:br/>
        <w:t xml:space="preserve">Objektas: išsamios reklamos užsakovų komunikacijos apie jų produktų ar paslaugų anglies dioksido poveikio neutralumą įgyvendinimo taisyklės, nustatytos 2021 m. rugpjūčio 22 d. Įstatymo Nr. 2021-1104 dėl kovos su klimato kaita ir atsparumo jos poveikiui didinimo 12 straipsnyje. </w:t>
      </w:r>
      <w:r>
        <w:rPr>
          <w:rFonts w:ascii="Times New Roman" w:hAnsi="Times New Roman"/>
          <w:sz w:val="24"/>
        </w:rPr>
        <w:br/>
        <w:t xml:space="preserve">Įsigaliojimas: tekstas įsigalioja 2023 m. sausio 1 d. </w:t>
      </w:r>
      <w:r>
        <w:rPr>
          <w:rFonts w:ascii="Times New Roman" w:hAnsi="Times New Roman"/>
          <w:sz w:val="24"/>
        </w:rPr>
        <w:br/>
        <w:t xml:space="preserve">Pastaba. Nutarime nustatytos išsamios reklamos užsakovų komunikacijos apie jų produktų ar paslaugų anglies dioksido poveikio neutralumą taisyklės. Jame taip pat numatyti priešieškiniai dėl šių reikalavimų, siekiant užtikrinti skaidrumą visuomenės atžvilgiu ir užkirsti kelią bet kokiai ekologinio manipuliavimo rizikai. Jis taikomas visoms reklamoms, transliuojamoms įsigaliojus tekstui. </w:t>
      </w:r>
      <w:r>
        <w:rPr>
          <w:rFonts w:ascii="Times New Roman" w:hAnsi="Times New Roman"/>
          <w:sz w:val="24"/>
        </w:rPr>
        <w:br/>
        <w:t xml:space="preserve">Nuorodos: nutarimu pakeisto Aplinkosaugos kodekso redakciją, parengtą dėl šio pakeitimo, galima rasti „Légifrance“ interneto svetainėje (http://www.legifrance.gouv.fr). </w:t>
      </w:r>
    </w:p>
    <w:p w14:paraId="753A5447"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Ministras Pirmininkas,</w:t>
      </w:r>
      <w:r>
        <w:rPr>
          <w:rFonts w:ascii="Times New Roman" w:hAnsi="Times New Roman"/>
          <w:sz w:val="24"/>
        </w:rPr>
        <w:br/>
        <w:t>remdamasis ekologinės pertvarkos ministrės ataskaita,</w:t>
      </w:r>
      <w:r>
        <w:rPr>
          <w:rFonts w:ascii="Times New Roman" w:hAnsi="Times New Roman"/>
          <w:sz w:val="24"/>
        </w:rPr>
        <w:br/>
        <w:t>atsižvelgdamas į 2015 m. rugsėjo 9 d. Europos Parlamento ir Tarybos direktyvą (ES) 2015/1535, kuria nustatoma informacijos apie techninius reglamentus ir informacinės visuomenės paslaugų taisykles teikimo tvarka, ypač į pranešimą Nr. 2021/904/F;</w:t>
      </w:r>
      <w:r>
        <w:rPr>
          <w:rFonts w:ascii="Times New Roman" w:hAnsi="Times New Roman"/>
          <w:sz w:val="24"/>
        </w:rPr>
        <w:br/>
        <w:t>atsižvelgdamas į Aplinkosaugos kodeksą;</w:t>
      </w:r>
      <w:r>
        <w:rPr>
          <w:rFonts w:ascii="Times New Roman" w:hAnsi="Times New Roman"/>
          <w:sz w:val="24"/>
        </w:rPr>
        <w:br/>
        <w:t>atsižvelgdamas į 2021 m. rugpjūčio 22 d. Įstatymą Nr. 2021–1104 dėl kovos su klimato kaita ir atsparumo jos poveikiui didinimo, ypač į jo 12 ir 147 straipsnius;</w:t>
      </w:r>
      <w:r>
        <w:rPr>
          <w:rFonts w:ascii="Times New Roman" w:hAnsi="Times New Roman"/>
          <w:sz w:val="24"/>
        </w:rPr>
        <w:br/>
        <w:t>atsižvelgdamas į 1997 m. gruodžio 19 d. Nutarimą Nr. 97–1198, kuriuo įgyvendinama 1997 m. sausio 15 d. Nutarimo Nr. 97–34 dėl individualių administracinių sprendimų dekoncentravimo ministrams, atsakingiems už ekologines ir solidarumo permainas, teritorinę sanglaudą ir santykius su vietos ir regionų valdžios institucijomis, 2 straipsnio pirmoji pastraipa;</w:t>
      </w:r>
      <w:r>
        <w:rPr>
          <w:rFonts w:ascii="Times New Roman" w:hAnsi="Times New Roman"/>
          <w:sz w:val="24"/>
        </w:rPr>
        <w:br/>
        <w:t>atsižvelgdamas į 2020 m. balandžio 21 d. Nutarimą Nr. 2020–457 dėl nacionalinių anglies dioksido biudžetų ir nacionalinės mažo anglies dioksido kiekio strategijos;</w:t>
      </w:r>
      <w:r>
        <w:rPr>
          <w:rFonts w:ascii="Times New Roman" w:hAnsi="Times New Roman"/>
          <w:sz w:val="24"/>
        </w:rPr>
        <w:br/>
        <w:t>atsižvelgdamas į pastabas, pateiktas per viešas konsultacijas nuo 2022 m. sausio 20 d. iki 2022 m. vasario 10 d., pagal Aplinkosaugos kodekso L. 123-19-1 straipsnį;</w:t>
      </w:r>
      <w:r>
        <w:rPr>
          <w:rFonts w:ascii="Times New Roman" w:hAnsi="Times New Roman"/>
          <w:sz w:val="24"/>
        </w:rPr>
        <w:br/>
        <w:t>Nutaria:</w:t>
      </w:r>
    </w:p>
    <w:p w14:paraId="59C01569"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1 straipsnis</w:t>
      </w:r>
    </w:p>
    <w:p w14:paraId="39025375"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Aplinkosaugos kodekso II knygos II antraštinės dalies IX skyrius papildomas taip:</w:t>
      </w:r>
    </w:p>
    <w:p w14:paraId="29488214"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t>„9 skirsnis „Aplinkosaugos teiginiai“</w:t>
      </w:r>
    </w:p>
    <w:p w14:paraId="5DB2F32F" w14:textId="09EB0DAE"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D. 229-106 straipsnis. - Reklamuotojas, reklamoje teigiantis, kad produktas ar paslauga yra „neutralaus anglies dioksido poveikio“, „be anglies dioksido poveikio“, „neutralaus poveikio klimatui“, „visiškai kompensuojamas“, „100 % kompensuojamas“, arba vartojantis bet kokią lygiavertės reikšmės ar apimties formuluotę, privalo laikytis šio skirsnio nuostatų.</w:t>
      </w:r>
      <w:r>
        <w:rPr>
          <w:rFonts w:ascii="Times New Roman" w:hAnsi="Times New Roman"/>
          <w:sz w:val="24"/>
        </w:rPr>
        <w:br/>
      </w:r>
      <w:r w:rsidR="002A6755" w:rsidRPr="002A6755">
        <w:rPr>
          <w:rFonts w:ascii="Times New Roman" w:hAnsi="Times New Roman"/>
          <w:sz w:val="24"/>
        </w:rPr>
        <w:t>„</w:t>
      </w:r>
      <w:r>
        <w:rPr>
          <w:rFonts w:ascii="Times New Roman" w:hAnsi="Times New Roman"/>
          <w:sz w:val="24"/>
        </w:rPr>
        <w:t>Šis skirsnis taikomas reklaminei korespondencijai ir reklaminiams spaudiniams, reklaminiams plakatams, reklamai spaudos leidiniuose, kino teatruose transliuojamai reklamai, televizijos ar radijo transliuotojų tarnybų skleidžiamai reklamai ir teikiant informavimo internetu paslaugas, taip pat teiginiams ant prekių pakuočių.</w:t>
      </w:r>
    </w:p>
    <w:p w14:paraId="35283B93" w14:textId="7D2BD2B0"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2A6755" w:rsidRPr="002A6755">
        <w:rPr>
          <w:rFonts w:ascii="Times New Roman" w:hAnsi="Times New Roman"/>
          <w:sz w:val="24"/>
        </w:rPr>
        <w:t>„</w:t>
      </w:r>
      <w:r>
        <w:rPr>
          <w:rFonts w:ascii="Times New Roman" w:hAnsi="Times New Roman"/>
          <w:sz w:val="24"/>
        </w:rPr>
        <w:t>D. 229-107 straipsnis. - D. 229-106 straipsnyje nurodytas reklamuotojas parengia atitinkamo produkto ar paslaugos išmetamų šiltnamio efektą sukeliančių dujų kiekio balansą, apimantį visą jo gyvavimo ciklą. Šis balansas atnaujinamas kasmet.</w:t>
      </w:r>
      <w:r>
        <w:rPr>
          <w:rFonts w:ascii="Times New Roman" w:hAnsi="Times New Roman"/>
          <w:sz w:val="24"/>
        </w:rPr>
        <w:br/>
      </w:r>
      <w:r w:rsidR="002A6755" w:rsidRPr="002A6755">
        <w:rPr>
          <w:rFonts w:ascii="Times New Roman" w:hAnsi="Times New Roman"/>
          <w:sz w:val="24"/>
        </w:rPr>
        <w:t>„</w:t>
      </w:r>
      <w:r>
        <w:rPr>
          <w:rFonts w:ascii="Times New Roman" w:hAnsi="Times New Roman"/>
          <w:sz w:val="24"/>
        </w:rPr>
        <w:t>Šis balansas sudaromas pagal NF EN ISO 14067 standarto arba bet kurio kito standarto, lygiaverčio to standarto reikalavimams, reikalavimus. Aplinkos ministro įsakymu šie reikalavimai gali būti papildyti, kad išmetamųjų teršalų balanso metodika atitiktų šio kodekso L. 541–9–11 straipsnyje numatyto aplinkosauginio ženklinimo metodiką.</w:t>
      </w:r>
    </w:p>
    <w:p w14:paraId="638246A6" w14:textId="474D11C3"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2A6755" w:rsidRPr="002A6755">
        <w:rPr>
          <w:rFonts w:ascii="Times New Roman" w:hAnsi="Times New Roman"/>
          <w:sz w:val="24"/>
        </w:rPr>
        <w:t>„</w:t>
      </w:r>
      <w:r>
        <w:rPr>
          <w:rFonts w:ascii="Times New Roman" w:hAnsi="Times New Roman"/>
          <w:sz w:val="24"/>
        </w:rPr>
        <w:t>D. 229-108 straipsnis. - D. 229-106 straipsnyje nurodytas reklamuotojas savo internetinėje viešosios komunikacijos svetainėje arba, jei tokios nėra, mobiliojoje programėlėje skelbia ataskaitos santrauką, kurioje aprašomas reklamuojamo produkto ar paslaugos anglies dioksido pėdsakas ir priemonės, kuriomis pirmiausia išvengiamas, vėliau sumažinamas ir galiausiai kompensuojamas išmetamų šiltnamio efektą sukeliančių dujų kiekis. Šią ataskaitą sudaro trys priedai, kuriuose išsamiai išdėstomas jos turinys ir kurie pateikiami tokia tvarka:</w:t>
      </w:r>
      <w:r>
        <w:rPr>
          <w:rFonts w:ascii="Times New Roman" w:hAnsi="Times New Roman"/>
          <w:sz w:val="24"/>
        </w:rPr>
        <w:br/>
        <w:t>„1. Priedas, kuriame išdėstomi D. 229-107 straipsnyje numatyto balanso rezultatai ir to balanso sudarymo metodikos santrauka. Toje santraukoje visų pirma nurodoma atitinkamo gaminio ar paslaugos apibrėžties taikymo sritis, naudojami funkciniai ar deklaruoti vienetai, atitinkamos sistemos ribos, gyvavimo ciklo pabaigos etapo apdorojimo metodas, duomenys apie išmetamųjų teršalų kiekį, į kuriuos atsižvelgiama, kai elektros energija ar dujos sunaudojamos iš tinklų. Joje nurodoma šalis (-ys) arba geografinė (-ės) teritorija (-os), kurioje (-iose) išmetami teršalai ir tarptautinio transporto išmetami teršalai, jei tokių duomenų turima;</w:t>
      </w:r>
      <w:r>
        <w:rPr>
          <w:rFonts w:ascii="Times New Roman" w:hAnsi="Times New Roman"/>
          <w:sz w:val="24"/>
        </w:rPr>
        <w:br/>
        <w:t>„2. Priedas, kuriame nurodoma šiltnamio efektą sukeliančių dujų išmetimo mažinimo, susijusio su reklamuojamu produktu ar paslauga, tikslinė trajektorija su kiekybiškai išreikštais metiniais pažangos tikslais, apimantis ne mažiau kaip dešimt metų po ataskaitos pagal šį skirsnį paskelbimo. Atnaujinta trajektorija, apimanti dar 10 metų laikotarpį, nustatoma kas 5 metus nuo pirmosios ataskaitos paskelbimo pagal šį skirsnį;</w:t>
      </w:r>
      <w:r>
        <w:rPr>
          <w:rFonts w:ascii="Times New Roman" w:hAnsi="Times New Roman"/>
          <w:sz w:val="24"/>
        </w:rPr>
        <w:br/>
      </w:r>
      <w:r w:rsidR="002A6755" w:rsidRPr="002A6755">
        <w:rPr>
          <w:rFonts w:ascii="Times New Roman" w:hAnsi="Times New Roman"/>
          <w:sz w:val="24"/>
        </w:rPr>
        <w:t>„</w:t>
      </w:r>
      <w:r>
        <w:rPr>
          <w:rFonts w:ascii="Times New Roman" w:hAnsi="Times New Roman"/>
          <w:sz w:val="24"/>
        </w:rPr>
        <w:t>3</w:t>
      </w:r>
      <w:r w:rsidR="002A6755">
        <w:rPr>
          <w:rFonts w:ascii="Times New Roman" w:hAnsi="Times New Roman"/>
          <w:sz w:val="24"/>
        </w:rPr>
        <w:t>.</w:t>
      </w:r>
      <w:r>
        <w:rPr>
          <w:rFonts w:ascii="Times New Roman" w:hAnsi="Times New Roman"/>
          <w:sz w:val="24"/>
        </w:rPr>
        <w:t xml:space="preserve"> priedas, kuriame išsamiai aprašoma likutinio išmetamųjų teršalų kiekio kompensavimo tvarka, visų pirma nurodant kompensavimo projektų pobūdį ir aprašymą.  Šiame priede taip pat pateikiama informacija apie jų išlaidas, klasifikuojant jas pagal šias kategorijas: mažiau nei 10 EUR/tCO2, 10–40 EUR/tCO2 arba daugiau nei 40 EUR/tCO2. Šiame priede parodyta, kad dėl šios kompensacijos sumažintų arba surinktų išmetamųjų teršalų kiekis atitinka visų parduotų produktų ar paslaugų, kuriems turėjo </w:t>
      </w:r>
      <w:r>
        <w:rPr>
          <w:rFonts w:ascii="Times New Roman" w:hAnsi="Times New Roman"/>
          <w:sz w:val="24"/>
        </w:rPr>
        <w:lastRenderedPageBreak/>
        <w:t>įtakos reklama, likutinį išmetamųjų teršalų kiekį. Šiame priede taip pat nurodomos priemonės, kurias reklamuotojas taiko siekdamas užtikrinti, kad nebūtų dvigubai skaičiuojama pagal šiuos projektus teikiama kompensacija. Jame visų pirma nustatomi išmetamųjų teršalų mažinimo ir surinkimo pašalinimo iš rinkos, kai naudojami kompensaciniai kreditai, metodai. Galiausiai šiame priede išsamiai aprašomos pastangos, kurių buvo imtasi siekiant užtikrinti kuo didesnį geografinių teritorijų, kuriose vykdomi projektai, ir teritorijų, kuriose išmetami teršalai, suderinamumą.</w:t>
      </w:r>
      <w:r>
        <w:rPr>
          <w:rFonts w:ascii="Times New Roman" w:hAnsi="Times New Roman"/>
          <w:sz w:val="24"/>
        </w:rPr>
        <w:br/>
      </w:r>
      <w:r w:rsidR="002A6755" w:rsidRPr="002A6755">
        <w:rPr>
          <w:rFonts w:ascii="Times New Roman" w:hAnsi="Times New Roman"/>
          <w:sz w:val="24"/>
        </w:rPr>
        <w:t>„</w:t>
      </w:r>
      <w:r>
        <w:rPr>
          <w:rFonts w:ascii="Times New Roman" w:hAnsi="Times New Roman"/>
          <w:sz w:val="24"/>
        </w:rPr>
        <w:t>Šis leidinys atnaujinamas kasmet per visą produkto ar paslaugos pardavimo laikotarpį, per kurį reklamuotojas reklamoje teigia, kad tas pats produktas ar paslauga yra neutralaus anglies dioksido poveikio, arba vartoja bet kokią lygiavertės reikšmės ar apimties formuluotę. Visų pirma atnaujinus išmetamųjų teršalų kiekį galima stebėti su produktu ar paslauga susijusių išmetamųjų teršalų kiekio kitimą, palyginti su pirmiau minėtu teršalų išmetimo mažinimo planu. Taigi reklamuotojas atsiima D. 229-106 straipsnyje nurodytą prašymą, jei paaiškėja, kad su gaminiu ar paslauga susijęs vieneto išmetamųjų teršalų kiekis augo dvejus metus iš eilės prieš kompensacijos išmokėjimą.</w:t>
      </w:r>
      <w:r>
        <w:rPr>
          <w:rFonts w:ascii="Times New Roman" w:hAnsi="Times New Roman"/>
          <w:sz w:val="24"/>
        </w:rPr>
        <w:br/>
        <w:t xml:space="preserve">Interneto nuoroda arba greitojo atsako kodas, kuriuo naudojantis galima susipažinti su šiuo leidiniu, nurodomi reklamoje arba ant pakuotės su teiginiu apie anglies dioksido neutralumą. </w:t>
      </w:r>
    </w:p>
    <w:p w14:paraId="17DD3CC0" w14:textId="1ACE6350"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2A6755" w:rsidRPr="002A6755">
        <w:rPr>
          <w:rFonts w:ascii="Times New Roman" w:hAnsi="Times New Roman"/>
          <w:sz w:val="24"/>
        </w:rPr>
        <w:t>„</w:t>
      </w:r>
      <w:r>
        <w:rPr>
          <w:rFonts w:ascii="Times New Roman" w:hAnsi="Times New Roman"/>
          <w:sz w:val="24"/>
        </w:rPr>
        <w:t>D. 229-109 straipsnis. - Išmetamųjų teršalų sumažinimas ir surinkimas, atsirandantys dėl D. 229-106 straipsnyje nurodytų reklamuotojo naudojamų kompensavimo projektų, turi atitikti L. 229-55 straipsnyje numatytus principus ir jų įgyvendinimo tekstus.</w:t>
      </w:r>
      <w:r>
        <w:rPr>
          <w:rFonts w:ascii="Times New Roman" w:hAnsi="Times New Roman"/>
          <w:sz w:val="24"/>
        </w:rPr>
        <w:br/>
        <w:t xml:space="preserve">Kompensavimo projektai neturi pakenkti natūralių ekosistemų ir jų funkcijų išsaugojimui ir atkūrimui. </w:t>
      </w:r>
      <w:r>
        <w:rPr>
          <w:rFonts w:ascii="Times New Roman" w:hAnsi="Times New Roman"/>
          <w:sz w:val="24"/>
        </w:rPr>
        <w:br/>
      </w:r>
      <w:r w:rsidR="002A6755" w:rsidRPr="002A6755">
        <w:rPr>
          <w:rFonts w:ascii="Times New Roman" w:hAnsi="Times New Roman"/>
          <w:sz w:val="24"/>
        </w:rPr>
        <w:t>„</w:t>
      </w:r>
      <w:r>
        <w:rPr>
          <w:rFonts w:ascii="Times New Roman" w:hAnsi="Times New Roman"/>
          <w:sz w:val="24"/>
        </w:rPr>
        <w:t>Laikoma, kad 2018 m. lapkričio 28 d. Nutarimu Nr. 2018-1043, kuriuo sukuriamas „Bas Carbone“ (mažo anglies dioksido kiekio) ženklas, pripažintas išmetamųjų teršalų kiekio sumažinimas atitinka dvi ankstesnes pastraipas.</w:t>
      </w:r>
      <w:r>
        <w:rPr>
          <w:rFonts w:ascii="Times New Roman" w:hAnsi="Times New Roman"/>
          <w:sz w:val="24"/>
        </w:rPr>
        <w:br/>
      </w:r>
      <w:r w:rsidR="002A6755" w:rsidRPr="002A6755">
        <w:rPr>
          <w:rFonts w:ascii="Times New Roman" w:hAnsi="Times New Roman"/>
          <w:sz w:val="24"/>
        </w:rPr>
        <w:t>„</w:t>
      </w:r>
      <w:r>
        <w:rPr>
          <w:rFonts w:ascii="Times New Roman" w:hAnsi="Times New Roman"/>
          <w:sz w:val="24"/>
        </w:rPr>
        <w:t>Reklamuotojai gali užrašyti žodžius „Prancūzijoje atlikta kompensacija“ arba bet kokią lygiavertę reikšmę ar taikymo sritį turinčią nuorodą tik tuo atveju, jei visi kompensavimo projektai vykdomi Prancūzijoje.“</w:t>
      </w:r>
    </w:p>
    <w:p w14:paraId="1D70618D"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2 straipsnis.</w:t>
      </w:r>
    </w:p>
    <w:p w14:paraId="7B5B22DB"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Šis nutarimas įsigalioja 2023 m. sausio 1 d.</w:t>
      </w:r>
      <w:r>
        <w:rPr>
          <w:rFonts w:ascii="Times New Roman" w:hAnsi="Times New Roman"/>
          <w:sz w:val="24"/>
        </w:rPr>
        <w:br/>
        <w:t>Iki 2025 m. gruodžio 31 d. ES valstybėse narėse įgyvendinamų projektų finansavimas yra lygiavertis reklamuotojui skiriamam išmetamųjų teršalų sumažinimui ir surinkimui pagal D. 229-109 straipsnio nuostatas, jei reklamuotojas gali sutartimi pagrįsti, kad galiausiai bus pripažinta nauda už patikrintą ir patvirtintą to projekto išmetamųjų teršalų sumažinimą ir surinkimą. Reklamuotojas užtikrina, kad būtų laikomasi jo išmetamųjų teršalų kompensavimo įsipareigojimų, prireikus įsigydamas papildomų anglies dioksido kreditų, atitinkančių patikrintų ir patvirtintų finansuotų to projekto išmetamųjų teršalų sumažinimo ir surinkimo skirtumą.</w:t>
      </w:r>
    </w:p>
    <w:p w14:paraId="72551415"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3 straipsnis</w:t>
      </w:r>
    </w:p>
    <w:p w14:paraId="44F05274"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Už šio nutarimo, kuris bus paskelbtas Prancūzijos Respublikos oficialiajame leidinyje, įgyvendinimą atsako ekologinės pertvarkos ministrė.</w:t>
      </w:r>
    </w:p>
    <w:p w14:paraId="52980A79"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br/>
        <w:t>Parengta 2022 m. balandžio 13 d.</w:t>
      </w:r>
    </w:p>
    <w:p w14:paraId="2DD6B819"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Ministras Pirmininkas:</w:t>
      </w:r>
    </w:p>
    <w:p w14:paraId="21615F64" w14:textId="4930C9F2"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Ekologinės pertvarkos ministrė</w:t>
      </w:r>
      <w:r>
        <w:rPr>
          <w:rFonts w:ascii="Times New Roman" w:hAnsi="Times New Roman"/>
          <w:sz w:val="24"/>
        </w:rPr>
        <w:br/>
        <w:t xml:space="preserve">Barbara </w:t>
      </w:r>
      <w:r w:rsidR="00AC3F25">
        <w:rPr>
          <w:rFonts w:ascii="Times New Roman" w:hAnsi="Times New Roman"/>
          <w:sz w:val="24"/>
        </w:rPr>
        <w:t>Pompili</w:t>
      </w:r>
    </w:p>
    <w:p w14:paraId="2F953DAB" w14:textId="77777777" w:rsidR="001A38BC" w:rsidRDefault="001A38BC"/>
    <w:sectPr w:rsidR="001A3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9F"/>
    <w:rsid w:val="001A38BC"/>
    <w:rsid w:val="002A3E9F"/>
    <w:rsid w:val="002A6755"/>
    <w:rsid w:val="00AC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9707"/>
  <w15:chartTrackingRefBased/>
  <w15:docId w15:val="{D727B5B7-DCF1-4F0A-896C-F06962F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44236">
      <w:bodyDiv w:val="1"/>
      <w:marLeft w:val="0"/>
      <w:marRight w:val="0"/>
      <w:marTop w:val="0"/>
      <w:marBottom w:val="0"/>
      <w:divBdr>
        <w:top w:val="none" w:sz="0" w:space="0" w:color="auto"/>
        <w:left w:val="none" w:sz="0" w:space="0" w:color="auto"/>
        <w:bottom w:val="none" w:sz="0" w:space="0" w:color="auto"/>
        <w:right w:val="none" w:sz="0" w:space="0" w:color="auto"/>
      </w:divBdr>
      <w:divsChild>
        <w:div w:id="169236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1374</Words>
  <Characters>7834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4</cp:revision>
  <dcterms:created xsi:type="dcterms:W3CDTF">2022-08-01T12:55:00Z</dcterms:created>
  <dcterms:modified xsi:type="dcterms:W3CDTF">2022-08-02T15:12:00Z</dcterms:modified>
</cp:coreProperties>
</file>