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29EB"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2022-539 av den 13 april 2022 om koldioxidkompensation och påståenden om koldioxidneutralitet i reklam</w:t>
      </w:r>
    </w:p>
    <w:p w14:paraId="7E4A232A"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No 0088 av den 14 april 2022</w:t>
      </w:r>
      <w:r>
        <w:rPr>
          <w:rFonts w:ascii="Times New Roman" w:hAnsi="Times New Roman"/>
          <w:sz w:val="24"/>
        </w:rPr>
        <w:br/>
        <w:t>Text No 17</w:t>
      </w:r>
    </w:p>
    <w:p w14:paraId="7D33F9C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Målgrupp: annonsörer. </w:t>
      </w:r>
      <w:r>
        <w:rPr>
          <w:rFonts w:ascii="Times New Roman" w:hAnsi="Times New Roman"/>
          <w:sz w:val="24"/>
        </w:rPr>
        <w:br/>
        <w:t xml:space="preserve">Ärende: detaljerade regler för genomförande av meddelanden, av annonsörer, av uppgifter om koldioxidneutralitet på produkter och tjänster, i enlighet med artikel 12 i lag nr 2021–1104 av den 22 augusti 2021 om bekämpning av klimatförändringar och förstärkning av motståndskraften mot dess effekter. </w:t>
      </w:r>
      <w:r>
        <w:rPr>
          <w:rFonts w:ascii="Times New Roman" w:hAnsi="Times New Roman"/>
          <w:sz w:val="24"/>
        </w:rPr>
        <w:br/>
        <w:t xml:space="preserve">Ikraftträdande: texten träder i kraft den 1 januari 2023. </w:t>
      </w:r>
      <w:r>
        <w:rPr>
          <w:rFonts w:ascii="Times New Roman" w:hAnsi="Times New Roman"/>
          <w:sz w:val="24"/>
        </w:rPr>
        <w:br/>
        <w:t xml:space="preserve">Anmärkning: i dekretet fastställs närmare bestämmelser för annonsörernas meddelanden om koldioxidneutralitet för deras produkter eller tjänster. I direktivet föreskrivs också genkäromål för att säkerställa öppenhet gentemot allmänheten och för att förhindra risken för grönmålning. Det gäller alla annonser som sänds efter det att texten har trätt i kraft. </w:t>
      </w:r>
      <w:r>
        <w:rPr>
          <w:rFonts w:ascii="Times New Roman" w:hAnsi="Times New Roman"/>
          <w:sz w:val="24"/>
        </w:rPr>
        <w:br/>
        <w:t xml:space="preserve">Referenser: Miljöbalken som ändrades av detta dekret kan konsulteras, i sin utarbetade lydelse enligt den här ändringen, på Légifrances webbplats (http://www.legifrance.gouv.fr). </w:t>
      </w:r>
    </w:p>
    <w:p w14:paraId="4E01C99D"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Premiärministern har antagit detta dekret,</w:t>
      </w:r>
      <w:r>
        <w:rPr>
          <w:rFonts w:ascii="Times New Roman" w:hAnsi="Times New Roman"/>
          <w:sz w:val="24"/>
        </w:rPr>
        <w:br/>
        <w:t>på grundval av rapporten från ministern för ekologisk omställning,</w:t>
      </w:r>
      <w:r>
        <w:rPr>
          <w:rFonts w:ascii="Times New Roman" w:hAnsi="Times New Roman"/>
          <w:sz w:val="24"/>
        </w:rPr>
        <w:br/>
        <w:t>med beaktande av direktiv (EU) 2015/1535 från Europaparlamentet och Rådet av den 9 september 2015 om ett informationsförfarande beträffande tekniska föreskrifter och föreskrifter för informationssamhällets tjänster, och särskilt anmälan nr 2021/904/F,</w:t>
      </w:r>
      <w:r>
        <w:rPr>
          <w:rFonts w:ascii="Times New Roman" w:hAnsi="Times New Roman"/>
          <w:sz w:val="24"/>
        </w:rPr>
        <w:br/>
        <w:t>med beaktande av miljöbalken,</w:t>
      </w:r>
      <w:r>
        <w:rPr>
          <w:rFonts w:ascii="Times New Roman" w:hAnsi="Times New Roman"/>
          <w:sz w:val="24"/>
        </w:rPr>
        <w:br/>
        <w:t>med beaktande av lag nr. 2021–1104 av den 22 augusti 2021 om bekämpning av klimatförändringar och förstärkning av motståndskraften mot dess effekter, särskilt artiklarna 12 och 147,</w:t>
      </w:r>
      <w:r>
        <w:rPr>
          <w:rFonts w:ascii="Times New Roman" w:hAnsi="Times New Roman"/>
          <w:sz w:val="24"/>
        </w:rPr>
        <w:br/>
        <w:t>med beaktande av dekret nr. 97–1198 av den 19 december 1997 om genomförande av artikel 2 första stycket i dekret nr 97–34 av den 15 januari 1997 om delegering av enskilda administrativa beslut till ministrarna med ansvar för ekologisk och solidarisk omställning, territoriell sammanhållning och förbindelser med lokala och regionala myndigheter,</w:t>
      </w:r>
      <w:r>
        <w:rPr>
          <w:rFonts w:ascii="Times New Roman" w:hAnsi="Times New Roman"/>
          <w:sz w:val="24"/>
        </w:rPr>
        <w:br/>
        <w:t>med beaktande av dekret nr. 2020–457 av den 21 april 2020 om nationella koldioxidbudgetar och den nationella strategin för låga koldioxidutsläpp,</w:t>
      </w:r>
      <w:r>
        <w:rPr>
          <w:rFonts w:ascii="Times New Roman" w:hAnsi="Times New Roman"/>
          <w:sz w:val="24"/>
        </w:rPr>
        <w:br/>
        <w:t>med beaktande av de iakttagelser som gjordes under det offentliga samråd som genomfördes mellan den 20 januari 2022 och den 10 februari 2022, i enlighet med artikel L. 123–19–1 i miljöbalken.</w:t>
      </w:r>
      <w:r>
        <w:rPr>
          <w:rFonts w:ascii="Times New Roman" w:hAnsi="Times New Roman"/>
          <w:sz w:val="24"/>
        </w:rPr>
        <w:br/>
        <w:t>Härigenom föreskrivs följande:</w:t>
      </w:r>
    </w:p>
    <w:p w14:paraId="35A07E27" w14:textId="77777777" w:rsidR="002A3E9F" w:rsidRPr="002A3E9F" w:rsidRDefault="002A3E9F" w:rsidP="005D5385">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1</w:t>
      </w:r>
    </w:p>
    <w:p w14:paraId="69146A2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Kapitel IX i avdelning II i bok II i miljölagen ska kompletteras med avsnitt 9 på följande sätt:</w:t>
      </w:r>
    </w:p>
    <w:p w14:paraId="4F38EE53"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”Avsnitt 9 Miljöpåståenden</w:t>
      </w:r>
    </w:p>
    <w:p w14:paraId="561BBAAC" w14:textId="34F906D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Artikel D. 229-106. - En annonsör som i en annons hävdar att en produkt eller tjänst är ”koldioxidneutral”, ”utan koldioxid”, ”med noll koldioxidavtryck”, ”klimatneutral”, ”helt klimatkompenserad”, ”100 % klimatkompenserad” eller använder någon formulering med motsvarande innebörd eller räckvidd ska följa bestämmelserna i detta avsnitt.</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Detta avsnitt ska tillämpas på reklamkorrespondens och reklamtrycksaker, reklamaffischer, annonser i presspublikationer, reklam som sänds på biografer, reklam som sänds av televisions- eller radiosändningstjänster och via kommunikationstjänster online, samt på påståenden som anbringats på varornas förpackning.</w:t>
      </w:r>
    </w:p>
    <w:p w14:paraId="00D52E22" w14:textId="079BE35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C144F" w:rsidRPr="004C144F">
        <w:rPr>
          <w:rFonts w:ascii="Times New Roman" w:hAnsi="Times New Roman"/>
          <w:sz w:val="24"/>
        </w:rPr>
        <w:t>”</w:t>
      </w:r>
      <w:r>
        <w:rPr>
          <w:rFonts w:ascii="Times New Roman" w:hAnsi="Times New Roman"/>
          <w:sz w:val="24"/>
        </w:rPr>
        <w:t>Artikel D. 229-107. - En annonsör som avses i artikel D. 229–106 ska upprätta en balansräkning för utsläpp av växthusgaser för den berörda produkten eller tjänsten som täcker hela dess livscykel. Denna balansräkning ska uppdateras årligen.</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Denna balansräkning ska upprättas i enlighet med kraven i standarden NF EN ISO 14067, eller någon annan standard som motsvarar kraven i den standarden. Ett beslut av miljöministern får komplettera dessa krav för att anpassa metoden i utsläppsbalansräkningen till den metod för miljömärkning som föreskrivs i artikel L. 541–9-11 i denna lag.</w:t>
      </w:r>
    </w:p>
    <w:p w14:paraId="0D577312" w14:textId="16B8C7B2"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C144F" w:rsidRPr="004C144F">
        <w:rPr>
          <w:rFonts w:ascii="Times New Roman" w:hAnsi="Times New Roman"/>
          <w:sz w:val="24"/>
        </w:rPr>
        <w:t>”</w:t>
      </w:r>
      <w:r>
        <w:rPr>
          <w:rFonts w:ascii="Times New Roman" w:hAnsi="Times New Roman"/>
          <w:sz w:val="24"/>
        </w:rPr>
        <w:t>Artikel D. 229-108. - Den annonsör som avses i artikel D. 229–106 ska på sin webbplats för offentlig kommunikation online eller, om så inte är fallet, på sin mobilapplikation offentliggöra en sammanfattande rapport som beskriver den marknadsförda produktens eller tjänstens koldioxidavtryck och hur dessa utsläpp av växthusgaser i första hand undviks, därefter minskas och slutligen kompenseras. Denna rapport ska innehålla tre bilagor med närmare uppgifter om innehållet och presenteras i följande ordning:</w:t>
      </w:r>
      <w:r>
        <w:rPr>
          <w:rFonts w:ascii="Times New Roman" w:hAnsi="Times New Roman"/>
          <w:sz w:val="24"/>
        </w:rPr>
        <w:br/>
        <w:t>”(1) En bilaga med resultatet av den balansräkning som avses i artikel D. 229–107 och en sammanfattning av den metod som använts vid upprättandet av balansräkningen. I sammanfattningen ska särskilt anges det tillämpningsområde som används för definitionen av den berörda produkten eller tjänsten, de funktionella eller deklarerade enheter som används, det berörda systemets gränser, metoden för bearbetning av uttjänta produkter och de utsläppsdata som beaktas för el eller gas som förbrukas från näten. Den ska ange det land eller länder eller geografiska område(n) där utsläpp och utsläpp från internationella transporter äger rum, i den mån sådana uppgifter finns tillgängliga,</w:t>
      </w:r>
      <w:r>
        <w:rPr>
          <w:rFonts w:ascii="Times New Roman" w:hAnsi="Times New Roman"/>
          <w:sz w:val="24"/>
        </w:rPr>
        <w:br/>
        <w:t>”(2) En bilaga som anger målbanan för att minska utsläppen av växthusgaser i samband med den utannonserade produkten eller tjänsten, med kvantifierade årliga framstegsmål, som omfattar minst tio år efter offentliggörandet av rapporten enligt detta avsnitt. En uppdaterad utvecklingsbana som omfattar ytterligare tio år ska fastställas vart femte år efter offentliggörandet av den första rapporten enligt detta avsnitt,</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 xml:space="preserve">(3) en bilaga med närmare uppgifter om förfarandena för att kompensera för restutsläpp, </w:t>
      </w:r>
      <w:r>
        <w:rPr>
          <w:rFonts w:ascii="Times New Roman" w:hAnsi="Times New Roman"/>
          <w:sz w:val="24"/>
        </w:rPr>
        <w:lastRenderedPageBreak/>
        <w:t>särskilt med angivande av kompensationsprojektens art och beskrivning.  Denna bilaga kan också frivilligt innehålla information om kostnader, genom att klassificera dem i följande kategorier: mindre än 10 euro/ton CO2, mellan 10 och 40 euro /ton CO2 eller över 40 euro/ton CO2. Denna bilaga visar att den utsläppsvolym som minskas eller lagras genom denna kompensation motsvarar de återstående utsläppen från alla produkter eller tjänster som säljs och påverkas av reklamen. I denna bilaga anges också de medel som annonsören använder för att se till att den ersättning som dessa projekt möjliggör inte räknas dubbelt. I synnerhet fastställs metoder för att avlägsna utsläppsminskningar och -lagringar från marknaden när kompensationskrediter används. I denna bilaga beskrivs slutligen de ansträngningar som gjorts för att säkerställa bästa möjliga samstämmighet mellan de geografiska områden där projekten genomförs och där utsläppen äger rum.</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Detta offentliggörande ska uppdateras årligen under hela produktens eller tjänstens saluföringsperiod under vilken annonsören hävdar i en annons att samma produkt eller tjänst är koldioxidneutral eller använder någon formulering med motsvarande innebörd eller räckvidd. I synnerhet gör uppdateringen det möjligt att övervaka utvecklingen av utsläppen i samband med produkten eller tjänsten i jämförelse med den minskningsbana som nämns ovan. Annonsören drar således tillbaka den fordran som avses i artikel D. 229–106 om det visar sig att utsläppen per enhet i samband med produkten eller tjänsten innan ersättningen har ökat under två på varandra följande år.</w:t>
      </w:r>
      <w:r>
        <w:rPr>
          <w:rFonts w:ascii="Times New Roman" w:hAnsi="Times New Roman"/>
          <w:sz w:val="24"/>
        </w:rPr>
        <w:br/>
        <w:t xml:space="preserve">Webblänken eller snabbsvarskoden för att få tillgång till denna publikation anges på annonsen eller förpackningen med påståendet om koldioxidneutralitet. </w:t>
      </w:r>
    </w:p>
    <w:p w14:paraId="6EE62D2A" w14:textId="57BE7CD4"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4C144F" w:rsidRPr="004C144F">
        <w:rPr>
          <w:rFonts w:ascii="Times New Roman" w:hAnsi="Times New Roman"/>
          <w:sz w:val="24"/>
        </w:rPr>
        <w:t>”</w:t>
      </w:r>
      <w:r>
        <w:rPr>
          <w:rFonts w:ascii="Times New Roman" w:hAnsi="Times New Roman"/>
          <w:sz w:val="24"/>
        </w:rPr>
        <w:t>Artikel D. 229-109. - Utsläppsminskningar och -lagringar till följd av kompensationsprojekt som används av annonsören enligt artikel D. 229–106 ska följa principerna i artikel L. 229–55 och dess genomförandetexter.</w:t>
      </w:r>
      <w:r>
        <w:rPr>
          <w:rFonts w:ascii="Times New Roman" w:hAnsi="Times New Roman"/>
          <w:sz w:val="24"/>
        </w:rPr>
        <w:br/>
        <w:t xml:space="preserve">Kompensationsprojekt får inte inverka menligt på bevarandet och återställandet av naturliga ekosystem och deras funktioner. </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De utsläppsminskningar som erkänns enligt dekret nr 2018–1043 av den 28 november 2018 om fastställande av en märkning ”Bas Carbone” (låg kolhalt) anses vara förenliga med de två föregående punkterna.</w:t>
      </w:r>
      <w:r>
        <w:rPr>
          <w:rFonts w:ascii="Times New Roman" w:hAnsi="Times New Roman"/>
          <w:sz w:val="24"/>
        </w:rPr>
        <w:br/>
      </w:r>
      <w:r w:rsidR="004C144F" w:rsidRPr="004C144F">
        <w:rPr>
          <w:rFonts w:ascii="Times New Roman" w:hAnsi="Times New Roman"/>
          <w:sz w:val="24"/>
        </w:rPr>
        <w:t>”</w:t>
      </w:r>
      <w:r>
        <w:rPr>
          <w:rFonts w:ascii="Times New Roman" w:hAnsi="Times New Roman"/>
          <w:sz w:val="24"/>
        </w:rPr>
        <w:t>Annonsörerna får anbringa orden ”Kompensation utförd i Frankrike”, eller omnämnande av motsvarande betydelse eller räckvidd, endast om alla kompensationsprojekt genomförs i Frankrike.”</w:t>
      </w:r>
    </w:p>
    <w:p w14:paraId="0F5F8F5F"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600BE8FB"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Detta dekret ska träda i kraft den 1 januari 2023.</w:t>
      </w:r>
      <w:r>
        <w:rPr>
          <w:rFonts w:ascii="Times New Roman" w:hAnsi="Times New Roman"/>
          <w:sz w:val="24"/>
        </w:rPr>
        <w:br/>
        <w:t>Fram till och med den 31 december 2025 är finansieringen av projekt i EU:s medlemsstater likvärdig med tilldelningen till annonsören för utsläppsminskningar och -lagringar i enlighet med bestämmelserna i artikel D. 229–109, om annonsören genom ett avtal kan motivera ett eventuellt erkännande av de kontrollerade och godkända utsläppsminskningarna och -lagringarna för detta projekt. Annonsören ska säkerställa efterlevnaden av sina skyldigheter att kompensera för utsläpp, vid behov genom att förvärva ytterligare koldioxidkrediter som motsvarar skillnaden mellan projektets kontrollerade och godkända utsläppsminskningar och -lagringar och de finansierade.</w:t>
      </w:r>
    </w:p>
    <w:p w14:paraId="43F5CB3C" w14:textId="77777777" w:rsidR="002A3E9F" w:rsidRPr="002A3E9F" w:rsidRDefault="002A3E9F" w:rsidP="005D5385">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Artikel 3</w:t>
      </w:r>
    </w:p>
    <w:p w14:paraId="4782A5C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Frankrikes minister för ekologisk omställning ansvarar för genomförandet av detta dekret, som kommer att offentliggöras i Republiken Frankrikes officiella tidning.</w:t>
      </w:r>
    </w:p>
    <w:p w14:paraId="7A1E62C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Utfärdad den 13 april 2022.</w:t>
      </w:r>
    </w:p>
    <w:p w14:paraId="7ABFB7C4"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Av premiärministern:</w:t>
      </w:r>
    </w:p>
    <w:p w14:paraId="27F9CDD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Ministern för grön omställning,</w:t>
      </w:r>
      <w:r>
        <w:rPr>
          <w:rFonts w:ascii="Times New Roman" w:hAnsi="Times New Roman"/>
          <w:sz w:val="24"/>
        </w:rPr>
        <w:br/>
        <w:t>Barbara Pompili</w:t>
      </w:r>
    </w:p>
    <w:p w14:paraId="3559AF41"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4C144F"/>
    <w:rsid w:val="005D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6FD1"/>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3</cp:revision>
  <dcterms:created xsi:type="dcterms:W3CDTF">2022-08-01T13:06:00Z</dcterms:created>
  <dcterms:modified xsi:type="dcterms:W3CDTF">2022-08-02T15:10:00Z</dcterms:modified>
</cp:coreProperties>
</file>