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REPUBLIKEN FRANKRIKE</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Ministeriet för ekologisk omställning</w:t>
            </w:r>
            <w:r>
              <w:br/>
              <w:t>och territoriell sammanhållning</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 xml:space="preserve">Dekret nr        av den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om skyldigheten att presentera obearbetad färsk frukt och obearbetade färska grönsaker för försäljning utan förpackningar som helt eller delvis är tillverkade av plast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i/>
        </w:rPr>
        <w:t>Målgrupp:</w:t>
      </w:r>
      <w:r>
        <w:rPr>
          <w:i/>
        </w:rPr>
        <w:t xml:space="preserve"> återförsäljare som är specialiserade på eller inte är specialiserade på försäljning av frukt och grönsaker i butiker, varuhus och marknader.</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i/>
        </w:rPr>
        <w:t>Ämne:</w:t>
      </w:r>
      <w:r>
        <w:rPr>
          <w:i/>
        </w:rPr>
        <w:t xml:space="preserve"> villkoren för genomförandet av skyldigheten att presentera obearbetad färsk frukt och obearbetade färska grönsaker för försäljning utan förpackningar som helt eller delvis är tillverkade av plast.</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Ikraftträdande:</w:t>
      </w:r>
      <w:r>
        <w:rPr>
          <w:i/>
        </w:rPr>
        <w:t xml:space="preserve"> dekretet träder i kraft dagen efter det att det har offentliggjorts.</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i/>
        </w:rPr>
        <w:t>Anmärkning:</w:t>
      </w:r>
      <w:r>
        <w:rPr>
          <w:i/>
        </w:rPr>
        <w:t xml:space="preserve"> dekretet fastställer villkoren för genomförandet av bestämmelsen i lagen av den 10 februari 2020 om kampen mot avfall och om den cirkulära ekonomin, som föreskriver att all detaljhandel ska tillhandahålla obearbetade frukter och grönsaker till försäljning utan plastförpackning.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Det preciserar att bestämmelsen är tillämplig på obearbetad färsk frukt och obearbetade färska grönsaker, det vill säga frukt och grönsaker som säljs i ursprungligt skick eller som har beretts genom rengöring, putsning, tömning eller torkning.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Det specificerar också definitionen av plastförpackningar. Detta innehåller en förteckning över färsk frukt och färska grönsaker som inte omfattas av detta krav, eftersom de riskerar att försämras vid försäljning i bulk.</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Referenser:</w:t>
      </w:r>
      <w:r>
        <w:rPr>
          <w:i/>
        </w:rPr>
        <w:t xml:space="preserve"> miljöbalken, ändrad genom dekretet, kan i sin lydelse efter den här ändringen, läsas på webbplatsen Légifrance (https://legifrance.gouv.fr).</w:t>
      </w:r>
    </w:p>
    <w:p w14:paraId="3B319840" w14:textId="77777777" w:rsidR="006E305A" w:rsidRPr="006E305A" w:rsidRDefault="006E305A" w:rsidP="006E305A">
      <w:pPr>
        <w:spacing w:before="600"/>
        <w:ind w:firstLine="709"/>
        <w:jc w:val="both"/>
        <w:rPr>
          <w:b/>
          <w:bCs/>
        </w:rPr>
      </w:pPr>
      <w:r>
        <w:rPr>
          <w:b/>
        </w:rPr>
        <w:t>Premiärministern utfärdar detta dekret</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på grundval av rapporten från ministern för ekologisk omställning och territoriell sammanhållning,</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lastRenderedPageBreak/>
        <w:t xml:space="preserve">med beaktande av kommissionens genomförandeförordning (EU) nr 543/2011 av den 7 juni 2011 om tillämpningsföreskrifter för rådets förordning (EG) nr 1234/2007 vad gäller sektorn för frukt och grönsaker och sektorn för bearbetad frukt och bearbetade grönsaker, </w:t>
      </w:r>
    </w:p>
    <w:p w14:paraId="37F0C46A" w14:textId="434CC72A" w:rsidR="00A155FD" w:rsidRPr="00D61874" w:rsidRDefault="00A155FD" w:rsidP="005024FC">
      <w:pPr>
        <w:pStyle w:val="SNConsultation"/>
      </w:pPr>
      <w:r>
        <w:t xml:space="preserve">med beaktande av kommissionens genomförandeförordning (EU) nr 1333/2011 av den 19 december 2011 om fastställande av handelsnormer för bananer, regler för kontroll av efterlevnaden av dessa handelsnormer och krav för anmälningar inom banansektorn,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med beaktande av lag nr 2020–105 av den 10 februari 2020 om kampen mot avfall och om den cirkulära ekonomin, särskilt artikel 77,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med beaktande av miljölagen, särskilt artikel L. 541-15-10,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med beaktande av dekret nr 55–1126 av den 19 augusti 1955 om genomförande av artikel L. 214–1 i konsumentlagen när det gäller handel med frukt och grönsaker,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med beaktande av synpunkterna från det offentliga samrådet mellan </w:t>
      </w:r>
      <w:r>
        <w:rPr>
          <w:highlight w:val="yellow"/>
        </w:rPr>
        <w:t>XX</w:t>
      </w:r>
      <w:r>
        <w:t xml:space="preserve"> december 2022 och </w:t>
      </w:r>
      <w:r>
        <w:rPr>
          <w:highlight w:val="yellow"/>
        </w:rPr>
        <w:t>XX</w:t>
      </w:r>
      <w:r>
        <w:t xml:space="preserve"> januari 2023, i enlighet med artikel L. 123–19–1 i miljöbalken,</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härigenom föreskrivs följande:</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Artikel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Avsnitt 10 i kapitel I i avdelning IV i bok V i miljöbalkens regleringsdel ska kompletteras med en artikel D. 541-334 enligt följande:</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”Artikel D. 541-334. – I.</w:t>
      </w:r>
      <w:r>
        <w:t xml:space="preserve"> – Vid tillämpningen av artikel L. 541–15–10 punkt 16 i III gäller följande definitioner: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 xml:space="preserve">1. </w:t>
      </w:r>
      <w:r>
        <w:rPr>
          <w:i/>
          <w:iCs/>
        </w:rPr>
        <w:t>frukt och grönsaker</w:t>
      </w:r>
      <w:r>
        <w:t>: växter eller delar därav, såsom stjälkar, rötter, knölar, blad, frukter, frön, som är avsedda att användas som livsmedel, och ätbara svampar,</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w:t>
      </w:r>
      <w:r>
        <w:rPr>
          <w:i/>
          <w:iCs/>
        </w:rPr>
        <w:t>obearbetad färsk frukt och obearbetade färska grönsaker</w:t>
      </w:r>
      <w:r>
        <w:t xml:space="preserve">: färsk frukt och färska grönsaker vars beredning överensstämmer med följande gränsvärden: </w:t>
      </w:r>
    </w:p>
    <w:p w14:paraId="742076DE" w14:textId="77777777" w:rsidR="00FA2A1F" w:rsidRDefault="00FA2A1F" w:rsidP="005A05C8">
      <w:pPr>
        <w:ind w:firstLine="709"/>
        <w:jc w:val="both"/>
      </w:pPr>
    </w:p>
    <w:p w14:paraId="273AD17D" w14:textId="2013B393" w:rsidR="005A05C8" w:rsidRDefault="005A05C8" w:rsidP="00FA2A1F">
      <w:pPr>
        <w:ind w:left="1134" w:hanging="425"/>
        <w:jc w:val="both"/>
      </w:pPr>
      <w:r>
        <w:t xml:space="preserve">– </w:t>
      </w:r>
      <w:r w:rsidR="00A90B5F">
        <w:tab/>
      </w:r>
      <w:r>
        <w:t xml:space="preserve">handelsnormer som avses i kommissionens genomförandeförordning (EG) nr 543/2011 av den 7 juni 2011 om tillämpningsföreskrifter för rådets förordning (EG) nr 1234/2007 vad gäller sektorn för frukt och grönsaker och sektorn för bearbetad frukt och bearbetade grönsaker, </w:t>
      </w:r>
    </w:p>
    <w:p w14:paraId="4D8D69E8" w14:textId="2EDCC2A1" w:rsidR="005A05C8" w:rsidRDefault="005A05C8" w:rsidP="00FA2A1F">
      <w:pPr>
        <w:ind w:left="1134" w:hanging="425"/>
        <w:jc w:val="both"/>
      </w:pPr>
      <w:r>
        <w:t xml:space="preserve">– </w:t>
      </w:r>
      <w:r w:rsidR="00A90B5F">
        <w:tab/>
      </w:r>
      <w:r>
        <w:t xml:space="preserve">handelsnormer som avses i kommissionens genomförandeförordning (EU) nr 1333/2011 av den 19 december 2011 om fastställande av handelsnormer för bananer, regler för kontroll av att dessa handelsnormer efterlevs och krav för anmälningar inom banansektorn, </w:t>
      </w:r>
    </w:p>
    <w:p w14:paraId="2C33E934" w14:textId="6623651D" w:rsidR="005A05C8" w:rsidRPr="005A05C8" w:rsidRDefault="005A05C8" w:rsidP="00FA2A1F">
      <w:pPr>
        <w:ind w:left="1134" w:hanging="425"/>
        <w:jc w:val="both"/>
      </w:pPr>
      <w:r>
        <w:t xml:space="preserve">– </w:t>
      </w:r>
      <w:r w:rsidR="00A90B5F">
        <w:tab/>
      </w:r>
      <w:r>
        <w:t xml:space="preserve">beslut som fattats med stöd av artikel 4 i dekret nr 55–1126 av den 19 augusti 1955 om genomförande av artikel L. 214–1 i konsumentlagen vad gäller handel med frukt och grönsaker,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w:t>
      </w:r>
      <w:r>
        <w:rPr>
          <w:i/>
          <w:iCs/>
        </w:rPr>
        <w:t>förpackning</w:t>
      </w:r>
      <w:r>
        <w:t xml:space="preserve">: behållare, yttre hölje eller förslutningsanordning, som helt eller delvis täcker frukten och grönsakerna för att utgöra en enhet för försäljning till konsumenten och för att se till att den presenteras på försäljningsstället,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 xml:space="preserve">4. </w:t>
      </w:r>
      <w:r>
        <w:rPr>
          <w:i/>
          <w:iCs/>
        </w:rPr>
        <w:t>plastmaterial</w:t>
      </w:r>
      <w:r>
        <w:t>: material enligt definitionen i artikel D. 541-330 i miljöbalken.</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Den frukt och de grönsaker som riskeras att försämras vid försäljning i bulk som avses i andra meningen i punkt 16 i III i artikel L. 541–15–10 är följande: </w:t>
      </w:r>
    </w:p>
    <w:p w14:paraId="5AC6333E" w14:textId="77777777" w:rsidR="00341726" w:rsidRDefault="00341726" w:rsidP="00341726">
      <w:pPr>
        <w:jc w:val="both"/>
      </w:pPr>
    </w:p>
    <w:p w14:paraId="72EBB9D2" w14:textId="58BAFA17" w:rsidR="00341726" w:rsidRDefault="00341726" w:rsidP="00341726">
      <w:pPr>
        <w:jc w:val="both"/>
      </w:pPr>
      <w:r>
        <w:t>- majssallad, unga skott, aromatiska örter, ätbara blommor, mungbönegroddar,</w:t>
      </w:r>
    </w:p>
    <w:p w14:paraId="5844973D" w14:textId="0E1EB7B9" w:rsidR="00341726" w:rsidRDefault="00341726" w:rsidP="00341726">
      <w:pPr>
        <w:jc w:val="both"/>
      </w:pPr>
      <w:r>
        <w:t>- groddfrön,</w:t>
      </w:r>
    </w:p>
    <w:p w14:paraId="0BB479B0" w14:textId="7F458C47" w:rsidR="0016162C" w:rsidRDefault="009B5670" w:rsidP="0016162C">
      <w:pPr>
        <w:jc w:val="both"/>
      </w:pPr>
      <w:r>
        <w:t>- mogen frukt,</w:t>
      </w:r>
    </w:p>
    <w:p w14:paraId="6024C5B2" w14:textId="4B7CC75D" w:rsidR="00B12D5E" w:rsidRDefault="0016162C" w:rsidP="00341726">
      <w:pPr>
        <w:jc w:val="both"/>
      </w:pPr>
      <w:r>
        <w:t>- tranbär, lingon, kapkrusbär, och blåbär, hallon, jordgubbar, björnbär, vinbär, harsyra, bergsyra och hibiskus, svarta vinbär och krusbärsaktinidia,</w:t>
      </w:r>
    </w:p>
    <w:p w14:paraId="5ED21BA4" w14:textId="68ABC03B" w:rsidR="00B12D5E" w:rsidRDefault="00B12D5E" w:rsidP="00B12D5E">
      <w:pPr>
        <w:jc w:val="both"/>
      </w:pPr>
      <w:r>
        <w:t> - endiver,</w:t>
      </w:r>
    </w:p>
    <w:p w14:paraId="3D7B41BD" w14:textId="001F8026" w:rsidR="00B12D5E" w:rsidRDefault="009B5670" w:rsidP="00B12D5E">
      <w:pPr>
        <w:ind w:left="-5"/>
      </w:pPr>
      <w:r>
        <w:t>- svampar.</w:t>
      </w:r>
    </w:p>
    <w:p w14:paraId="3C95BD5D" w14:textId="56902FC7" w:rsidR="00B12D5E" w:rsidRDefault="009B5670" w:rsidP="00B12D5E">
      <w:pPr>
        <w:ind w:left="-5"/>
      </w:pPr>
      <w:r>
        <w:t>- små morötter,</w:t>
      </w:r>
    </w:p>
    <w:p w14:paraId="578E5A1F" w14:textId="77777777" w:rsidR="00B12D5E" w:rsidRDefault="00B12D5E" w:rsidP="00B12D5E">
      <w:pPr>
        <w:ind w:left="-5"/>
      </w:pPr>
      <w:r>
        <w:t xml:space="preserve">- spenat och ängssyra.”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Artikel 2</w:t>
      </w:r>
    </w:p>
    <w:p w14:paraId="683E9D53" w14:textId="77777777" w:rsidR="009C04CC" w:rsidRDefault="009C04CC" w:rsidP="00195C7C">
      <w:pPr>
        <w:ind w:firstLine="709"/>
        <w:jc w:val="both"/>
      </w:pPr>
    </w:p>
    <w:p w14:paraId="57BD3D37" w14:textId="2AAC4DD6" w:rsidR="00341726" w:rsidRDefault="009C04CC" w:rsidP="00341726">
      <w:pPr>
        <w:jc w:val="both"/>
      </w:pPr>
      <w:r>
        <w:t>För att möjliggöra bortskaffande av förpackningslager får följande frukt och grönsaker presenteras för försäljning i förpackningar som helt eller delvis består av plastmaterial till och med den 31 december 2023:</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bifftomater, avlånga hjärtformade tomater, körsbärstomater eller cocktailtomater (miniatyrvarianter), </w:t>
      </w:r>
    </w:p>
    <w:p w14:paraId="6FED6CDF" w14:textId="27E595B4" w:rsidR="00B12D5E" w:rsidRDefault="009B5670" w:rsidP="00B12D5E">
      <w:pPr>
        <w:pStyle w:val="ListParagraph"/>
        <w:numPr>
          <w:ilvl w:val="0"/>
          <w:numId w:val="23"/>
        </w:numPr>
      </w:pPr>
      <w:r>
        <w:t>sparris,</w:t>
      </w:r>
    </w:p>
    <w:p w14:paraId="027696F5" w14:textId="6354DDB6" w:rsidR="00B12D5E" w:rsidRDefault="00B12D5E" w:rsidP="00B12D5E">
      <w:pPr>
        <w:pStyle w:val="ListParagraph"/>
        <w:numPr>
          <w:ilvl w:val="0"/>
          <w:numId w:val="23"/>
        </w:numPr>
      </w:pPr>
      <w:r>
        <w:t>broccoli,</w:t>
      </w:r>
    </w:p>
    <w:p w14:paraId="1A89F6DE" w14:textId="068BB10A" w:rsidR="00B12D5E" w:rsidRDefault="00B12D5E" w:rsidP="00B12D5E">
      <w:pPr>
        <w:pStyle w:val="ListParagraph"/>
        <w:numPr>
          <w:ilvl w:val="0"/>
          <w:numId w:val="23"/>
        </w:numPr>
      </w:pPr>
      <w:r>
        <w:t>nypotatis och primörmorötter,</w:t>
      </w:r>
    </w:p>
    <w:p w14:paraId="39D06F87" w14:textId="15776A2D" w:rsidR="00B12D5E" w:rsidRDefault="009B5670" w:rsidP="00B12D5E">
      <w:pPr>
        <w:pStyle w:val="ListParagraph"/>
        <w:numPr>
          <w:ilvl w:val="0"/>
          <w:numId w:val="23"/>
        </w:numPr>
      </w:pPr>
      <w:r>
        <w:t>sallad,</w:t>
      </w:r>
    </w:p>
    <w:p w14:paraId="79B57C4C" w14:textId="3F8C1E57" w:rsidR="00B12D5E" w:rsidRDefault="009B5670" w:rsidP="00341726">
      <w:pPr>
        <w:pStyle w:val="ListParagraph"/>
        <w:numPr>
          <w:ilvl w:val="0"/>
          <w:numId w:val="23"/>
        </w:numPr>
        <w:jc w:val="both"/>
      </w:pPr>
      <w:r>
        <w:t xml:space="preserve">primörlökar, </w:t>
      </w:r>
    </w:p>
    <w:p w14:paraId="1ECA92A8" w14:textId="1D34F630" w:rsidR="00B12D5E" w:rsidRDefault="009B5670" w:rsidP="00341726">
      <w:pPr>
        <w:pStyle w:val="ListParagraph"/>
        <w:numPr>
          <w:ilvl w:val="0"/>
          <w:numId w:val="23"/>
        </w:numPr>
        <w:jc w:val="both"/>
      </w:pPr>
      <w:r>
        <w:t>primörrovor,</w:t>
      </w:r>
    </w:p>
    <w:p w14:paraId="44ADB8B6" w14:textId="77777777" w:rsidR="00B12D5E" w:rsidRDefault="00341726" w:rsidP="00341726">
      <w:pPr>
        <w:pStyle w:val="ListParagraph"/>
        <w:numPr>
          <w:ilvl w:val="0"/>
          <w:numId w:val="23"/>
        </w:numPr>
        <w:jc w:val="both"/>
      </w:pPr>
      <w:r>
        <w:t xml:space="preserve">brysselkål, </w:t>
      </w:r>
    </w:p>
    <w:p w14:paraId="627CA519" w14:textId="0D26E63D" w:rsidR="00B12D5E" w:rsidRDefault="009B5670" w:rsidP="00341726">
      <w:pPr>
        <w:pStyle w:val="ListParagraph"/>
        <w:numPr>
          <w:ilvl w:val="0"/>
          <w:numId w:val="23"/>
        </w:numPr>
        <w:jc w:val="both"/>
      </w:pPr>
      <w:r>
        <w:t>gröna bönor,</w:t>
      </w:r>
    </w:p>
    <w:p w14:paraId="3DBEF345" w14:textId="77777777" w:rsidR="00B12D5E" w:rsidRDefault="00B12D5E" w:rsidP="00B12D5E">
      <w:pPr>
        <w:pStyle w:val="ListParagraph"/>
        <w:numPr>
          <w:ilvl w:val="0"/>
          <w:numId w:val="23"/>
        </w:numPr>
        <w:jc w:val="both"/>
      </w:pPr>
      <w:r>
        <w:t>körsbär,</w:t>
      </w:r>
    </w:p>
    <w:p w14:paraId="23F8FD80" w14:textId="5A9AD835" w:rsidR="00B12D5E" w:rsidRDefault="00341726" w:rsidP="00341726">
      <w:pPr>
        <w:pStyle w:val="ListParagraph"/>
        <w:numPr>
          <w:ilvl w:val="0"/>
          <w:numId w:val="23"/>
        </w:numPr>
        <w:jc w:val="both"/>
      </w:pPr>
      <w:r>
        <w:t>druvor,</w:t>
      </w:r>
    </w:p>
    <w:p w14:paraId="76FB16F4" w14:textId="4222A7F6" w:rsidR="00341726" w:rsidRDefault="00341726" w:rsidP="00341726">
      <w:pPr>
        <w:pStyle w:val="ListParagraph"/>
        <w:numPr>
          <w:ilvl w:val="0"/>
          <w:numId w:val="23"/>
        </w:numPr>
        <w:jc w:val="both"/>
      </w:pPr>
      <w:r>
        <w:t>persikor, nektariner och aprikoser.</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Artikel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Ministern för ekonomi, finans och industriell och digital suveränitet, ministern för jordbruk och livsmedelssuveränitet, ministern för ekologisk omställning och territoriell sammanhållning och statssekreteraren hos ministern för ekologisk omställning och territoriell sammanhållning med ansvar för ekologi ansvarar, var och en med avseende på vad som gäller dem, för genomförandet av detta dekret, som kommer att offentliggöras i Republiken Frankrikes officiella tidning.</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Utfärdat den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76FE" w14:textId="77777777" w:rsidR="00806FBD" w:rsidRDefault="00806FBD" w:rsidP="00DA07F9">
      <w:r>
        <w:separator/>
      </w:r>
    </w:p>
  </w:endnote>
  <w:endnote w:type="continuationSeparator" w:id="0">
    <w:p w14:paraId="75F1EE23" w14:textId="77777777" w:rsidR="00806FBD" w:rsidRDefault="00806FBD"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BDF0" w14:textId="77777777" w:rsidR="00806FBD" w:rsidRDefault="00806FBD" w:rsidP="00DA07F9">
      <w:r>
        <w:separator/>
      </w:r>
    </w:p>
  </w:footnote>
  <w:footnote w:type="continuationSeparator" w:id="0">
    <w:p w14:paraId="04009B02" w14:textId="77777777" w:rsidR="00806FBD" w:rsidRDefault="00806FBD"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06FBD"/>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0B5F"/>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5</cp:revision>
  <cp:lastPrinted>2022-11-02T13:16:00Z</cp:lastPrinted>
  <dcterms:created xsi:type="dcterms:W3CDTF">2022-12-14T16:37:00Z</dcterms:created>
  <dcterms:modified xsi:type="dcterms:W3CDTF">2022-12-22T13:08:00Z</dcterms:modified>
</cp:coreProperties>
</file>