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Besluit van 10 mei 2019 tot wijziging van het besluit van 30 december 2011 tot vaststelling van de veiligheidsvoorschriften voor de constructie van hoogbouw en de bescherming ervan tegen brandgevaar en paniek</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Bedoeld voor: exploitanten en eigenaars van voor het publiek toegankelijke instellingen, opdrachtgevers, bouwdirecties, architecten, leden van veiligheidscomités, technisch controleurs, fabrikanten en installateurs van apparatuur waarbij koelvloeistoffen worden gebruikt.</w:t>
      </w:r>
      <w:r>
        <w:rPr>
          <w:color w:val="000000"/>
          <w:sz w:val="27"/>
          <w:rFonts w:ascii="Times New Roman" w:hAnsi="Times New Roman"/>
        </w:rPr>
        <w:br/>
      </w:r>
      <w:r>
        <w:rPr>
          <w:color w:val="000000"/>
          <w:sz w:val="27"/>
          <w:rFonts w:ascii="Times New Roman" w:hAnsi="Times New Roman"/>
        </w:rPr>
        <w:t xml:space="preserve">Betreft: wijziging van een bepaling inzake de eigenschappen van elektrische toestellen voor koeltechniek in hoogbouw.</w:t>
      </w:r>
      <w:r>
        <w:rPr>
          <w:color w:val="000000"/>
          <w:sz w:val="27"/>
          <w:rFonts w:ascii="Times New Roman" w:hAnsi="Times New Roman"/>
        </w:rPr>
        <w:br/>
      </w:r>
      <w:r>
        <w:rPr>
          <w:color w:val="000000"/>
          <w:sz w:val="27"/>
          <w:rFonts w:ascii="Times New Roman" w:hAnsi="Times New Roman"/>
        </w:rPr>
        <w:t xml:space="preserve">Inwerkingtreding: de dag na de bekendmaking van het onderhavige besluit in het staatsblad van de Franse Republiek.</w:t>
      </w:r>
      <w:r>
        <w:rPr>
          <w:color w:val="000000"/>
          <w:sz w:val="27"/>
          <w:rFonts w:ascii="Times New Roman" w:hAnsi="Times New Roman"/>
        </w:rPr>
        <w:br/>
      </w:r>
      <w:r>
        <w:rPr>
          <w:color w:val="000000"/>
          <w:sz w:val="27"/>
          <w:rFonts w:ascii="Times New Roman" w:hAnsi="Times New Roman"/>
        </w:rPr>
        <w:t xml:space="preserve">Toelichting: de veiligheidsverordening inzake brand in instellingen die voor het publiek toegankelijk zijn, meer bepaald artikel CH 35, werd gewijzigd teneinde het gebruik van tot dusver verboden, ontvlambare koelvloeistoffen toe te staan.</w:t>
      </w:r>
      <w:r>
        <w:rPr>
          <w:color w:val="000000"/>
          <w:sz w:val="27"/>
          <w:rFonts w:ascii="Times New Roman" w:hAnsi="Times New Roman"/>
        </w:rPr>
        <w:t xml:space="preserve"> </w:t>
      </w:r>
      <w:r>
        <w:rPr>
          <w:color w:val="000000"/>
          <w:sz w:val="27"/>
          <w:rFonts w:ascii="Times New Roman" w:hAnsi="Times New Roman"/>
        </w:rPr>
        <w:t xml:space="preserve">Artikel GH 37, § 2 van de brandveiligheidsvoorschriften voor hoge gebouwen verwijst naar de bepalingen van artikel CH 35.</w:t>
      </w:r>
      <w:r>
        <w:rPr>
          <w:color w:val="000000"/>
          <w:sz w:val="27"/>
          <w:rFonts w:ascii="Times New Roman" w:hAnsi="Times New Roman"/>
        </w:rPr>
        <w:t xml:space="preserve"> </w:t>
      </w:r>
      <w:r>
        <w:rPr>
          <w:color w:val="000000"/>
          <w:sz w:val="27"/>
          <w:rFonts w:ascii="Times New Roman" w:hAnsi="Times New Roman"/>
        </w:rPr>
        <w:t xml:space="preserve">In afwachting van een studie voor een specifieke risicoanalyse moet het verbod op gebruik van ontvlambare vloeistoffen in hoogbouw worden gehandhaafd en een niet-gewenste opening door de verwijzing in artikel GH 37 naar artikel CH 35 worden vermeden.</w:t>
      </w:r>
      <w:r>
        <w:rPr>
          <w:color w:val="000000"/>
          <w:sz w:val="27"/>
          <w:rFonts w:ascii="Times New Roman" w:hAnsi="Times New Roman"/>
        </w:rPr>
        <w:br/>
      </w:r>
      <w:r>
        <w:rPr>
          <w:color w:val="000000"/>
          <w:sz w:val="27"/>
          <w:rFonts w:ascii="Times New Roman" w:hAnsi="Times New Roman"/>
        </w:rPr>
        <w:t xml:space="preserve">Verwijzingen: de tekst die door dit besluit wordt gewijzigd, kan in de gewijzigde versie worden geraadpleegd op de website Légifrance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staatssecretaris van Ecologische en Solidaire Transitie, de Grootzegelbewaarder minister van Justitie, de minister van Economische Zaken en Financiën, de minister van Arbeid, de minister van Binnenlandse Zaken, de minister van Hoger Onderwijs, Onderzoek en Innovatie, de minister van Territoriale Samenhang en Betrekkingen met Lokale en Regionale Overheiden, en de minister van Cultuur,</w:t>
      </w:r>
      <w:r>
        <w:rPr>
          <w:color w:val="000000"/>
          <w:sz w:val="27"/>
          <w:rFonts w:ascii="Times New Roman" w:hAnsi="Times New Roman"/>
        </w:rPr>
        <w:br/>
      </w:r>
      <w:r>
        <w:rPr>
          <w:color w:val="000000"/>
          <w:sz w:val="27"/>
          <w:rFonts w:ascii="Times New Roman" w:hAnsi="Times New Roman"/>
        </w:rPr>
        <w:t xml:space="preserve">Gezien Richtlijn (EU) 2015/1535 van het Europees Parlement en de Raad van 9 september 2015 betreffende een informatieprocedure op het gebied van technische voorschriften en regels betreffende de diensten van de informatiemaatschappij, met name kennisgeving nr. 2018/469/F;</w:t>
      </w:r>
      <w:r>
        <w:rPr>
          <w:color w:val="000000"/>
          <w:sz w:val="27"/>
          <w:rFonts w:ascii="Times New Roman" w:hAnsi="Times New Roman"/>
        </w:rPr>
        <w:br/>
      </w:r>
      <w:r>
        <w:rPr>
          <w:color w:val="000000"/>
          <w:sz w:val="27"/>
          <w:rFonts w:ascii="Times New Roman" w:hAnsi="Times New Roman"/>
        </w:rPr>
        <w:t xml:space="preserve">Gezien het wetboek bouwen en wonen, en met name artikel R. 122-4;</w:t>
      </w:r>
      <w:r>
        <w:rPr>
          <w:color w:val="000000"/>
          <w:sz w:val="27"/>
          <w:rFonts w:ascii="Times New Roman" w:hAnsi="Times New Roman"/>
        </w:rPr>
        <w:br/>
      </w:r>
      <w:r>
        <w:rPr>
          <w:color w:val="000000"/>
          <w:sz w:val="27"/>
          <w:rFonts w:ascii="Times New Roman" w:hAnsi="Times New Roman"/>
        </w:rPr>
        <w:t xml:space="preserve">Gezien het besluit van 30 december 2011 tot vaststelling van de veiligheidsvoorschriften voor de constructie van hoogbouw en de bescherming ervan tegen brandgevaar en paniek,</w:t>
      </w:r>
      <w:r>
        <w:rPr>
          <w:color w:val="000000"/>
          <w:sz w:val="27"/>
          <w:rFonts w:ascii="Times New Roman" w:hAnsi="Times New Roman"/>
        </w:rPr>
        <w:br/>
      </w:r>
      <w:r>
        <w:rPr>
          <w:color w:val="000000"/>
          <w:sz w:val="27"/>
          <w:rFonts w:ascii="Times New Roman" w:hAnsi="Times New Roman"/>
        </w:rPr>
        <w:t xml:space="preserve">Gezien het advies van de Hoge Raad inzake bouw en energie-efficiëntie van 16 oktober 2018;</w:t>
      </w:r>
      <w:r>
        <w:rPr>
          <w:color w:val="000000"/>
          <w:sz w:val="27"/>
          <w:rFonts w:ascii="Times New Roman" w:hAnsi="Times New Roman"/>
        </w:rPr>
        <w:br/>
      </w:r>
      <w:r>
        <w:rPr>
          <w:color w:val="000000"/>
          <w:sz w:val="27"/>
          <w:rFonts w:ascii="Times New Roman" w:hAnsi="Times New Roman"/>
        </w:rPr>
        <w:t xml:space="preserve">Gezien het advies van de Nationale Raad voor de Evaluatie van Normen van 11 oktober 2018,</w:t>
      </w:r>
      <w:r>
        <w:rPr>
          <w:color w:val="000000"/>
          <w:sz w:val="27"/>
          <w:rFonts w:ascii="Times New Roman" w:hAnsi="Times New Roman"/>
        </w:rPr>
        <w:br/>
      </w:r>
      <w:r>
        <w:rPr>
          <w:color w:val="000000"/>
          <w:sz w:val="27"/>
          <w:rFonts w:ascii="Times New Roman" w:hAnsi="Times New Roman"/>
        </w:rPr>
        <w:t xml:space="preserve">Beschikken:</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1</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Afdeling VII van hoofdstuk II van titel I van de veiligheidsverordening inzake de bouw van hoogbouw en de bescherming ervan tegen brandgevaar en paniek, goedgekeurd via het hierboven vermelde besluit van 30 december 2011, wordt gewijzigd overeenkomstig artikel 2.</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2</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In artikel GH 37 worden na de woorden „elektrische toestellen voor koeltechniek” de volgende woorden ingevoegd:</w:t>
      </w:r>
      <w:r>
        <w:rPr>
          <w:color w:val="000000"/>
          <w:sz w:val="27"/>
          <w:rFonts w:ascii="Times New Roman" w:hAnsi="Times New Roman"/>
        </w:rPr>
        <w:t xml:space="preserve"> </w:t>
      </w:r>
      <w:r>
        <w:rPr>
          <w:color w:val="000000"/>
          <w:sz w:val="27"/>
          <w:rFonts w:ascii="Times New Roman" w:hAnsi="Times New Roman"/>
        </w:rPr>
        <w:t xml:space="preserve"> </w:t>
      </w:r>
      <w:r>
        <w:rPr>
          <w:color w:val="000000"/>
          <w:sz w:val="27"/>
          <w:rFonts w:ascii="Times New Roman" w:hAnsi="Times New Roman"/>
        </w:rPr>
        <w:t xml:space="preserve">“die geen gebruik maken van ontvlambare koelvloeistoffen,”.</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3</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Onderhavig besluit treedt in werking op de dag na de bekendmaking ervan in het staatsblad van de Franse Republiek.</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Gedaan op 10 mei 2019.</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Binnenlandse Zaken,</w:t>
      </w:r>
      <w:r>
        <w:rPr>
          <w:color w:val="000000"/>
          <w:sz w:val="27"/>
          <w:rFonts w:ascii="Times New Roman" w:hAnsi="Times New Roman"/>
        </w:rPr>
        <w:br/>
      </w:r>
      <w:r>
        <w:rPr>
          <w:color w:val="000000"/>
          <w:sz w:val="27"/>
          <w:rFonts w:ascii="Times New Roman" w:hAnsi="Times New Roman"/>
        </w:rPr>
        <w:t xml:space="preserve">voor en namens de minister:</w:t>
      </w:r>
      <w:r>
        <w:rPr>
          <w:color w:val="000000"/>
          <w:sz w:val="27"/>
          <w:rFonts w:ascii="Times New Roman" w:hAnsi="Times New Roman"/>
        </w:rPr>
        <w:br/>
      </w:r>
      <w:r>
        <w:rPr>
          <w:color w:val="000000"/>
          <w:sz w:val="27"/>
          <w:rFonts w:ascii="Times New Roman" w:hAnsi="Times New Roman"/>
        </w:rPr>
        <w:t xml:space="preserve">Hoofd van de dienst, adjunct-directeur-generaal civiele veiligheid en crisisbeheersing, verantwoordelijk voor het directoraat brandweerlieden,</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staatssecretaris van Ecologische en Solidaire Transitie,</w:t>
      </w:r>
      <w:r>
        <w:rPr>
          <w:color w:val="000000"/>
          <w:sz w:val="27"/>
          <w:rFonts w:ascii="Times New Roman" w:hAnsi="Times New Roman"/>
        </w:rPr>
        <w:br/>
      </w:r>
      <w:r>
        <w:rPr>
          <w:color w:val="000000"/>
          <w:sz w:val="27"/>
          <w:rFonts w:ascii="Times New Roman" w:hAnsi="Times New Roman"/>
        </w:rPr>
        <w:t xml:space="preserve">voor en namens de staatssecretaris:</w:t>
      </w:r>
      <w:r>
        <w:rPr>
          <w:color w:val="000000"/>
          <w:sz w:val="27"/>
          <w:rFonts w:ascii="Times New Roman" w:hAnsi="Times New Roman"/>
        </w:rPr>
        <w:br/>
      </w:r>
      <w:r>
        <w:rPr>
          <w:color w:val="000000"/>
          <w:sz w:val="27"/>
          <w:rFonts w:ascii="Times New Roman" w:hAnsi="Times New Roman"/>
        </w:rPr>
        <w:t xml:space="preserve">Directeur Huisvesting, Stedenbouw en Landschap,</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Grootzegelbewaarder minister van Justitie,</w:t>
      </w:r>
      <w:r>
        <w:rPr>
          <w:color w:val="000000"/>
          <w:sz w:val="27"/>
          <w:rFonts w:ascii="Times New Roman" w:hAnsi="Times New Roman"/>
        </w:rPr>
        <w:br/>
      </w:r>
      <w:r>
        <w:rPr>
          <w:color w:val="000000"/>
          <w:sz w:val="27"/>
          <w:rFonts w:ascii="Times New Roman" w:hAnsi="Times New Roman"/>
        </w:rPr>
        <w:t xml:space="preserve">voor en namens de minister:</w:t>
      </w:r>
      <w:r>
        <w:rPr>
          <w:color w:val="000000"/>
          <w:sz w:val="27"/>
          <w:rFonts w:ascii="Times New Roman" w:hAnsi="Times New Roman"/>
        </w:rPr>
        <w:br/>
      </w:r>
      <w:r>
        <w:rPr>
          <w:color w:val="000000"/>
          <w:sz w:val="27"/>
          <w:rFonts w:ascii="Times New Roman" w:hAnsi="Times New Roman"/>
        </w:rPr>
        <w:t xml:space="preserve">Secretaris-generaal,</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Economische Zaken en Financiën,</w:t>
      </w:r>
      <w:r>
        <w:rPr>
          <w:color w:val="000000"/>
          <w:sz w:val="27"/>
          <w:rFonts w:ascii="Times New Roman" w:hAnsi="Times New Roman"/>
        </w:rPr>
        <w:br/>
      </w:r>
      <w:r>
        <w:rPr>
          <w:color w:val="000000"/>
          <w:sz w:val="27"/>
          <w:rFonts w:ascii="Times New Roman" w:hAnsi="Times New Roman"/>
        </w:rPr>
        <w:t xml:space="preserve">voor en namens de minister:</w:t>
      </w:r>
      <w:r>
        <w:rPr>
          <w:color w:val="000000"/>
          <w:sz w:val="27"/>
          <w:rFonts w:ascii="Times New Roman" w:hAnsi="Times New Roman"/>
        </w:rPr>
        <w:br/>
      </w:r>
      <w:r>
        <w:rPr>
          <w:color w:val="000000"/>
          <w:sz w:val="27"/>
          <w:rFonts w:ascii="Times New Roman" w:hAnsi="Times New Roman"/>
        </w:rPr>
        <w:t xml:space="preserve">Hoofd van het Industrie Departement,</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Arbeid,</w:t>
      </w:r>
      <w:r>
        <w:rPr>
          <w:color w:val="000000"/>
          <w:sz w:val="27"/>
          <w:rFonts w:ascii="Times New Roman" w:hAnsi="Times New Roman"/>
        </w:rPr>
        <w:br/>
      </w:r>
      <w:r>
        <w:rPr>
          <w:color w:val="000000"/>
          <w:sz w:val="27"/>
          <w:rFonts w:ascii="Times New Roman" w:hAnsi="Times New Roman"/>
        </w:rPr>
        <w:t xml:space="preserve">Voor de minister en bij volmacht:</w:t>
      </w:r>
      <w:r>
        <w:rPr>
          <w:color w:val="000000"/>
          <w:sz w:val="27"/>
          <w:rFonts w:ascii="Times New Roman" w:hAnsi="Times New Roman"/>
        </w:rPr>
        <w:br/>
      </w:r>
      <w:r>
        <w:rPr>
          <w:color w:val="000000"/>
          <w:sz w:val="27"/>
          <w:rFonts w:ascii="Times New Roman" w:hAnsi="Times New Roman"/>
        </w:rPr>
        <w:t xml:space="preserve">Directeur-generaal Arbeid,</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Hoger Onderwijs,</w:t>
      </w:r>
      <w:r>
        <w:rPr>
          <w:color w:val="000000"/>
          <w:sz w:val="27"/>
          <w:rFonts w:ascii="Times New Roman" w:hAnsi="Times New Roman"/>
        </w:rPr>
        <w:br/>
      </w:r>
      <w:r>
        <w:rPr>
          <w:color w:val="000000"/>
          <w:sz w:val="27"/>
          <w:rFonts w:ascii="Times New Roman" w:hAnsi="Times New Roman"/>
        </w:rPr>
        <w:t xml:space="preserve">Onderzoek en Innovatie,</w:t>
      </w:r>
      <w:r>
        <w:rPr>
          <w:color w:val="000000"/>
          <w:sz w:val="27"/>
          <w:rFonts w:ascii="Times New Roman" w:hAnsi="Times New Roman"/>
        </w:rPr>
        <w:br/>
      </w:r>
      <w:r>
        <w:rPr>
          <w:color w:val="000000"/>
          <w:sz w:val="27"/>
          <w:rFonts w:ascii="Times New Roman" w:hAnsi="Times New Roman"/>
        </w:rPr>
        <w:t xml:space="preserve">Voor de minister en bij volmacht:</w:t>
      </w:r>
      <w:r>
        <w:rPr>
          <w:color w:val="000000"/>
          <w:sz w:val="27"/>
          <w:rFonts w:ascii="Times New Roman" w:hAnsi="Times New Roman"/>
        </w:rPr>
        <w:br/>
      </w:r>
      <w:r>
        <w:rPr>
          <w:color w:val="000000"/>
          <w:sz w:val="27"/>
          <w:rFonts w:ascii="Times New Roman" w:hAnsi="Times New Roman"/>
        </w:rPr>
        <w:t xml:space="preserve">Directeur-generaal Hoger Onderwijs en Beroepsintegratie,</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Territoriale Samenhang en Betrekkingen met Lokale en Regionale Overheden, voor en namens de minister:</w:t>
      </w:r>
      <w:r>
        <w:rPr>
          <w:color w:val="000000"/>
          <w:sz w:val="27"/>
          <w:rFonts w:ascii="Times New Roman" w:hAnsi="Times New Roman"/>
        </w:rPr>
        <w:br/>
      </w:r>
      <w:r>
        <w:rPr>
          <w:color w:val="000000"/>
          <w:sz w:val="27"/>
          <w:rFonts w:ascii="Times New Roman" w:hAnsi="Times New Roman"/>
        </w:rPr>
        <w:t xml:space="preserve">Directeur Huisvesting, Stedenbouw en Landschap,</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 minister van Cultuur,</w:t>
      </w:r>
      <w:r>
        <w:rPr>
          <w:color w:val="000000"/>
          <w:sz w:val="27"/>
          <w:rFonts w:ascii="Times New Roman" w:hAnsi="Times New Roman"/>
        </w:rPr>
        <w:br/>
      </w:r>
      <w:r>
        <w:rPr>
          <w:color w:val="000000"/>
          <w:sz w:val="27"/>
          <w:rFonts w:ascii="Times New Roman" w:hAnsi="Times New Roman"/>
        </w:rPr>
        <w:t xml:space="preserve">voor en namens de minister:</w:t>
      </w:r>
      <w:r>
        <w:rPr>
          <w:color w:val="000000"/>
          <w:sz w:val="27"/>
          <w:rFonts w:ascii="Times New Roman" w:hAnsi="Times New Roman"/>
        </w:rPr>
        <w:br/>
      </w:r>
      <w:r>
        <w:rPr>
          <w:color w:val="000000"/>
          <w:sz w:val="27"/>
          <w:rFonts w:ascii="Times New Roman" w:hAnsi="Times New Roman"/>
        </w:rPr>
        <w:t xml:space="preserve">Directeur-generaal van het Erfgoed,</w:t>
      </w:r>
      <w:r>
        <w:rPr>
          <w:color w:val="000000"/>
          <w:sz w:val="27"/>
          <w:rFonts w:ascii="Times New Roman" w:hAnsi="Times New Roman"/>
        </w:rPr>
        <w:br/>
      </w:r>
      <w:r>
        <w:rPr>
          <w:color w:val="000000"/>
          <w:sz w:val="27"/>
          <w:rFonts w:ascii="Times New Roman" w:hAnsi="Times New Roman"/>
        </w:rPr>
        <w:t xml:space="preserve">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