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C258" w14:textId="77777777" w:rsidR="002D4E30" w:rsidRPr="002D4E30" w:rsidRDefault="002D4E30" w:rsidP="002D4E30">
      <w:pPr>
        <w:spacing w:before="100" w:beforeAutospacing="1" w:after="100" w:afterAutospacing="1" w:line="240" w:lineRule="auto"/>
        <w:outlineLvl w:val="1"/>
        <w:rPr>
          <w:b/>
          <w:bCs/>
          <w:color w:val="000000"/>
          <w:sz w:val="36"/>
          <w:szCs w:val="36"/>
          <w:rFonts w:ascii="Times New Roman" w:eastAsia="Times New Roman" w:hAnsi="Times New Roman" w:cs="Times New Roman"/>
        </w:rPr>
      </w:pPr>
      <w:r>
        <w:rPr>
          <w:b/>
          <w:color w:val="000000"/>
          <w:sz w:val="36"/>
          <w:rFonts w:ascii="Times New Roman" w:hAnsi="Times New Roman"/>
        </w:rPr>
        <w:t xml:space="preserve">Vyhláška z 10. mája 2019, ktorou sa mení vyhláška z 30. decembra 2011, ktorou sa stanovuje bezpečnostný predpis týkajúci sa výstavby výškových budov a ich ochrany proti rizikám požiaru a paniky</w:t>
      </w:r>
    </w:p>
    <w:p w14:paraId="3A3496B1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Dotknutá verejnosť: prevádzkovatelia a vlastníci verejne prístupných zariadení, zhotovitelia, dodávatelia, architekti, členovia bezpečnostných komisií, technickí kontrolóri, výrobcovia a inštalatéri zariadení využívajúcich chladivá.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Predmet: zmena jedného ustanovenia týkajúceho sa vlastností elektrických prístrojov na výrobu chladu vo výškových budovách (VB).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Nadobudnutie účinnosti: deň po uverejnení v Úradnom vestníku Francúzskej republiky.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Poznámka: bezpečnostný predpis proti požiaru vo verejne prístupných zariadeniach (VPZ), a najmä jeho článok CH 35, bol zmenený tak, aby umožňoval používanie horľavých chladív, ktoré boli doposiaľ zakázané.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Článok GH 37 ods. 2 bezpečnostného predpisu proti požiaru vo výškových budovách odkazuje na ustanovenia článku CH 35.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Až do získania štúdie analýzy konkrétnych rizík je nevyhnutné, aby sa zachovali aj obmedzenia vzťahujúce sa na používanie chladív vo VB a zabránilo sa neželanému otvoreniu tak, že článok GH 37 bude odkazovať na článok CH 35.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Odkazy: text zmenený touto vyhláškou je v znení, ktoré vyplýva z tejto zmeny, dostupný na stránke Légifrance (http://www.legifrance.gouv.fr).</w:t>
      </w:r>
    </w:p>
    <w:p w14:paraId="0E85CD4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Štátny minister ekologickej a solidárnej transformácie, strážca pečatí, minister spravodlivosti, minister hospodárstva a financií, minister práce, minister  vnútra, minister pre vysokoškolské vzdelávanie, výskum a inovácie, minister pre územnú súdržnosť a vzťahy s miestnymi a regionálnymi samosprávami a minister kultúry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so zreteľom na smernicu Európskeho parlamentu a Rady 2015/1535 z 9. septembra 2015, ktorou sa stanovuje postup pri poskytovaní informácií v oblasti technických predpisov a pravidiel vzťahujúcich sa na služby informačnej spoločnosti, a najmä na oznámenie č. 2018/469/F,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so zreteľom na zákonník výstavby a bývania, a najmä na jeho článok R 122-4     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so zreteľom na vyhlášku z 30. decembra 2011, ktorou sa stanovuje bezpečnostný predpis týkajúci sa výstavby výškových budov a ich ochrany proti rizikám požiaru a paniky,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so zreteľom na stanovisko Najvyššej rady pre stavebníctvo a energetickú účinnosť zo 16. októbra 2018,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so zreteľom na stanovisko Národnej rady pre hodnotenie noriem z 11. októbra 2018,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týmto nariaďujú:</w:t>
      </w:r>
    </w:p>
    <w:p w14:paraId="3E2119D9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Článok 1</w:t>
      </w:r>
    </w:p>
    <w:p w14:paraId="16E979BE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Oddiel VII kapitoly II prvej hlavy bezpečnostného predpisu týkajúceho sa výstavby výškových budov a ich ochrany proti rizikám požiaru a paniky, ktorý bol schválený uvedenou vyhláškou z 30. decembra 2011, sa mení v súlade s článkom 2.</w:t>
      </w:r>
    </w:p>
    <w:p w14:paraId="15F034AF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Článok 2</w:t>
      </w:r>
    </w:p>
    <w:p w14:paraId="3B21DC11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V článku GH 37 sa za slová: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„elektrické prístroje na výrobu chladu“ vkladajú slová: „ktoré nepoužívajú horľavé chladivá,“.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vkladajú slová „, ’utilisant pas de fluides frigorigènes inflammables,“ („, bez použitia horľavých chladív,“).</w:t>
      </w:r>
    </w:p>
    <w:p w14:paraId="1D043E63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Článok 3</w:t>
      </w:r>
    </w:p>
    <w:p w14:paraId="46DA1702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Táto vyhláška nadobudne účinnosť v deň po jej uverejnení v Úradnom vestníku Francúzskej republiky.</w:t>
      </w:r>
    </w:p>
    <w:p w14:paraId="37B186A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Dňa 10. mája 2019.</w:t>
      </w:r>
    </w:p>
    <w:p w14:paraId="3087E08E" w14:textId="2E422699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Minister vnútra,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Za ministra a v zastúpení ministra: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vedúci útvaru, zástupca generálneho riaditeľa pre civilnú bezpečnosť a krízové riadenie, zodpovedný za riaditeľstvo hasičského zboru,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M. Marquer</w:t>
      </w:r>
    </w:p>
    <w:p w14:paraId="67BE754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štátny minister ekologickej a solidárnej transformácie,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Za štátneho ministra a v zastúpení: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riaditeľ bývania, urbanistického plánovania a krajiny,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F. Adam</w:t>
      </w:r>
    </w:p>
    <w:p w14:paraId="10A6593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strážca pečatí, minister pre spravodlivosti,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Za ministra a v zastúpení: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generálny tajomník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V. Malbec</w:t>
      </w:r>
    </w:p>
    <w:p w14:paraId="58B9A22B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minister hospodárstva a financií,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Za ministra a v zastúpení: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vedúci odboru priemyslu,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J. Tognola</w:t>
      </w:r>
    </w:p>
    <w:p w14:paraId="648F29E1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Ministerka práce,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Za ministerku a v zastúpení: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generálny riaditeľ práce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Y. Struillou</w:t>
      </w:r>
    </w:p>
    <w:p w14:paraId="634689E8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Ministerka vysokého školstva,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výskumu a inovácií,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Za ministerku a v zastúpení: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generálny riaditeľ pre vysokoškolské vzdelávanie a odbornú integráciu,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B. Plateau</w:t>
      </w:r>
    </w:p>
    <w:p w14:paraId="24257C13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minister pre územnú súdržnosť a vzťahy s miestnymi a regionálnymi samosprávami,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Za ministra a v delegácii: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riaditeľ bývania, urbanistického plánovania a krajiny,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F. Adam</w:t>
      </w:r>
    </w:p>
    <w:p w14:paraId="4D15A2DE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minister kultúry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Za ministra a v delegácii: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generálny riaditeľ pre dedičstvo,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P. Barbat</w:t>
      </w:r>
    </w:p>
    <w:p w14:paraId="521600CE" w14:textId="77777777" w:rsidR="00A44B5B" w:rsidRDefault="00A44B5B"/>
    <w:sectPr w:rsidR="00A44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30"/>
    <w:rsid w:val="002D4E30"/>
    <w:rsid w:val="007A46F7"/>
    <w:rsid w:val="00A4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D9E2"/>
  <w15:chartTrackingRefBased/>
  <w15:docId w15:val="{BDDE6BE2-9B6C-44E7-AEA4-892EE1BE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Dimitris Dimitriadis</cp:lastModifiedBy>
  <cp:revision>2</cp:revision>
  <dcterms:created xsi:type="dcterms:W3CDTF">2021-08-25T12:30:00Z</dcterms:created>
  <dcterms:modified xsi:type="dcterms:W3CDTF">2021-11-21T13:25:00Z</dcterms:modified>
</cp:coreProperties>
</file>