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0A093" w14:textId="77777777" w:rsidR="00F3442A" w:rsidRPr="00006360" w:rsidRDefault="00E8180F" w:rsidP="0074486B">
      <w:r>
        <w:t>Preambul</w:t>
      </w:r>
    </w:p>
    <w:p w14:paraId="6C4CF8C6" w14:textId="77777777" w:rsidR="00F3442A" w:rsidRPr="00006360" w:rsidRDefault="00F3442A" w:rsidP="0074486B"/>
    <w:p w14:paraId="2F406B97" w14:textId="59272201" w:rsidR="00EA20C6" w:rsidRPr="00006360" w:rsidRDefault="00E8180F" w:rsidP="0074486B">
      <w:r>
        <w:t>Materialele plastice ne fac viața mai ușoară în mai multe moduri și sunt adesea mai ușoare și mai puțin costisitoare decât alte materiale alternative, luând în considerare doar costurile lor de producție. Totuși, acest avantaj, împreună cu alte dinamici ale pieței, duce la utilizarea excesivă a materialelor plastice și la promovarea unei culturi a articolelor de unică folosință.</w:t>
      </w:r>
    </w:p>
    <w:p w14:paraId="2E628EFC" w14:textId="76705B00" w:rsidR="00F3442A" w:rsidRPr="00006360" w:rsidRDefault="00EA20C6" w:rsidP="0074486B">
      <w:r>
        <w:t xml:space="preserve">Dacă nu sunt eliminate sau reciclate în mod corespunzător, materialele plastice pot ajunge în mediu, unde rămân timp de secole, degradându-se în bucăți mai mici. Atunci când aceste piese mici măsoară mai puțin de 5 mm, ele sunt numite </w:t>
      </w:r>
      <w:r>
        <w:rPr>
          <w:rStyle w:val="Strong"/>
          <w:b w:val="0"/>
        </w:rPr>
        <w:t>„microplastice”</w:t>
      </w:r>
      <w:r>
        <w:t xml:space="preserve"> și devin un motiv de îngrijorare din cauza duratei lor îndelungate de viață și potențialului lor de a se acumula în mediul înconjurător.</w:t>
      </w:r>
    </w:p>
    <w:p w14:paraId="1EB99D83" w14:textId="60DBC92C" w:rsidR="00F3442A" w:rsidRPr="00006360" w:rsidRDefault="00E8180F" w:rsidP="0074486B">
      <w:r>
        <w:t xml:space="preserve">Microplasticele sunt particule solide compuse din amestecuri de polimeri și aditivi funcționali. Microplasticele se pot forma în mod </w:t>
      </w:r>
      <w:r>
        <w:rPr>
          <w:rStyle w:val="Strong"/>
          <w:b w:val="0"/>
        </w:rPr>
        <w:t>neintenționat</w:t>
      </w:r>
      <w:r>
        <w:t xml:space="preserve">, de exemplu din cauza oxidării materialelor polimerice utilizate în articole din plastic, anvelope sau textile sintetice. Cu toate acestea, ele sunt, de asemenea, fabricate </w:t>
      </w:r>
      <w:r>
        <w:rPr>
          <w:rStyle w:val="Strong"/>
          <w:b w:val="0"/>
        </w:rPr>
        <w:t>în mod intenționat</w:t>
      </w:r>
      <w:r>
        <w:t xml:space="preserve"> </w:t>
      </w:r>
      <w:r>
        <w:rPr>
          <w:rStyle w:val="Strong"/>
          <w:b w:val="0"/>
        </w:rPr>
        <w:t>și adăugate</w:t>
      </w:r>
      <w:r>
        <w:t xml:space="preserve"> la produse pentru anumite scopuri, cum ar fi microbilele exfoliante din produsele exfoliante faciale sau corporale.</w:t>
      </w:r>
    </w:p>
    <w:p w14:paraId="2E262D6B" w14:textId="17837B55" w:rsidR="00F3442A" w:rsidRPr="008F4FB8" w:rsidRDefault="00E8180F" w:rsidP="008F4FB8">
      <w:r>
        <w:t>Motivate de preocupări legate de mediu și sănătate, mai multe state membre ale UE au adoptat deja sau au propus interdicții naționale privind utilizarea intenționată a microplasticelor în produsele de consum. Interdicțiile se referă în principal la utilizarea microbilelor în produsele cosmetice, care se scurg odată cu apa după utilizare, în care sunt utilizate ca agenți abrazivi și de lustruire.</w:t>
      </w:r>
    </w:p>
    <w:p w14:paraId="6449E11D" w14:textId="6BEC7738" w:rsidR="00F3442A" w:rsidRPr="00006360" w:rsidRDefault="00EA20C6" w:rsidP="0074486B">
      <w:r>
        <w:t xml:space="preserve">Fără a aduce atingere legislației naționale aplicabile în mai multe state membre, un proiect de restricționare a microplasticelor este în curs de elaborare la nivelul Uniunii Europene în cadrul Regulamentului (CE) nr. 1907/2006 al Parlamentului European și al Consiliului din </w:t>
      </w:r>
      <w:r>
        <w:lastRenderedPageBreak/>
        <w:t>18 decembrie 2006 privind înregistrarea, evaluarea, autorizarea și restricționarea substanțelor chimice (Regulamentul REACH), cu un domeniu de aplicare mai larg decât cel reglementat de prezentul act.</w:t>
      </w:r>
    </w:p>
    <w:p w14:paraId="61239819" w14:textId="3AEFBF48" w:rsidR="00814203" w:rsidRPr="008F4FB8" w:rsidRDefault="00BF7812" w:rsidP="0074486B">
      <w:pPr>
        <w:rPr>
          <w:iCs/>
        </w:rPr>
      </w:pPr>
      <w:r>
        <w:t xml:space="preserve">În 2017, Comisia Europeană a solicitat Agenției Europene pentru Produse Chimice (ECHA) să evalueze dovezile științifice pentru adoptarea de măsuri de reglementare la nivelul UE privind microplasticele care sunt adăugate în mod intenționat în produse, iar în ianuarie 2019 ECHA a propus o interdicție la nivel general a microplasticelor în produsele comercializate în Uniunea Europeană pentru a preveni sau reduce eliberarea acestora în mediu. </w:t>
      </w:r>
    </w:p>
    <w:p w14:paraId="22ED419D" w14:textId="69A685EB" w:rsidR="00814203" w:rsidRPr="008F4FB8" w:rsidRDefault="00814203" w:rsidP="0074486B">
      <w:r>
        <w:t>Evaluarea efectuată de ECHA a concluzionat că, pentru anumite utilizări ale microplasticelor, există deja alternative pe piață, și anume pentru microbilele cu funcții de exfoliere și curățare utilizate în produsele cosmetice care sunt clătite cu apă.</w:t>
      </w:r>
    </w:p>
    <w:p w14:paraId="25269A95" w14:textId="38FF5B8E" w:rsidR="00F3442A" w:rsidRPr="008F4FB8" w:rsidRDefault="00E8180F" w:rsidP="0074486B">
      <w:pPr>
        <w:rPr>
          <w:iCs/>
        </w:rPr>
      </w:pPr>
      <w:r>
        <w:t>Comisia Europeană ar trebui să își pregătească propunerea legislativă de modificare a listei substanțelor care fac obiectul interdicției, în conformitate cu anexa XVII la Regulamentul REACH, pe baza propunerii ECHA și a avizului comitetelor științifice respective.</w:t>
      </w:r>
    </w:p>
    <w:p w14:paraId="24AED4FB" w14:textId="77CE7ED8" w:rsidR="00927820" w:rsidRPr="008F4FB8" w:rsidRDefault="00927820" w:rsidP="0074486B">
      <w:r>
        <w:t>Articolul 321 din Legea nr. 75-B/2020 din 31 decembrie, prin care se aprobă bugetul de stat pentru 2021, impune Guvernului obligația de a interzice introducerea pe piață a produselor cosmetice, a produselor de igienă personală, a detergenților și a produselor de curățare care conțin microbile din plastic constituite din particule sintetice cu dimensiuni mai mici de 5 mm, obligație pe care prezenta lege o respectă. În ceea ce privește categoriile de produse menționate, conceptele de „produs cosmetic” și „detergent” conținute în regulamentele Uniunii Europene se referă la cele denumite în mod obișnuit produse de igienă personală și, respectiv, produse de curățare iar, din motive de uniformitate, se referă exclusiv la cele dintâi.</w:t>
      </w:r>
    </w:p>
    <w:p w14:paraId="3B669B8C" w14:textId="77777777" w:rsidR="00586237" w:rsidRPr="008F4FB8" w:rsidRDefault="00586237" w:rsidP="008F4FB8">
      <w:r>
        <w:t>Statele trebuie să promoveze modele durabile de producție și consum și de protecție a mediului, a sănătății publice și a lucrătorilor.</w:t>
      </w:r>
    </w:p>
    <w:p w14:paraId="3E50E9BB" w14:textId="346C7BD6" w:rsidR="00F3442A" w:rsidRPr="008F4FB8" w:rsidRDefault="00E8180F" w:rsidP="008F4FB8">
      <w:r>
        <w:lastRenderedPageBreak/>
        <w:t>Prezentul decret-lege a făcut obiectul unei consultări publice între xxx și xxx și a fost supus procedurii de informare în domeniul reglementărilor tehnice și al normelor privind serviciile societății informaționale prevăzute în Directiva (UE) 2015/1535 a Parlamentului European și a Consiliului din 9 septembrie 2015.</w:t>
      </w:r>
    </w:p>
    <w:p w14:paraId="4123805A" w14:textId="67EDAA1A" w:rsidR="00F3442A" w:rsidRPr="008F4FB8" w:rsidRDefault="00E8180F" w:rsidP="0074486B">
      <w:pPr>
        <w:pStyle w:val="NormalWeb"/>
        <w:rPr>
          <w:rFonts w:ascii="Garamond" w:hAnsi="Garamond"/>
        </w:rPr>
      </w:pPr>
      <w:r>
        <w:rPr>
          <w:rFonts w:ascii="Garamond" w:hAnsi="Garamond"/>
        </w:rPr>
        <w:t>Au fost audiate organismele guvernamentale proprii ale Regiunilor Autonome.</w:t>
      </w:r>
    </w:p>
    <w:p w14:paraId="2C120D7B" w14:textId="77777777" w:rsidR="008E7F87" w:rsidRPr="00006360" w:rsidRDefault="008E7F87" w:rsidP="0074486B">
      <w:r>
        <w:t>În temeiul articolului 198 alineatul (1) litera (a) din Constituție, guvernul decretează următoarele:</w:t>
      </w:r>
    </w:p>
    <w:p w14:paraId="15C1DCD5" w14:textId="66A91463" w:rsidR="00F3442A" w:rsidRPr="00006360" w:rsidRDefault="00F44F9F" w:rsidP="00AD05BC">
      <w:pPr>
        <w:pStyle w:val="Heading1"/>
        <w:ind w:firstLine="450"/>
      </w:pPr>
      <w:r>
        <w:br/>
        <w:t>Obiect</w:t>
      </w:r>
    </w:p>
    <w:p w14:paraId="49419678" w14:textId="197BFC62" w:rsidR="00F3442A" w:rsidRPr="0074486B" w:rsidRDefault="00793018" w:rsidP="0074486B">
      <w:r>
        <w:t>Prezentul ordin se aplică produselor cosmetice și detergenților care conțin microbile din plastic.</w:t>
      </w:r>
    </w:p>
    <w:p w14:paraId="2EA5994F" w14:textId="77777777" w:rsidR="00F3442A" w:rsidRPr="00006360" w:rsidRDefault="00F3442A" w:rsidP="0074486B"/>
    <w:p w14:paraId="22C6D840" w14:textId="79D09107" w:rsidR="00F3442A" w:rsidRPr="00006360" w:rsidRDefault="00F44F9F" w:rsidP="00AD05BC">
      <w:pPr>
        <w:pStyle w:val="Heading1"/>
        <w:ind w:firstLine="900"/>
      </w:pPr>
      <w:r>
        <w:t xml:space="preserve"> </w:t>
      </w:r>
      <w:r>
        <w:br/>
        <w:t>Definiții</w:t>
      </w:r>
    </w:p>
    <w:p w14:paraId="4162DF93" w14:textId="3FB417B2" w:rsidR="00F3442A" w:rsidRPr="0074486B" w:rsidRDefault="00E8180F" w:rsidP="0074486B">
      <w:r>
        <w:t>În sensul prezentului decret-lege, se aplică următoarele definiții:</w:t>
      </w:r>
    </w:p>
    <w:p w14:paraId="0927D975" w14:textId="167548C8" w:rsidR="00F3442A" w:rsidRPr="00006360" w:rsidRDefault="00E8180F" w:rsidP="0074486B">
      <w:pPr>
        <w:pStyle w:val="ListParagraph"/>
        <w:numPr>
          <w:ilvl w:val="0"/>
          <w:numId w:val="3"/>
        </w:numPr>
        <w:ind w:left="284" w:firstLine="425"/>
      </w:pPr>
      <w:r>
        <w:rPr>
          <w:highlight w:val="white"/>
        </w:rPr>
        <w:t xml:space="preserve">„introducere pe piață” înseamnă prima punere la dispoziție pe piață a unui produs pe teritoriul național ca activitate profesională; </w:t>
      </w:r>
    </w:p>
    <w:p w14:paraId="58CE02D1" w14:textId="2C75E49E" w:rsidR="00F3442A" w:rsidRPr="0074486B" w:rsidRDefault="00E8180F" w:rsidP="0074486B">
      <w:pPr>
        <w:pStyle w:val="ListParagraph"/>
        <w:numPr>
          <w:ilvl w:val="0"/>
          <w:numId w:val="3"/>
        </w:numPr>
        <w:ind w:left="284" w:firstLine="425"/>
        <w:rPr>
          <w:highlight w:val="white"/>
        </w:rPr>
      </w:pPr>
      <w:r>
        <w:rPr>
          <w:highlight w:val="white"/>
        </w:rPr>
        <w:t>„detergent” înseamnă un detergent în sensul Regulamentului (CE) nr. 648/2004 al Parlamentului European și al Consiliului din 31 martie 2004 privind detergenții, în forma sa actuală;</w:t>
      </w:r>
    </w:p>
    <w:p w14:paraId="1D364A13" w14:textId="044C69FA" w:rsidR="00441FBB" w:rsidRPr="0074486B" w:rsidRDefault="00441FBB" w:rsidP="0074486B">
      <w:pPr>
        <w:pStyle w:val="ListParagraph"/>
        <w:numPr>
          <w:ilvl w:val="0"/>
          <w:numId w:val="3"/>
        </w:numPr>
        <w:ind w:left="284" w:firstLine="425"/>
        <w:rPr>
          <w:highlight w:val="white"/>
        </w:rPr>
      </w:pPr>
      <w:r>
        <w:rPr>
          <w:highlight w:val="white"/>
        </w:rPr>
        <w:t>„punerea la dispoziție pe piață” înseamnă orice furnizare a unui produs pentru distribuție, consum sau utilizare pe piață în Portugalia, în cursul unei activități comerciale, contra cost sau gratuit;</w:t>
      </w:r>
    </w:p>
    <w:p w14:paraId="5A72039D" w14:textId="40D7970F" w:rsidR="00F3442A" w:rsidRPr="0074486B" w:rsidRDefault="00816786" w:rsidP="0074486B">
      <w:pPr>
        <w:pStyle w:val="ListParagraph"/>
        <w:numPr>
          <w:ilvl w:val="0"/>
          <w:numId w:val="3"/>
        </w:numPr>
        <w:ind w:left="284" w:firstLine="425"/>
        <w:rPr>
          <w:highlight w:val="white"/>
        </w:rPr>
      </w:pPr>
      <w:r>
        <w:t xml:space="preserve">„polimer” înseamnă o substanță în sensul articolului 3 alineatul (5) din </w:t>
      </w:r>
      <w:hyperlink r:id="rId7" w:tgtFrame="Link para Regulamento da União Europeia">
        <w:r>
          <w:rPr>
            <w:highlight w:val="white"/>
          </w:rPr>
          <w:t>Regulamentul (CE) nr. 1907/2006</w:t>
        </w:r>
      </w:hyperlink>
      <w:r>
        <w:t xml:space="preserve"> al Parlamentului European și al Consiliului din 18 decembrie 2006 privind înregistrarea, evaluarea, autorizarea și restricționarea produselor chimice, în forma sa actuală;</w:t>
      </w:r>
      <w:r>
        <w:rPr>
          <w:highlight w:val="white"/>
        </w:rPr>
        <w:t xml:space="preserve">  </w:t>
      </w:r>
    </w:p>
    <w:p w14:paraId="6301722E" w14:textId="1737CFE7" w:rsidR="00F3442A" w:rsidRPr="0074486B" w:rsidRDefault="0003023D" w:rsidP="0074486B">
      <w:pPr>
        <w:pStyle w:val="ListParagraph"/>
        <w:numPr>
          <w:ilvl w:val="0"/>
          <w:numId w:val="3"/>
        </w:numPr>
        <w:ind w:left="284" w:firstLine="425"/>
        <w:rPr>
          <w:highlight w:val="white"/>
        </w:rPr>
      </w:pPr>
      <w:r>
        <w:rPr>
          <w:highlight w:val="white"/>
        </w:rPr>
        <w:t xml:space="preserve">„produs cosmetic” înseamnă un produs cosmetic în sensul Regulamentului (CE) nr. 1223/2009 al Parlamentului European și al Consiliului din 30 noiembrie 2009 privind produsele cosmetice, în forma sa actuală; </w:t>
      </w:r>
    </w:p>
    <w:p w14:paraId="56A66EC0" w14:textId="1E422C31" w:rsidR="0054554D" w:rsidRDefault="00816786" w:rsidP="0074486B">
      <w:pPr>
        <w:pStyle w:val="ListParagraph"/>
        <w:numPr>
          <w:ilvl w:val="0"/>
          <w:numId w:val="3"/>
        </w:numPr>
        <w:ind w:left="284" w:firstLine="425"/>
        <w:rPr>
          <w:highlight w:val="white"/>
        </w:rPr>
      </w:pPr>
      <w:r>
        <w:rPr>
          <w:highlight w:val="white"/>
        </w:rPr>
        <w:t>„microbile plastice” înseamnă particule care conțin polimeri solizi de orice dimensiune egală sau mai mică de 5 mm, la care pot fi adăugați aditivi sau alte substanțe, cu excepția polimerilor naturali care nu au fost modificați chimic, utilizați ca abrazivi, adică pentru exfoliere, lustruire sau curățare.</w:t>
      </w:r>
    </w:p>
    <w:p w14:paraId="1A0E5587" w14:textId="77777777" w:rsidR="008F4FB8" w:rsidRPr="0074486B" w:rsidRDefault="008F4FB8" w:rsidP="008F4FB8">
      <w:pPr>
        <w:pStyle w:val="ListParagraph"/>
        <w:ind w:left="709" w:firstLine="0"/>
        <w:rPr>
          <w:highlight w:val="white"/>
        </w:rPr>
      </w:pPr>
    </w:p>
    <w:p w14:paraId="5F44AEB1" w14:textId="7B250D1E" w:rsidR="00F3442A" w:rsidRPr="00006360" w:rsidRDefault="004F08B1" w:rsidP="00AD05BC">
      <w:pPr>
        <w:pStyle w:val="Heading1"/>
        <w:ind w:firstLine="990"/>
      </w:pPr>
      <w:r>
        <w:br/>
        <w:t>Interdicții</w:t>
      </w:r>
    </w:p>
    <w:p w14:paraId="68EE9EC2" w14:textId="61796683" w:rsidR="00F3442A" w:rsidRPr="00006360" w:rsidRDefault="008C61F9" w:rsidP="0074486B">
      <w:pPr>
        <w:pStyle w:val="ListParagraph"/>
        <w:numPr>
          <w:ilvl w:val="0"/>
          <w:numId w:val="10"/>
        </w:numPr>
        <w:ind w:left="284" w:firstLine="425"/>
      </w:pPr>
      <w:r>
        <w:t xml:space="preserve">– Introducerea pe piață a produselor cosmetice sau a detergenților care conțin microbile din plastic este interzisă. </w:t>
      </w:r>
    </w:p>
    <w:p w14:paraId="7F5A858B" w14:textId="40B16146" w:rsidR="003D3843" w:rsidRPr="00006360" w:rsidRDefault="003D3843" w:rsidP="0074486B">
      <w:pPr>
        <w:pStyle w:val="ListParagraph"/>
        <w:numPr>
          <w:ilvl w:val="0"/>
          <w:numId w:val="10"/>
        </w:numPr>
        <w:ind w:left="284" w:firstLine="425"/>
      </w:pPr>
      <w:r>
        <w:t xml:space="preserve">– </w:t>
      </w:r>
      <w:bookmarkStart w:id="0" w:name="_Hlk66093173"/>
      <w:r>
        <w:t>Interdicția menționată la punctul anterior nu aduce atingere punerii la dispoziție sau utilizării produselor menționate în acesta, cu condiția ca acestea să fie introduse pe piață înainte de intrarea în vigoare a prezentului decret-lege.</w:t>
      </w:r>
      <w:bookmarkEnd w:id="0"/>
    </w:p>
    <w:p w14:paraId="5278702E" w14:textId="783C81B6" w:rsidR="00F65A0D" w:rsidRPr="00006360" w:rsidRDefault="00442515" w:rsidP="0074486B">
      <w:pPr>
        <w:pStyle w:val="ListParagraph"/>
        <w:numPr>
          <w:ilvl w:val="0"/>
          <w:numId w:val="10"/>
        </w:numPr>
        <w:ind w:left="284" w:firstLine="425"/>
        <w:contextualSpacing w:val="0"/>
      </w:pPr>
      <w:r>
        <w:t>– De asemenea, următoarele produse sunt excluse din domeniul de aplicare al interdicției prevăzute la punctul 1:</w:t>
      </w:r>
    </w:p>
    <w:p w14:paraId="466B660A" w14:textId="29CAFDE1" w:rsidR="00F65A0D" w:rsidRPr="0074486B" w:rsidRDefault="00F65A0D" w:rsidP="0074486B">
      <w:pPr>
        <w:pStyle w:val="ListParagraph"/>
        <w:numPr>
          <w:ilvl w:val="0"/>
          <w:numId w:val="17"/>
        </w:numPr>
        <w:spacing w:before="120"/>
        <w:ind w:left="284" w:firstLine="425"/>
        <w:rPr>
          <w:highlight w:val="white"/>
        </w:rPr>
      </w:pPr>
      <w:r>
        <w:rPr>
          <w:highlight w:val="white"/>
        </w:rPr>
        <w:t>produse fabricate pe teritoriul național înainte de data intrării în vigoare a prezentului decret-lege;</w:t>
      </w:r>
    </w:p>
    <w:p w14:paraId="05929774" w14:textId="7B0A8E46" w:rsidR="00442515" w:rsidRDefault="00F65A0D" w:rsidP="0074486B">
      <w:pPr>
        <w:pStyle w:val="ListParagraph"/>
        <w:numPr>
          <w:ilvl w:val="0"/>
          <w:numId w:val="17"/>
        </w:numPr>
        <w:ind w:left="284" w:firstLine="425"/>
        <w:rPr>
          <w:highlight w:val="white"/>
        </w:rPr>
      </w:pPr>
      <w:r>
        <w:rPr>
          <w:highlight w:val="white"/>
        </w:rPr>
        <w:t>produse a căror punere la dispoziție a fost convenită înainte de data intrării în vigoare a prezentului decret-lege și care are loc înainte de sfârșitul anului 2021.</w:t>
      </w:r>
    </w:p>
    <w:p w14:paraId="5F010B17" w14:textId="77777777" w:rsidR="001E112F" w:rsidRPr="0074486B" w:rsidRDefault="001E112F" w:rsidP="0074486B">
      <w:pPr>
        <w:pStyle w:val="ListParagraph"/>
        <w:numPr>
          <w:ilvl w:val="0"/>
          <w:numId w:val="17"/>
        </w:numPr>
        <w:ind w:left="284" w:firstLine="425"/>
        <w:rPr>
          <w:highlight w:val="white"/>
        </w:rPr>
      </w:pPr>
    </w:p>
    <w:p w14:paraId="3057F9FD" w14:textId="77777777" w:rsidR="00F3442A" w:rsidRPr="00006360" w:rsidRDefault="00F3442A" w:rsidP="0074486B"/>
    <w:p w14:paraId="312C9530" w14:textId="1042E4FA" w:rsidR="00F3442A" w:rsidRPr="00006360" w:rsidRDefault="004F08B1" w:rsidP="00AD05BC">
      <w:pPr>
        <w:pStyle w:val="Heading1"/>
        <w:ind w:firstLine="270"/>
      </w:pPr>
      <w:r>
        <w:lastRenderedPageBreak/>
        <w:br/>
        <w:t>Inspecție și monitorizare</w:t>
      </w:r>
    </w:p>
    <w:p w14:paraId="1664138E" w14:textId="1855F9A7" w:rsidR="00F3442A" w:rsidRPr="00006360" w:rsidRDefault="00E46D1A" w:rsidP="0074486B">
      <w:pPr>
        <w:pStyle w:val="ListParagraph"/>
        <w:numPr>
          <w:ilvl w:val="0"/>
          <w:numId w:val="18"/>
        </w:numPr>
        <w:ind w:left="284" w:firstLine="425"/>
      </w:pPr>
      <w:r>
        <w:t>– Monitorizarea respectării dispozițiilor prezentului decret-lege este responsabilitatea Autorității pentru Siguranță Alimentară și Economică (ASAE) și a Autorității Fiscale și Vamale (AT).</w:t>
      </w:r>
    </w:p>
    <w:p w14:paraId="184EDC25" w14:textId="6F89EFA6" w:rsidR="00F3442A" w:rsidRDefault="00E46D1A" w:rsidP="0074486B">
      <w:pPr>
        <w:pStyle w:val="ListParagraph"/>
        <w:numPr>
          <w:ilvl w:val="0"/>
          <w:numId w:val="18"/>
        </w:numPr>
        <w:ind w:left="284" w:firstLine="425"/>
      </w:pPr>
      <w:r>
        <w:t>Dispozițiile alineatului anterior nu aduc atingere exercitării competențelor de monitorizare și polițienești acordate altor autorități publice.</w:t>
      </w:r>
    </w:p>
    <w:p w14:paraId="32F3C8C7" w14:textId="77777777" w:rsidR="008F4FB8" w:rsidRPr="00006360" w:rsidRDefault="008F4FB8" w:rsidP="008F4FB8">
      <w:pPr>
        <w:pStyle w:val="ListParagraph"/>
        <w:ind w:left="709" w:firstLine="0"/>
      </w:pPr>
    </w:p>
    <w:p w14:paraId="7EF765E4" w14:textId="275F5B6B" w:rsidR="00F3442A" w:rsidRPr="00006360" w:rsidRDefault="004F08B1" w:rsidP="00AD05BC">
      <w:pPr>
        <w:pStyle w:val="Heading1"/>
        <w:ind w:firstLine="180"/>
      </w:pPr>
      <w:r>
        <w:br/>
        <w:t>Infracțiuni administrative</w:t>
      </w:r>
    </w:p>
    <w:p w14:paraId="740CD79B" w14:textId="6FCEB11C" w:rsidR="00F3442A" w:rsidRPr="00006360" w:rsidRDefault="00E46D1A" w:rsidP="0074486B">
      <w:pPr>
        <w:pStyle w:val="ListParagraph"/>
        <w:numPr>
          <w:ilvl w:val="0"/>
          <w:numId w:val="19"/>
        </w:numPr>
        <w:ind w:left="284" w:firstLine="425"/>
      </w:pPr>
      <w:r>
        <w:t xml:space="preserve">– Nerespectarea dispozițiilor articolului 3 alineatul (1) constituie o infracțiune administrativă economică gravă, pasibilă de aplicarea cadrului juridic pentru infracțiunile administrative economice, aprobat prin Decretul-lege nr. 9/2021 din 29 ianuarie. </w:t>
      </w:r>
    </w:p>
    <w:p w14:paraId="1E582BAB" w14:textId="6D9CE48D" w:rsidR="00F3442A" w:rsidRPr="00006360" w:rsidRDefault="00E8180F" w:rsidP="0074486B">
      <w:pPr>
        <w:pStyle w:val="ListParagraph"/>
        <w:numPr>
          <w:ilvl w:val="0"/>
          <w:numId w:val="19"/>
        </w:numPr>
        <w:ind w:left="284" w:firstLine="425"/>
      </w:pPr>
      <w:r>
        <w:t xml:space="preserve">– Tentativele de a săvârși o infracțiune și neglijența se pedepsesc, caz în care pragurile minime și maxime ale amenzii sunt înjumătățite. </w:t>
      </w:r>
    </w:p>
    <w:p w14:paraId="378FF05A" w14:textId="2776DB1F" w:rsidR="00F3442A" w:rsidRPr="00006360" w:rsidRDefault="00F3442A" w:rsidP="0074486B"/>
    <w:p w14:paraId="4CDB9348" w14:textId="715711C6" w:rsidR="00F3442A" w:rsidRPr="00006360" w:rsidRDefault="004F08B1" w:rsidP="00AD05BC">
      <w:pPr>
        <w:pStyle w:val="Heading1"/>
        <w:ind w:firstLine="270"/>
      </w:pPr>
      <w:r>
        <w:br/>
        <w:t>Investigarea și aplicarea sancțiunilor</w:t>
      </w:r>
    </w:p>
    <w:p w14:paraId="1EAE1A82" w14:textId="1D8E778D" w:rsidR="00F3442A" w:rsidRPr="00006360" w:rsidRDefault="00E8180F" w:rsidP="0074486B">
      <w:r>
        <w:t>Este responsabilitatea ASAE și AT, în limitele competențelor fiecăreia, să efectueze investigații cu privire la infracțiunile menționate la articolul precedent și să decidă cu privire la impunerea amenzilor și a sancțiunilor auxiliare corespunzătoare.</w:t>
      </w:r>
    </w:p>
    <w:p w14:paraId="183BAF8A" w14:textId="22CB72F2" w:rsidR="00F3442A" w:rsidRPr="00006360" w:rsidRDefault="00F3442A" w:rsidP="0074486B"/>
    <w:p w14:paraId="170C848E" w14:textId="179FA7C7" w:rsidR="00F3442A" w:rsidRPr="0074486B" w:rsidRDefault="0074486B" w:rsidP="00AD05BC">
      <w:pPr>
        <w:pStyle w:val="Heading1"/>
        <w:ind w:firstLine="270"/>
      </w:pPr>
      <w:r>
        <w:br/>
        <w:t>Încasări din amenzi</w:t>
      </w:r>
    </w:p>
    <w:p w14:paraId="56460743" w14:textId="7881F983" w:rsidR="00F3442A" w:rsidRPr="00006360" w:rsidRDefault="00E8180F" w:rsidP="0074486B">
      <w:r>
        <w:t xml:space="preserve">Veniturile din amenzile prevăzute la articolul 5 din prezentul decret-lege sunt defalcate </w:t>
      </w:r>
      <w:r>
        <w:lastRenderedPageBreak/>
        <w:t xml:space="preserve">după cum urmează: </w:t>
      </w:r>
    </w:p>
    <w:p w14:paraId="65198DD7" w14:textId="77777777" w:rsidR="003D3843" w:rsidRPr="0074486B" w:rsidRDefault="003D3843" w:rsidP="0074486B">
      <w:pPr>
        <w:pStyle w:val="ListParagraph"/>
        <w:numPr>
          <w:ilvl w:val="0"/>
          <w:numId w:val="20"/>
        </w:numPr>
        <w:spacing w:before="120"/>
        <w:ind w:left="284" w:firstLine="425"/>
        <w:rPr>
          <w:highlight w:val="white"/>
        </w:rPr>
      </w:pPr>
      <w:r>
        <w:rPr>
          <w:highlight w:val="white"/>
        </w:rPr>
        <w:t>60 % către guvern;</w:t>
      </w:r>
    </w:p>
    <w:p w14:paraId="206360D3" w14:textId="77777777" w:rsidR="003D3843" w:rsidRPr="0074486B" w:rsidRDefault="003D3843" w:rsidP="0074486B">
      <w:pPr>
        <w:pStyle w:val="ListParagraph"/>
        <w:numPr>
          <w:ilvl w:val="0"/>
          <w:numId w:val="20"/>
        </w:numPr>
        <w:spacing w:before="120"/>
        <w:ind w:left="284" w:firstLine="425"/>
        <w:rPr>
          <w:highlight w:val="white"/>
        </w:rPr>
      </w:pPr>
      <w:r>
        <w:rPr>
          <w:highlight w:val="white"/>
        </w:rPr>
        <w:t>10 % către organismul care inițiază procedurile;</w:t>
      </w:r>
    </w:p>
    <w:p w14:paraId="1F8651D3" w14:textId="77777777" w:rsidR="003D3843" w:rsidRPr="0074486B" w:rsidRDefault="003D3843" w:rsidP="0074486B">
      <w:pPr>
        <w:pStyle w:val="ListParagraph"/>
        <w:numPr>
          <w:ilvl w:val="0"/>
          <w:numId w:val="20"/>
        </w:numPr>
        <w:spacing w:before="120"/>
        <w:ind w:left="284" w:firstLine="425"/>
        <w:rPr>
          <w:highlight w:val="white"/>
        </w:rPr>
      </w:pPr>
      <w:r>
        <w:rPr>
          <w:highlight w:val="white"/>
        </w:rPr>
        <w:t>10 % către organismul de anchetă;</w:t>
      </w:r>
    </w:p>
    <w:p w14:paraId="7D907198" w14:textId="4B0654B6" w:rsidR="00F3442A" w:rsidRPr="0074486B" w:rsidRDefault="003D3843" w:rsidP="0074486B">
      <w:pPr>
        <w:pStyle w:val="ListParagraph"/>
        <w:numPr>
          <w:ilvl w:val="0"/>
          <w:numId w:val="20"/>
        </w:numPr>
        <w:spacing w:before="120"/>
        <w:ind w:left="284" w:firstLine="425"/>
        <w:rPr>
          <w:highlight w:val="white"/>
        </w:rPr>
      </w:pPr>
      <w:r>
        <w:rPr>
          <w:highlight w:val="white"/>
        </w:rPr>
        <w:t>20 % către organul decizional.</w:t>
      </w:r>
    </w:p>
    <w:p w14:paraId="2962D2C6" w14:textId="77777777" w:rsidR="00F3442A" w:rsidRPr="00006360" w:rsidRDefault="00F3442A" w:rsidP="0074486B"/>
    <w:p w14:paraId="25CB4724" w14:textId="086CF13F" w:rsidR="00F3442A" w:rsidRPr="0074486B" w:rsidRDefault="0074486B" w:rsidP="00AD05BC">
      <w:pPr>
        <w:pStyle w:val="Heading1"/>
        <w:ind w:firstLine="270"/>
      </w:pPr>
      <w:r>
        <w:br/>
        <w:t>Regiuni autonome</w:t>
      </w:r>
    </w:p>
    <w:p w14:paraId="0274FCF5" w14:textId="33493140" w:rsidR="00F3442A" w:rsidRPr="00006360" w:rsidRDefault="0074486B" w:rsidP="0074486B">
      <w:pPr>
        <w:pStyle w:val="ListParagraph"/>
        <w:numPr>
          <w:ilvl w:val="0"/>
          <w:numId w:val="21"/>
        </w:numPr>
        <w:ind w:left="284" w:firstLine="425"/>
        <w:contextualSpacing w:val="0"/>
      </w:pPr>
      <w:r>
        <w:t xml:space="preserve"> – Prezentul decret-lege se aplică regiunilor autonome Azore și Madeira, fără a aduce atingere adecvării acestora la particularitățile regionale, în conformitate cu autonomia lor politică și administrativă, iar punerea în aplicare a prezentului decret se aplică departamentelor și organelor administrațiilor lor regionale respective, fără a aduce atingere competențelor organismelor naționale.</w:t>
      </w:r>
    </w:p>
    <w:p w14:paraId="5D19046A" w14:textId="4C0F0DC6" w:rsidR="00F3442A" w:rsidRPr="00006360" w:rsidRDefault="0074486B" w:rsidP="0074486B">
      <w:pPr>
        <w:pStyle w:val="ListParagraph"/>
        <w:numPr>
          <w:ilvl w:val="0"/>
          <w:numId w:val="21"/>
        </w:numPr>
        <w:ind w:left="284" w:firstLine="425"/>
        <w:contextualSpacing w:val="0"/>
      </w:pPr>
      <w:r>
        <w:t>Veniturile din amenzile aplicate în regiunile autonome sunt destinate exclusiv regiunilor menționate.</w:t>
      </w:r>
    </w:p>
    <w:p w14:paraId="05A06D96" w14:textId="77777777" w:rsidR="0037390A" w:rsidRPr="00006360" w:rsidRDefault="0037390A" w:rsidP="0074486B"/>
    <w:p w14:paraId="7D63ED44" w14:textId="640AE1C9" w:rsidR="00F3442A" w:rsidRPr="00006360" w:rsidRDefault="008F4FB8" w:rsidP="00AD05BC">
      <w:pPr>
        <w:pStyle w:val="Heading1"/>
        <w:ind w:firstLine="180"/>
      </w:pPr>
      <w:r>
        <w:br/>
        <w:t>Intrarea în vigoare și punerea în aplicare</w:t>
      </w:r>
    </w:p>
    <w:p w14:paraId="7D923A77" w14:textId="57F41419" w:rsidR="00F3442A" w:rsidRPr="00006360" w:rsidRDefault="008F4FB8" w:rsidP="008F4FB8">
      <w:pPr>
        <w:pStyle w:val="ListParagraph"/>
        <w:numPr>
          <w:ilvl w:val="0"/>
          <w:numId w:val="22"/>
        </w:numPr>
        <w:ind w:left="284" w:firstLine="425"/>
        <w:contextualSpacing w:val="0"/>
      </w:pPr>
      <w:r>
        <w:t>– Prezentul act intră în vigoare în ziua următoare publicării sale.</w:t>
      </w:r>
    </w:p>
    <w:p w14:paraId="250D74D0" w14:textId="186ACAA7" w:rsidR="008C45E1" w:rsidRPr="00006360" w:rsidRDefault="008F4FB8" w:rsidP="008F4FB8">
      <w:pPr>
        <w:pStyle w:val="ListParagraph"/>
        <w:numPr>
          <w:ilvl w:val="0"/>
          <w:numId w:val="22"/>
        </w:numPr>
        <w:ind w:left="284" w:firstLine="425"/>
        <w:contextualSpacing w:val="0"/>
      </w:pPr>
      <w:r>
        <w:t>– Fără a aduce atingere articolului 183 din Decretul-lege nr. 9/2021 din 29 ianuarie, care a aprobat condițiile juridice ale infracțiunilor administrative economice, aceste dispoziții se aplică imediat în cazul infracțiunilor administrative prevăzute la articolul 5 alineatul (1) din decretul-lege.</w:t>
      </w:r>
    </w:p>
    <w:sectPr w:rsidR="008C45E1" w:rsidRPr="00006360">
      <w:headerReference w:type="default" r:id="rId8"/>
      <w:footerReference w:type="default" r:id="rId9"/>
      <w:pgSz w:w="11906" w:h="16838"/>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F9F45" w14:textId="77777777" w:rsidR="00FB057A" w:rsidRDefault="00FB057A" w:rsidP="0074486B">
      <w:r>
        <w:separator/>
      </w:r>
    </w:p>
  </w:endnote>
  <w:endnote w:type="continuationSeparator" w:id="0">
    <w:p w14:paraId="39DC8C07" w14:textId="77777777" w:rsidR="00FB057A" w:rsidRDefault="00FB057A" w:rsidP="0074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0B56" w14:textId="77777777" w:rsidR="0074486B" w:rsidRDefault="0074486B" w:rsidP="0074486B">
    <w:pPr>
      <w:pStyle w:val="Footer"/>
    </w:pPr>
    <w:r>
      <w:fldChar w:fldCharType="begin"/>
    </w:r>
    <w:r>
      <w:instrText>PAGE</w:instrText>
    </w:r>
    <w:r>
      <w:fldChar w:fldCharType="separate"/>
    </w:r>
    <w:r w:rsidR="00923317">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BD6D1" w14:textId="77777777" w:rsidR="00FB057A" w:rsidRDefault="00FB057A" w:rsidP="0074486B">
      <w:r>
        <w:separator/>
      </w:r>
    </w:p>
  </w:footnote>
  <w:footnote w:type="continuationSeparator" w:id="0">
    <w:p w14:paraId="41A53549" w14:textId="77777777" w:rsidR="00FB057A" w:rsidRDefault="00FB057A" w:rsidP="00744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2286F" w14:textId="77777777" w:rsidR="0074486B" w:rsidRPr="00EF0262" w:rsidRDefault="0074486B" w:rsidP="0074486B">
    <w:pPr>
      <w:jc w:val="center"/>
    </w:pPr>
    <w:r>
      <w:rPr>
        <w:noProof/>
      </w:rPr>
      <w:drawing>
        <wp:inline distT="0" distB="0" distL="0" distR="0" wp14:anchorId="0E743FC7" wp14:editId="1CBF634D">
          <wp:extent cx="361950" cy="361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DD5E166" w14:textId="71BAF3D3" w:rsidR="0074486B" w:rsidRPr="00EF0262" w:rsidRDefault="0074486B" w:rsidP="0074486B">
    <w:pPr>
      <w:jc w:val="center"/>
    </w:pPr>
    <w:r>
      <w:t>Ministrul</w:t>
    </w:r>
  </w:p>
  <w:p w14:paraId="6134CCEF" w14:textId="3737DD9E" w:rsidR="0074486B" w:rsidRPr="00EF0262" w:rsidRDefault="0074486B" w:rsidP="0074486B">
    <w:pPr>
      <w:jc w:val="center"/>
    </w:pPr>
    <w:r>
      <w:object w:dxaOrig="1309" w:dyaOrig="281" w14:anchorId="78E26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25pt;height:14.25pt;mso-width-percent:0;mso-height-percent:0;mso-width-percent:0;mso-height-percent:0">
          <v:imagedata r:id="rId2" o:title=""/>
        </v:shape>
        <o:OLEObject Type="Embed" ProgID="Word.Picture.8" ShapeID="_x0000_i1025" DrawAspect="Content" ObjectID="_1678026899" r:id="rId3"/>
      </w:object>
    </w:r>
  </w:p>
  <w:p w14:paraId="41A6E695" w14:textId="77777777" w:rsidR="0074486B" w:rsidRPr="00EF0262" w:rsidRDefault="0074486B" w:rsidP="0074486B">
    <w:pPr>
      <w:jc w:val="center"/>
    </w:pPr>
  </w:p>
  <w:p w14:paraId="3AE8C256" w14:textId="753DCC90" w:rsidR="0074486B" w:rsidRPr="00EF0262" w:rsidRDefault="0074486B" w:rsidP="0074486B">
    <w:pPr>
      <w:jc w:val="center"/>
      <w:rPr>
        <w:rFonts w:asciiTheme="minorHAnsi" w:hAnsiTheme="minorHAnsi"/>
        <w:sz w:val="32"/>
        <w:szCs w:val="32"/>
      </w:rPr>
    </w:pPr>
    <w:r>
      <w:t xml:space="preserve">Decretul </w:t>
    </w:r>
    <w:r>
      <w:rPr>
        <w:rFonts w:asciiTheme="minorHAnsi" w:hAnsiTheme="minorHAnsi"/>
        <w:sz w:val="32"/>
        <w:u w:val="dotted"/>
        <w:vertAlign w:val="subscript"/>
      </w:rPr>
      <w:tab/>
    </w:r>
    <w:r>
      <w:t xml:space="preserve"> nr.</w:t>
    </w:r>
  </w:p>
  <w:p w14:paraId="410BACD8" w14:textId="77777777" w:rsidR="0074486B" w:rsidRDefault="0074486B" w:rsidP="00744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7D49"/>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F6C18"/>
    <w:multiLevelType w:val="hybridMultilevel"/>
    <w:tmpl w:val="80CA639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0A08CB"/>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86A0AF6"/>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E423E78"/>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4127E0"/>
    <w:multiLevelType w:val="multilevel"/>
    <w:tmpl w:val="DEC849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3C06E1C"/>
    <w:multiLevelType w:val="hybridMultilevel"/>
    <w:tmpl w:val="406A79F6"/>
    <w:lvl w:ilvl="0" w:tplc="EF96D516">
      <w:start w:val="1"/>
      <w:numFmt w:val="decimal"/>
      <w:lvlText w:val="%1 -"/>
      <w:lvlJc w:val="left"/>
      <w:pPr>
        <w:ind w:left="360" w:hanging="360"/>
      </w:pPr>
      <w:rPr>
        <w:rFonts w:hint="default"/>
      </w:rPr>
    </w:lvl>
    <w:lvl w:ilvl="1" w:tplc="509493F6">
      <w:start w:val="1"/>
      <w:numFmt w:val="lowerLetter"/>
      <w:lvlText w:val="%2."/>
      <w:lvlJc w:val="left"/>
      <w:pPr>
        <w:ind w:left="-2813" w:hanging="360"/>
      </w:pPr>
    </w:lvl>
    <w:lvl w:ilvl="2" w:tplc="B74206BC" w:tentative="1">
      <w:start w:val="1"/>
      <w:numFmt w:val="lowerRoman"/>
      <w:lvlText w:val="%3."/>
      <w:lvlJc w:val="right"/>
      <w:pPr>
        <w:ind w:left="-2093" w:hanging="180"/>
      </w:pPr>
    </w:lvl>
    <w:lvl w:ilvl="3" w:tplc="D090E1C6" w:tentative="1">
      <w:start w:val="1"/>
      <w:numFmt w:val="decimal"/>
      <w:lvlText w:val="%4."/>
      <w:lvlJc w:val="left"/>
      <w:pPr>
        <w:ind w:left="-1373" w:hanging="360"/>
      </w:pPr>
    </w:lvl>
    <w:lvl w:ilvl="4" w:tplc="0FAC9E4E" w:tentative="1">
      <w:start w:val="1"/>
      <w:numFmt w:val="lowerLetter"/>
      <w:lvlText w:val="%5."/>
      <w:lvlJc w:val="left"/>
      <w:pPr>
        <w:ind w:left="-653" w:hanging="360"/>
      </w:pPr>
    </w:lvl>
    <w:lvl w:ilvl="5" w:tplc="B8BA5ED0" w:tentative="1">
      <w:start w:val="1"/>
      <w:numFmt w:val="lowerRoman"/>
      <w:lvlText w:val="%6."/>
      <w:lvlJc w:val="right"/>
      <w:pPr>
        <w:ind w:left="67" w:hanging="180"/>
      </w:pPr>
    </w:lvl>
    <w:lvl w:ilvl="6" w:tplc="A800B2CC" w:tentative="1">
      <w:start w:val="1"/>
      <w:numFmt w:val="decimal"/>
      <w:lvlText w:val="%7."/>
      <w:lvlJc w:val="left"/>
      <w:pPr>
        <w:ind w:left="787" w:hanging="360"/>
      </w:pPr>
    </w:lvl>
    <w:lvl w:ilvl="7" w:tplc="CFA6C1C2" w:tentative="1">
      <w:start w:val="1"/>
      <w:numFmt w:val="lowerLetter"/>
      <w:lvlText w:val="%8."/>
      <w:lvlJc w:val="left"/>
      <w:pPr>
        <w:ind w:left="1507" w:hanging="360"/>
      </w:pPr>
    </w:lvl>
    <w:lvl w:ilvl="8" w:tplc="A8D0C14E" w:tentative="1">
      <w:start w:val="1"/>
      <w:numFmt w:val="lowerRoman"/>
      <w:lvlText w:val="%9."/>
      <w:lvlJc w:val="right"/>
      <w:pPr>
        <w:ind w:left="2227" w:hanging="180"/>
      </w:pPr>
    </w:lvl>
  </w:abstractNum>
  <w:abstractNum w:abstractNumId="7" w15:restartNumberingAfterBreak="0">
    <w:nsid w:val="19AB5D74"/>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F3A07FD"/>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4C321A"/>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1055934"/>
    <w:multiLevelType w:val="multilevel"/>
    <w:tmpl w:val="51E07D1C"/>
    <w:lvl w:ilvl="0">
      <w:start w:val="1"/>
      <w:numFmt w:val="lowerLetter"/>
      <w:lvlText w:val="%1)"/>
      <w:lvlJc w:val="left"/>
      <w:pPr>
        <w:ind w:left="1440" w:hanging="720"/>
      </w:pPr>
      <w:rPr>
        <w:rFonts w:ascii="Garamond" w:eastAsia="Calibri" w:hAnsi="Garamond" w:cs="DejaVu Sans" w:hint="default"/>
        <w:i/>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FAC797D"/>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0F961F6"/>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5177DF"/>
    <w:multiLevelType w:val="hybridMultilevel"/>
    <w:tmpl w:val="89B68FB0"/>
    <w:lvl w:ilvl="0" w:tplc="398030E0">
      <w:start w:val="1"/>
      <w:numFmt w:val="decimal"/>
      <w:pStyle w:val="Heading1"/>
      <w:lvlText w:val="Articolul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7BF3E30"/>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7C9372E"/>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2961E8"/>
    <w:multiLevelType w:val="multilevel"/>
    <w:tmpl w:val="BF84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8F1B65"/>
    <w:multiLevelType w:val="hybridMultilevel"/>
    <w:tmpl w:val="46EA029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3D57FE6"/>
    <w:multiLevelType w:val="multilevel"/>
    <w:tmpl w:val="6FB8899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4E35DD"/>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F828EB"/>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0"/>
  </w:num>
  <w:num w:numId="2">
    <w:abstractNumId w:val="18"/>
  </w:num>
  <w:num w:numId="3">
    <w:abstractNumId w:val="8"/>
  </w:num>
  <w:num w:numId="4">
    <w:abstractNumId w:val="5"/>
  </w:num>
  <w:num w:numId="5">
    <w:abstractNumId w:val="6"/>
  </w:num>
  <w:num w:numId="6">
    <w:abstractNumId w:val="16"/>
  </w:num>
  <w:num w:numId="7">
    <w:abstractNumId w:val="1"/>
  </w:num>
  <w:num w:numId="8">
    <w:abstractNumId w:val="4"/>
  </w:num>
  <w:num w:numId="9">
    <w:abstractNumId w:val="17"/>
  </w:num>
  <w:num w:numId="10">
    <w:abstractNumId w:val="11"/>
  </w:num>
  <w:num w:numId="11">
    <w:abstractNumId w:val="0"/>
  </w:num>
  <w:num w:numId="12">
    <w:abstractNumId w:val="3"/>
  </w:num>
  <w:num w:numId="13">
    <w:abstractNumId w:val="9"/>
  </w:num>
  <w:num w:numId="14">
    <w:abstractNumId w:val="13"/>
  </w:num>
  <w:num w:numId="15">
    <w:abstractNumId w:val="13"/>
  </w:num>
  <w:num w:numId="16">
    <w:abstractNumId w:val="19"/>
  </w:num>
  <w:num w:numId="17">
    <w:abstractNumId w:val="15"/>
  </w:num>
  <w:num w:numId="18">
    <w:abstractNumId w:val="20"/>
  </w:num>
  <w:num w:numId="19">
    <w:abstractNumId w:val="14"/>
  </w:num>
  <w:num w:numId="20">
    <w:abstractNumId w:val="12"/>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15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2A"/>
    <w:rsid w:val="00006360"/>
    <w:rsid w:val="0003023D"/>
    <w:rsid w:val="00034ED1"/>
    <w:rsid w:val="00050D9B"/>
    <w:rsid w:val="00077B88"/>
    <w:rsid w:val="001053A5"/>
    <w:rsid w:val="00123731"/>
    <w:rsid w:val="00123ECC"/>
    <w:rsid w:val="0012554C"/>
    <w:rsid w:val="00132921"/>
    <w:rsid w:val="0018541E"/>
    <w:rsid w:val="001A27AA"/>
    <w:rsid w:val="001B40C5"/>
    <w:rsid w:val="001D05C2"/>
    <w:rsid w:val="001E112F"/>
    <w:rsid w:val="0027617A"/>
    <w:rsid w:val="00277564"/>
    <w:rsid w:val="00280546"/>
    <w:rsid w:val="002A3096"/>
    <w:rsid w:val="002A4FB2"/>
    <w:rsid w:val="002B26EF"/>
    <w:rsid w:val="002B5031"/>
    <w:rsid w:val="002E3F73"/>
    <w:rsid w:val="002E5F14"/>
    <w:rsid w:val="002F0A7B"/>
    <w:rsid w:val="00310001"/>
    <w:rsid w:val="00347636"/>
    <w:rsid w:val="003710CA"/>
    <w:rsid w:val="0037380C"/>
    <w:rsid w:val="0037390A"/>
    <w:rsid w:val="00381FB7"/>
    <w:rsid w:val="003A7739"/>
    <w:rsid w:val="003D3843"/>
    <w:rsid w:val="003E42C6"/>
    <w:rsid w:val="003F2867"/>
    <w:rsid w:val="003F2944"/>
    <w:rsid w:val="0040360B"/>
    <w:rsid w:val="00404F3B"/>
    <w:rsid w:val="00441FBB"/>
    <w:rsid w:val="00442062"/>
    <w:rsid w:val="00442515"/>
    <w:rsid w:val="004563E9"/>
    <w:rsid w:val="0048150C"/>
    <w:rsid w:val="004F08B1"/>
    <w:rsid w:val="004F3FAB"/>
    <w:rsid w:val="005279C9"/>
    <w:rsid w:val="0054554D"/>
    <w:rsid w:val="00560167"/>
    <w:rsid w:val="00577305"/>
    <w:rsid w:val="00586237"/>
    <w:rsid w:val="00586ABD"/>
    <w:rsid w:val="005901FA"/>
    <w:rsid w:val="005A173F"/>
    <w:rsid w:val="005B2A0F"/>
    <w:rsid w:val="005D6D4F"/>
    <w:rsid w:val="006204CA"/>
    <w:rsid w:val="006259F9"/>
    <w:rsid w:val="0063732C"/>
    <w:rsid w:val="006438D2"/>
    <w:rsid w:val="00676A1B"/>
    <w:rsid w:val="006B2431"/>
    <w:rsid w:val="006D3B1C"/>
    <w:rsid w:val="006D4598"/>
    <w:rsid w:val="00704C6E"/>
    <w:rsid w:val="007314BD"/>
    <w:rsid w:val="00736D72"/>
    <w:rsid w:val="0074486B"/>
    <w:rsid w:val="00793018"/>
    <w:rsid w:val="007E30D8"/>
    <w:rsid w:val="00810470"/>
    <w:rsid w:val="00814203"/>
    <w:rsid w:val="00816786"/>
    <w:rsid w:val="008224AC"/>
    <w:rsid w:val="00881FF0"/>
    <w:rsid w:val="008867AF"/>
    <w:rsid w:val="00897BA8"/>
    <w:rsid w:val="008B6317"/>
    <w:rsid w:val="008C45E1"/>
    <w:rsid w:val="008C61F9"/>
    <w:rsid w:val="008C6843"/>
    <w:rsid w:val="008D6CB0"/>
    <w:rsid w:val="008E7F87"/>
    <w:rsid w:val="008F4FB8"/>
    <w:rsid w:val="00915636"/>
    <w:rsid w:val="00922804"/>
    <w:rsid w:val="00923317"/>
    <w:rsid w:val="00927820"/>
    <w:rsid w:val="0094463C"/>
    <w:rsid w:val="00971462"/>
    <w:rsid w:val="009749B4"/>
    <w:rsid w:val="009845FE"/>
    <w:rsid w:val="009A4759"/>
    <w:rsid w:val="009B336D"/>
    <w:rsid w:val="009F7922"/>
    <w:rsid w:val="00A02D68"/>
    <w:rsid w:val="00A330E4"/>
    <w:rsid w:val="00A506A5"/>
    <w:rsid w:val="00A54130"/>
    <w:rsid w:val="00A5670B"/>
    <w:rsid w:val="00A73E4D"/>
    <w:rsid w:val="00A94281"/>
    <w:rsid w:val="00A9649F"/>
    <w:rsid w:val="00AD05BC"/>
    <w:rsid w:val="00AE2712"/>
    <w:rsid w:val="00AF150A"/>
    <w:rsid w:val="00B07A51"/>
    <w:rsid w:val="00B12E71"/>
    <w:rsid w:val="00B16F42"/>
    <w:rsid w:val="00B260BA"/>
    <w:rsid w:val="00B42E19"/>
    <w:rsid w:val="00B6463C"/>
    <w:rsid w:val="00BC33AC"/>
    <w:rsid w:val="00BE0D3D"/>
    <w:rsid w:val="00BF7812"/>
    <w:rsid w:val="00C33041"/>
    <w:rsid w:val="00C8696D"/>
    <w:rsid w:val="00CD7454"/>
    <w:rsid w:val="00D215E0"/>
    <w:rsid w:val="00D22FB5"/>
    <w:rsid w:val="00D304B8"/>
    <w:rsid w:val="00D53F20"/>
    <w:rsid w:val="00D64044"/>
    <w:rsid w:val="00D71678"/>
    <w:rsid w:val="00D73E8E"/>
    <w:rsid w:val="00D80392"/>
    <w:rsid w:val="00DD7AD7"/>
    <w:rsid w:val="00DE0642"/>
    <w:rsid w:val="00DE0C46"/>
    <w:rsid w:val="00DF1296"/>
    <w:rsid w:val="00DF1766"/>
    <w:rsid w:val="00E45811"/>
    <w:rsid w:val="00E46D1A"/>
    <w:rsid w:val="00E8180F"/>
    <w:rsid w:val="00EA20C6"/>
    <w:rsid w:val="00EA4B8E"/>
    <w:rsid w:val="00EC1940"/>
    <w:rsid w:val="00EF0262"/>
    <w:rsid w:val="00EF5296"/>
    <w:rsid w:val="00EF7C20"/>
    <w:rsid w:val="00F011C7"/>
    <w:rsid w:val="00F0599C"/>
    <w:rsid w:val="00F26AD4"/>
    <w:rsid w:val="00F3442A"/>
    <w:rsid w:val="00F44F9F"/>
    <w:rsid w:val="00F5553A"/>
    <w:rsid w:val="00F65A0D"/>
    <w:rsid w:val="00F67874"/>
    <w:rsid w:val="00F754B3"/>
    <w:rsid w:val="00F77B3C"/>
    <w:rsid w:val="00FB057A"/>
    <w:rsid w:val="00FB19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880CD"/>
  <w15:docId w15:val="{596893BB-5E8A-441B-9548-F3C630D2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DejaVu Sans"/>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6B"/>
    <w:pPr>
      <w:widowControl w:val="0"/>
      <w:spacing w:after="120" w:line="360" w:lineRule="auto"/>
      <w:ind w:firstLine="284"/>
      <w:jc w:val="both"/>
    </w:pPr>
    <w:rPr>
      <w:rFonts w:ascii="Garamond" w:eastAsiaTheme="minorHAnsi" w:hAnsi="Garamond" w:cstheme="minorBidi"/>
      <w:sz w:val="24"/>
      <w:szCs w:val="24"/>
    </w:rPr>
  </w:style>
  <w:style w:type="paragraph" w:styleId="Heading1">
    <w:name w:val="heading 1"/>
    <w:basedOn w:val="Normal"/>
    <w:next w:val="Normal"/>
    <w:link w:val="Heading1Char"/>
    <w:uiPriority w:val="9"/>
    <w:qFormat/>
    <w:rsid w:val="00006360"/>
    <w:pPr>
      <w:numPr>
        <w:numId w:val="14"/>
      </w:numPr>
      <w:tabs>
        <w:tab w:val="left" w:pos="1276"/>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bealhoCarter">
    <w:name w:val="Cabeçalho Caráter"/>
    <w:basedOn w:val="DefaultParagraphFont"/>
    <w:qFormat/>
  </w:style>
  <w:style w:type="character" w:customStyle="1" w:styleId="RodapCarter">
    <w:name w:val="Rodapé Caráter"/>
    <w:basedOn w:val="DefaultParagraphFont"/>
    <w:qFormat/>
  </w:style>
  <w:style w:type="character" w:customStyle="1" w:styleId="LigaodeInternet">
    <w:name w:val="Ligação de Internet"/>
    <w:basedOn w:val="DefaultParagraphFont"/>
    <w:rPr>
      <w:color w:val="0000FF"/>
      <w:u w:val="single"/>
    </w:rPr>
  </w:style>
  <w:style w:type="character" w:styleId="Strong">
    <w:name w:val="Strong"/>
    <w:basedOn w:val="DefaultParagraphFont"/>
    <w:qFormat/>
    <w:rPr>
      <w:b/>
      <w:bCs/>
    </w:rPr>
  </w:style>
  <w:style w:type="character" w:customStyle="1" w:styleId="TextodecomentrioCarter">
    <w:name w:val="Texto de comentário Caráter"/>
    <w:basedOn w:val="DefaultParagraphFont"/>
    <w:qFormat/>
    <w:rPr>
      <w:sz w:val="20"/>
      <w:szCs w:val="20"/>
    </w:rPr>
  </w:style>
  <w:style w:type="character" w:styleId="CommentReference">
    <w:name w:val="annotation reference"/>
    <w:basedOn w:val="DefaultParagraphFont"/>
    <w:qFormat/>
    <w:rPr>
      <w:sz w:val="16"/>
      <w:szCs w:val="16"/>
    </w:rPr>
  </w:style>
  <w:style w:type="character" w:customStyle="1" w:styleId="TextodebaloCarter">
    <w:name w:val="Texto de balão Caráter"/>
    <w:basedOn w:val="DefaultParagraphFont"/>
    <w:qFormat/>
    <w:rPr>
      <w:rFonts w:ascii="Segoe UI" w:hAnsi="Segoe UI" w:cs="Segoe UI"/>
      <w:sz w:val="18"/>
      <w:szCs w:val="18"/>
    </w:rPr>
  </w:style>
  <w:style w:type="character" w:customStyle="1" w:styleId="AvanodecorpodetextoCarter">
    <w:name w:val="Avanço de corpo de texto Caráter"/>
    <w:basedOn w:val="DefaultParagraphFont"/>
    <w:qFormat/>
    <w:rPr>
      <w:rFonts w:ascii="Times New Roman" w:hAnsi="Times New Roman" w:cs="Times New Roman"/>
      <w:sz w:val="24"/>
      <w:szCs w:val="24"/>
      <w:lang w:eastAsia="pt-PT" w:bidi="pt-PT"/>
    </w:rPr>
  </w:style>
  <w:style w:type="character" w:customStyle="1" w:styleId="AssuntodecomentrioCarter">
    <w:name w:val="Assunto de comentário Caráter"/>
    <w:basedOn w:val="TextodecomentrioCarter"/>
    <w:qFormat/>
    <w:rPr>
      <w:b/>
      <w:bCs/>
      <w:sz w:val="20"/>
      <w:szCs w:val="20"/>
    </w:rPr>
  </w:style>
  <w:style w:type="character" w:customStyle="1" w:styleId="ListLabel1">
    <w:name w:val="ListLabel 1"/>
    <w:qFormat/>
    <w:rPr>
      <w:rFonts w:ascii="Verdana" w:eastAsia="Calibri" w:hAnsi="Verdana" w:cs="DejaVu Sans"/>
      <w:sz w:val="20"/>
    </w:rPr>
  </w:style>
  <w:style w:type="character" w:customStyle="1" w:styleId="ListLabel2">
    <w:name w:val="ListLabel 2"/>
    <w:qFormat/>
    <w:rPr>
      <w:rFonts w:ascii="Verdana" w:eastAsia="Calibri" w:hAnsi="Verdana" w:cs="DejaVu Sans"/>
      <w:sz w:val="20"/>
      <w:szCs w:val="20"/>
      <w:highlight w:val="yellow"/>
      <w:lang w:eastAsia="en-US"/>
    </w:rPr>
  </w:style>
  <w:style w:type="character" w:customStyle="1" w:styleId="ListLabel3">
    <w:name w:val="ListLabel 3"/>
    <w:qFormat/>
    <w:rPr>
      <w:rFonts w:ascii="Verdana" w:hAnsi="Verdana"/>
      <w:color w:val="006633"/>
      <w:sz w:val="20"/>
      <w:szCs w:val="20"/>
      <w:highlight w:val="white"/>
    </w:rPr>
  </w:style>
  <w:style w:type="character" w:customStyle="1" w:styleId="ListLabel4">
    <w:name w:val="ListLabel 4"/>
    <w:qFormat/>
    <w:rPr>
      <w:rFonts w:ascii="Verdana" w:eastAsia="Calibri" w:hAnsi="Verdana" w:cs="DejaVu Sans"/>
      <w:sz w:val="20"/>
    </w:rPr>
  </w:style>
  <w:style w:type="character" w:customStyle="1" w:styleId="ListLabel5">
    <w:name w:val="ListLabel 5"/>
    <w:qFormat/>
    <w:rPr>
      <w:rFonts w:ascii="Verdana" w:eastAsia="Calibri" w:hAnsi="Verdana" w:cs="DejaVu Sans"/>
      <w:sz w:val="20"/>
      <w:szCs w:val="20"/>
      <w:highlight w:val="yellow"/>
      <w:lang w:eastAsia="en-US"/>
    </w:rPr>
  </w:style>
  <w:style w:type="character" w:customStyle="1" w:styleId="ListLabel6">
    <w:name w:val="ListLabel 6"/>
    <w:qFormat/>
    <w:rPr>
      <w:rFonts w:ascii="Verdana" w:hAnsi="Verdana"/>
      <w:color w:val="006633"/>
      <w:sz w:val="20"/>
      <w:szCs w:val="20"/>
      <w:highlight w:val="white"/>
    </w:rPr>
  </w:style>
  <w:style w:type="character" w:styleId="Emphasis">
    <w:name w:val="Emphasis"/>
    <w:qFormat/>
    <w:rPr>
      <w:i/>
      <w:iCs/>
    </w:rPr>
  </w:style>
  <w:style w:type="character" w:customStyle="1" w:styleId="ListLabel7">
    <w:name w:val="ListLabel 7"/>
    <w:qFormat/>
    <w:rPr>
      <w:rFonts w:ascii="Verdana" w:eastAsia="Calibri" w:hAnsi="Verdana" w:cs="DejaVu Sans"/>
      <w:sz w:val="20"/>
    </w:rPr>
  </w:style>
  <w:style w:type="character" w:customStyle="1" w:styleId="ListLabel8">
    <w:name w:val="ListLabel 8"/>
    <w:qFormat/>
    <w:rPr>
      <w:rFonts w:ascii="Verdana" w:eastAsia="Calibri" w:hAnsi="Verdana"/>
      <w:sz w:val="20"/>
      <w:szCs w:val="20"/>
      <w:highlight w:val="yellow"/>
      <w:lang w:eastAsia="en-US"/>
    </w:rPr>
  </w:style>
  <w:style w:type="character" w:customStyle="1" w:styleId="ListLabel9">
    <w:name w:val="ListLabel 9"/>
    <w:qFormat/>
    <w:rPr>
      <w:rFonts w:ascii="Verdana" w:hAnsi="Verdana"/>
      <w:color w:val="006633"/>
      <w:sz w:val="20"/>
      <w:szCs w:val="20"/>
      <w:highlight w:val="white"/>
    </w:rPr>
  </w:style>
  <w:style w:type="paragraph" w:styleId="Title">
    <w:name w:val="Title"/>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rPr>
  </w:style>
  <w:style w:type="paragraph" w:customStyle="1" w:styleId="ndice">
    <w:name w:val="Índice"/>
    <w:basedOn w:val="Normal"/>
    <w:qFormat/>
    <w:pPr>
      <w:suppressLineNumbers/>
    </w:pPr>
    <w:rPr>
      <w:rFonts w:cs="Lohit Devanagari"/>
    </w:rPr>
  </w:style>
  <w:style w:type="paragraph" w:styleId="Header">
    <w:name w:val="header"/>
    <w:basedOn w:val="Normal"/>
    <w:pPr>
      <w:tabs>
        <w:tab w:val="center" w:pos="4252"/>
        <w:tab w:val="right" w:pos="8504"/>
      </w:tabs>
      <w:spacing w:after="0" w:line="240" w:lineRule="auto"/>
    </w:pPr>
  </w:style>
  <w:style w:type="paragraph" w:styleId="Footer">
    <w:name w:val="footer"/>
    <w:basedOn w:val="Normal"/>
    <w:pPr>
      <w:tabs>
        <w:tab w:val="center" w:pos="4252"/>
        <w:tab w:val="right" w:pos="8504"/>
      </w:tabs>
      <w:spacing w:after="0" w:line="240" w:lineRule="auto"/>
    </w:pPr>
  </w:style>
  <w:style w:type="paragraph" w:styleId="ListParagraph">
    <w:name w:val="List Paragraph"/>
    <w:basedOn w:val="Normal"/>
    <w:link w:val="ListParagraphChar"/>
    <w:qFormat/>
    <w:pPr>
      <w:ind w:left="720"/>
      <w:contextualSpacing/>
    </w:p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lang w:eastAsia="pt-PT"/>
    </w:rPr>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after="0" w:line="240" w:lineRule="auto"/>
    </w:pPr>
    <w:rPr>
      <w:rFonts w:ascii="Segoe UI" w:hAnsi="Segoe UI" w:cs="Segoe UI"/>
      <w:sz w:val="18"/>
      <w:szCs w:val="18"/>
    </w:rPr>
  </w:style>
  <w:style w:type="paragraph" w:styleId="BodyTextIndent">
    <w:name w:val="Body Text Indent"/>
    <w:basedOn w:val="Normal"/>
    <w:pPr>
      <w:spacing w:before="240" w:after="240" w:line="480" w:lineRule="auto"/>
      <w:ind w:left="2160" w:hanging="720"/>
    </w:pPr>
    <w:rPr>
      <w:rFonts w:ascii="Times New Roman" w:hAnsi="Times New Roman" w:cs="Times New Roman"/>
      <w:lang w:eastAsia="pt-PT" w:bidi="pt-PT"/>
    </w:rPr>
  </w:style>
  <w:style w:type="paragraph" w:styleId="CommentSubject">
    <w:name w:val="annotation subject"/>
    <w:basedOn w:val="CommentText"/>
    <w:qFormat/>
    <w:rPr>
      <w:b/>
      <w:bCs/>
    </w:rPr>
  </w:style>
  <w:style w:type="paragraph" w:styleId="Revision">
    <w:name w:val="Revision"/>
    <w:qFormat/>
    <w:pPr>
      <w:overflowPunct w:val="0"/>
    </w:pPr>
    <w:rPr>
      <w:sz w:val="22"/>
    </w:rPr>
  </w:style>
  <w:style w:type="paragraph" w:customStyle="1" w:styleId="Contedodatabela">
    <w:name w:val="Conteúdo da tabela"/>
    <w:basedOn w:val="Normal"/>
    <w:qFormat/>
    <w:rsid w:val="009845FE"/>
    <w:pPr>
      <w:suppressLineNumbers/>
    </w:pPr>
    <w:rPr>
      <w:rFonts w:asciiTheme="minorHAnsi" w:hAnsiTheme="minorHAnsi"/>
    </w:rPr>
  </w:style>
  <w:style w:type="character" w:customStyle="1" w:styleId="nfaseacentuada">
    <w:name w:val="Ênfase acentuada"/>
    <w:qFormat/>
    <w:rsid w:val="00EC1940"/>
    <w:rPr>
      <w:b/>
      <w:bCs/>
    </w:rPr>
  </w:style>
  <w:style w:type="character" w:customStyle="1" w:styleId="ListParagraphChar">
    <w:name w:val="List Paragraph Char"/>
    <w:link w:val="ListParagraph"/>
    <w:uiPriority w:val="34"/>
    <w:rsid w:val="0037390A"/>
    <w:rPr>
      <w:sz w:val="22"/>
    </w:rPr>
  </w:style>
  <w:style w:type="paragraph" w:customStyle="1" w:styleId="CM1">
    <w:name w:val="CM1"/>
    <w:basedOn w:val="Normal"/>
    <w:next w:val="Normal"/>
    <w:uiPriority w:val="99"/>
    <w:rsid w:val="0054554D"/>
    <w:pPr>
      <w:autoSpaceDE w:val="0"/>
      <w:autoSpaceDN w:val="0"/>
      <w:adjustRightInd w:val="0"/>
      <w:spacing w:after="0" w:line="240" w:lineRule="auto"/>
    </w:pPr>
    <w:rPr>
      <w:rFonts w:ascii="EU Albertina" w:hAnsi="EU Albertina"/>
    </w:rPr>
  </w:style>
  <w:style w:type="paragraph" w:customStyle="1" w:styleId="CM3">
    <w:name w:val="CM3"/>
    <w:basedOn w:val="Normal"/>
    <w:next w:val="Normal"/>
    <w:uiPriority w:val="99"/>
    <w:rsid w:val="0054554D"/>
    <w:pPr>
      <w:autoSpaceDE w:val="0"/>
      <w:autoSpaceDN w:val="0"/>
      <w:adjustRightInd w:val="0"/>
      <w:spacing w:after="0" w:line="240" w:lineRule="auto"/>
    </w:pPr>
    <w:rPr>
      <w:rFonts w:ascii="EU Albertina" w:hAnsi="EU Albertina"/>
    </w:rPr>
  </w:style>
  <w:style w:type="character" w:customStyle="1" w:styleId="Heading1Char">
    <w:name w:val="Heading 1 Char"/>
    <w:basedOn w:val="DefaultParagraphFont"/>
    <w:link w:val="Heading1"/>
    <w:uiPriority w:val="9"/>
    <w:rsid w:val="00006360"/>
    <w:rPr>
      <w:rFonts w:ascii="Garamond" w:hAnsi="Garamond"/>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514498">
      <w:bodyDiv w:val="1"/>
      <w:marLeft w:val="0"/>
      <w:marRight w:val="0"/>
      <w:marTop w:val="0"/>
      <w:marBottom w:val="0"/>
      <w:divBdr>
        <w:top w:val="none" w:sz="0" w:space="0" w:color="auto"/>
        <w:left w:val="none" w:sz="0" w:space="0" w:color="auto"/>
        <w:bottom w:val="none" w:sz="0" w:space="0" w:color="auto"/>
        <w:right w:val="none" w:sz="0" w:space="0" w:color="auto"/>
      </w:divBdr>
      <w:divsChild>
        <w:div w:id="1382289183">
          <w:marLeft w:val="0"/>
          <w:marRight w:val="0"/>
          <w:marTop w:val="0"/>
          <w:marBottom w:val="0"/>
          <w:divBdr>
            <w:top w:val="none" w:sz="0" w:space="0" w:color="auto"/>
            <w:left w:val="none" w:sz="0" w:space="0" w:color="auto"/>
            <w:bottom w:val="none" w:sz="0" w:space="0" w:color="auto"/>
            <w:right w:val="none" w:sz="0" w:space="0" w:color="auto"/>
          </w:divBdr>
          <w:divsChild>
            <w:div w:id="90785575">
              <w:marLeft w:val="0"/>
              <w:marRight w:val="0"/>
              <w:marTop w:val="0"/>
              <w:marBottom w:val="0"/>
              <w:divBdr>
                <w:top w:val="none" w:sz="0" w:space="0" w:color="auto"/>
                <w:left w:val="none" w:sz="0" w:space="0" w:color="auto"/>
                <w:bottom w:val="none" w:sz="0" w:space="0" w:color="auto"/>
                <w:right w:val="none" w:sz="0" w:space="0" w:color="auto"/>
              </w:divBdr>
              <w:divsChild>
                <w:div w:id="791904125">
                  <w:marLeft w:val="0"/>
                  <w:marRight w:val="0"/>
                  <w:marTop w:val="0"/>
                  <w:marBottom w:val="0"/>
                  <w:divBdr>
                    <w:top w:val="none" w:sz="0" w:space="0" w:color="auto"/>
                    <w:left w:val="none" w:sz="0" w:space="0" w:color="auto"/>
                    <w:bottom w:val="none" w:sz="0" w:space="0" w:color="auto"/>
                    <w:right w:val="none" w:sz="0" w:space="0" w:color="auto"/>
                  </w:divBdr>
                  <w:divsChild>
                    <w:div w:id="1133059849">
                      <w:marLeft w:val="0"/>
                      <w:marRight w:val="0"/>
                      <w:marTop w:val="0"/>
                      <w:marBottom w:val="0"/>
                      <w:divBdr>
                        <w:top w:val="none" w:sz="0" w:space="0" w:color="auto"/>
                        <w:left w:val="none" w:sz="0" w:space="0" w:color="auto"/>
                        <w:bottom w:val="none" w:sz="0" w:space="0" w:color="auto"/>
                        <w:right w:val="none" w:sz="0" w:space="0" w:color="auto"/>
                      </w:divBdr>
                      <w:divsChild>
                        <w:div w:id="526022863">
                          <w:marLeft w:val="0"/>
                          <w:marRight w:val="0"/>
                          <w:marTop w:val="0"/>
                          <w:marBottom w:val="0"/>
                          <w:divBdr>
                            <w:top w:val="none" w:sz="0" w:space="0" w:color="auto"/>
                            <w:left w:val="none" w:sz="0" w:space="0" w:color="auto"/>
                            <w:bottom w:val="none" w:sz="0" w:space="0" w:color="auto"/>
                            <w:right w:val="none" w:sz="0" w:space="0" w:color="auto"/>
                          </w:divBdr>
                          <w:divsChild>
                            <w:div w:id="1089159914">
                              <w:marLeft w:val="0"/>
                              <w:marRight w:val="0"/>
                              <w:marTop w:val="0"/>
                              <w:marBottom w:val="0"/>
                              <w:divBdr>
                                <w:top w:val="none" w:sz="0" w:space="0" w:color="auto"/>
                                <w:left w:val="none" w:sz="0" w:space="0" w:color="auto"/>
                                <w:bottom w:val="none" w:sz="0" w:space="0" w:color="auto"/>
                                <w:right w:val="none" w:sz="0" w:space="0" w:color="auto"/>
                              </w:divBdr>
                              <w:divsChild>
                                <w:div w:id="1803692583">
                                  <w:marLeft w:val="0"/>
                                  <w:marRight w:val="0"/>
                                  <w:marTop w:val="0"/>
                                  <w:marBottom w:val="0"/>
                                  <w:divBdr>
                                    <w:top w:val="none" w:sz="0" w:space="0" w:color="auto"/>
                                    <w:left w:val="none" w:sz="0" w:space="0" w:color="auto"/>
                                    <w:bottom w:val="none" w:sz="0" w:space="0" w:color="auto"/>
                                    <w:right w:val="none" w:sz="0" w:space="0" w:color="auto"/>
                                  </w:divBdr>
                                  <w:divsChild>
                                    <w:div w:id="1706518361">
                                      <w:marLeft w:val="0"/>
                                      <w:marRight w:val="0"/>
                                      <w:marTop w:val="0"/>
                                      <w:marBottom w:val="0"/>
                                      <w:divBdr>
                                        <w:top w:val="none" w:sz="0" w:space="0" w:color="auto"/>
                                        <w:left w:val="none" w:sz="0" w:space="0" w:color="auto"/>
                                        <w:bottom w:val="none" w:sz="0" w:space="0" w:color="auto"/>
                                        <w:right w:val="none" w:sz="0" w:space="0" w:color="auto"/>
                                      </w:divBdr>
                                      <w:divsChild>
                                        <w:div w:id="1499886589">
                                          <w:marLeft w:val="0"/>
                                          <w:marRight w:val="0"/>
                                          <w:marTop w:val="0"/>
                                          <w:marBottom w:val="0"/>
                                          <w:divBdr>
                                            <w:top w:val="none" w:sz="0" w:space="0" w:color="auto"/>
                                            <w:left w:val="none" w:sz="0" w:space="0" w:color="auto"/>
                                            <w:bottom w:val="none" w:sz="0" w:space="0" w:color="auto"/>
                                            <w:right w:val="none" w:sz="0" w:space="0" w:color="auto"/>
                                          </w:divBdr>
                                          <w:divsChild>
                                            <w:div w:id="182714607">
                                              <w:marLeft w:val="0"/>
                                              <w:marRight w:val="0"/>
                                              <w:marTop w:val="0"/>
                                              <w:marBottom w:val="0"/>
                                              <w:divBdr>
                                                <w:top w:val="none" w:sz="0" w:space="0" w:color="auto"/>
                                                <w:left w:val="none" w:sz="0" w:space="0" w:color="auto"/>
                                                <w:bottom w:val="none" w:sz="0" w:space="0" w:color="auto"/>
                                                <w:right w:val="none" w:sz="0" w:space="0" w:color="auto"/>
                                              </w:divBdr>
                                              <w:divsChild>
                                                <w:div w:id="1896700311">
                                                  <w:marLeft w:val="0"/>
                                                  <w:marRight w:val="0"/>
                                                  <w:marTop w:val="0"/>
                                                  <w:marBottom w:val="0"/>
                                                  <w:divBdr>
                                                    <w:top w:val="none" w:sz="0" w:space="0" w:color="auto"/>
                                                    <w:left w:val="none" w:sz="0" w:space="0" w:color="auto"/>
                                                    <w:bottom w:val="none" w:sz="0" w:space="0" w:color="auto"/>
                                                    <w:right w:val="none" w:sz="0" w:space="0" w:color="auto"/>
                                                  </w:divBdr>
                                                  <w:divsChild>
                                                    <w:div w:id="2088728013">
                                                      <w:marLeft w:val="0"/>
                                                      <w:marRight w:val="0"/>
                                                      <w:marTop w:val="0"/>
                                                      <w:marBottom w:val="0"/>
                                                      <w:divBdr>
                                                        <w:top w:val="none" w:sz="0" w:space="0" w:color="auto"/>
                                                        <w:left w:val="none" w:sz="0" w:space="0" w:color="auto"/>
                                                        <w:bottom w:val="none" w:sz="0" w:space="0" w:color="auto"/>
                                                        <w:right w:val="none" w:sz="0" w:space="0" w:color="auto"/>
                                                      </w:divBdr>
                                                      <w:divsChild>
                                                        <w:div w:id="177083954">
                                                          <w:marLeft w:val="0"/>
                                                          <w:marRight w:val="0"/>
                                                          <w:marTop w:val="0"/>
                                                          <w:marBottom w:val="0"/>
                                                          <w:divBdr>
                                                            <w:top w:val="none" w:sz="0" w:space="0" w:color="auto"/>
                                                            <w:left w:val="none" w:sz="0" w:space="0" w:color="auto"/>
                                                            <w:bottom w:val="none" w:sz="0" w:space="0" w:color="auto"/>
                                                            <w:right w:val="none" w:sz="0" w:space="0" w:color="auto"/>
                                                          </w:divBdr>
                                                          <w:divsChild>
                                                            <w:div w:id="839126471">
                                                              <w:marLeft w:val="0"/>
                                                              <w:marRight w:val="0"/>
                                                              <w:marTop w:val="0"/>
                                                              <w:marBottom w:val="0"/>
                                                              <w:divBdr>
                                                                <w:top w:val="none" w:sz="0" w:space="0" w:color="auto"/>
                                                                <w:left w:val="none" w:sz="0" w:space="0" w:color="auto"/>
                                                                <w:bottom w:val="none" w:sz="0" w:space="0" w:color="auto"/>
                                                                <w:right w:val="none" w:sz="0" w:space="0" w:color="auto"/>
                                                              </w:divBdr>
                                                              <w:divsChild>
                                                                <w:div w:id="1445462858">
                                                                  <w:marLeft w:val="0"/>
                                                                  <w:marRight w:val="0"/>
                                                                  <w:marTop w:val="0"/>
                                                                  <w:marBottom w:val="0"/>
                                                                  <w:divBdr>
                                                                    <w:top w:val="none" w:sz="0" w:space="0" w:color="auto"/>
                                                                    <w:left w:val="none" w:sz="0" w:space="0" w:color="auto"/>
                                                                    <w:bottom w:val="none" w:sz="0" w:space="0" w:color="auto"/>
                                                                    <w:right w:val="none" w:sz="0" w:space="0" w:color="auto"/>
                                                                  </w:divBdr>
                                                                  <w:divsChild>
                                                                    <w:div w:id="1564412577">
                                                                      <w:marLeft w:val="0"/>
                                                                      <w:marRight w:val="0"/>
                                                                      <w:marTop w:val="0"/>
                                                                      <w:marBottom w:val="450"/>
                                                                      <w:divBdr>
                                                                        <w:top w:val="none" w:sz="0" w:space="0" w:color="auto"/>
                                                                        <w:left w:val="none" w:sz="0" w:space="0" w:color="auto"/>
                                                                        <w:bottom w:val="none" w:sz="0" w:space="0" w:color="auto"/>
                                                                        <w:right w:val="none" w:sz="0" w:space="0" w:color="auto"/>
                                                                      </w:divBdr>
                                                                      <w:divsChild>
                                                                        <w:div w:id="881862057">
                                                                          <w:marLeft w:val="0"/>
                                                                          <w:marRight w:val="0"/>
                                                                          <w:marTop w:val="0"/>
                                                                          <w:marBottom w:val="0"/>
                                                                          <w:divBdr>
                                                                            <w:top w:val="none" w:sz="0" w:space="0" w:color="auto"/>
                                                                            <w:left w:val="none" w:sz="0" w:space="0" w:color="auto"/>
                                                                            <w:bottom w:val="none" w:sz="0" w:space="0" w:color="auto"/>
                                                                            <w:right w:val="none" w:sz="0" w:space="0" w:color="auto"/>
                                                                          </w:divBdr>
                                                                          <w:divsChild>
                                                                            <w:div w:id="1644500294">
                                                                              <w:marLeft w:val="0"/>
                                                                              <w:marRight w:val="0"/>
                                                                              <w:marTop w:val="0"/>
                                                                              <w:marBottom w:val="0"/>
                                                                              <w:divBdr>
                                                                                <w:top w:val="none" w:sz="0" w:space="0" w:color="auto"/>
                                                                                <w:left w:val="none" w:sz="0" w:space="0" w:color="auto"/>
                                                                                <w:bottom w:val="none" w:sz="0" w:space="0" w:color="auto"/>
                                                                                <w:right w:val="none" w:sz="0" w:space="0" w:color="auto"/>
                                                                              </w:divBdr>
                                                                              <w:divsChild>
                                                                                <w:div w:id="7629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0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e.pt/application/external/eurolex?06R1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1357</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dc:description/>
  <cp:lastModifiedBy>Dimitris Dimitriadis</cp:lastModifiedBy>
  <cp:revision>6</cp:revision>
  <cp:lastPrinted>2021-02-01T17:16:00Z</cp:lastPrinted>
  <dcterms:created xsi:type="dcterms:W3CDTF">2021-03-15T17:27:00Z</dcterms:created>
  <dcterms:modified xsi:type="dcterms:W3CDTF">2021-03-23T15:49:00Z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FileDoc_ClassificationNodeID">
    <vt:lpwstr/>
  </property>
  <property fmtid="{D5CDD505-2E9C-101B-9397-08002B2CF9AE}" pid="5" name="FileDoc_DocFileID">
    <vt:lpwstr>3700771</vt:lpwstr>
  </property>
  <property fmtid="{D5CDD505-2E9C-101B-9397-08002B2CF9AE}" pid="6" name="FileDoc_DocID">
    <vt:lpwstr>2627419</vt:lpwstr>
  </property>
  <property fmtid="{D5CDD505-2E9C-101B-9397-08002B2CF9AE}" pid="7" name="FileDoc_EntityID">
    <vt:lpwstr/>
  </property>
  <property fmtid="{D5CDD505-2E9C-101B-9397-08002B2CF9AE}" pid="8" name="FileDoc_ProcID">
    <vt:lpwstr/>
  </property>
  <property fmtid="{D5CDD505-2E9C-101B-9397-08002B2CF9AE}" pid="9" name="FileDoc_RecordType">
    <vt:lpwstr>DOCS</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