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6B54" w14:textId="77777777" w:rsidR="002D1522" w:rsidRPr="002D1522" w:rsidRDefault="002D1522" w:rsidP="002D1522">
      <w:pPr>
        <w:shd w:val="clear" w:color="auto" w:fill="FFFFFF"/>
        <w:spacing w:before="150" w:after="150" w:line="240" w:lineRule="auto"/>
        <w:outlineLvl w:val="0"/>
        <w:rPr>
          <w:rFonts w:ascii="Helvetica" w:eastAsia="Times New Roman" w:hAnsi="Helvetica" w:cs="Helvetica"/>
          <w:b/>
          <w:bCs/>
          <w:color w:val="4A0D17"/>
          <w:kern w:val="36"/>
          <w:sz w:val="35"/>
          <w:szCs w:val="35"/>
        </w:rPr>
      </w:pPr>
      <w:r>
        <w:rPr>
          <w:rFonts w:ascii="Helvetica" w:hAnsi="Helvetica"/>
          <w:b/>
          <w:color w:val="4A0D17"/>
          <w:sz w:val="35"/>
        </w:rPr>
        <w:t>Predpisi o univerzalni zasnovi motornih vozil, ki se uporabljajo za prevoz potnikov, za katerega je potrebno dovoljenje, itd.</w:t>
      </w:r>
    </w:p>
    <w:p w14:paraId="431BB729" w14:textId="77777777" w:rsidR="00106164" w:rsidRDefault="00106164" w:rsidP="00106164">
      <w:pPr>
        <w:spacing w:after="0" w:line="240" w:lineRule="auto"/>
        <w:rPr>
          <w:rFonts w:ascii="Times New Roman" w:eastAsia="Times New Roman" w:hAnsi="Times New Roman" w:cs="Times New Roman"/>
          <w:b/>
          <w:bCs/>
          <w:szCs w:val="24"/>
          <w:lang w:val="en-US"/>
        </w:rPr>
      </w:pPr>
    </w:p>
    <w:p w14:paraId="5B06AE60" w14:textId="3AC8C433" w:rsidR="00106164" w:rsidRPr="00106164" w:rsidRDefault="00106164" w:rsidP="00106164">
      <w:pPr>
        <w:spacing w:after="0" w:line="240" w:lineRule="auto"/>
        <w:rPr>
          <w:rFonts w:ascii="Times New Roman" w:eastAsia="Times New Roman" w:hAnsi="Times New Roman" w:cs="Times New Roman"/>
          <w:b/>
          <w:bCs/>
          <w:i/>
          <w:iCs/>
          <w:szCs w:val="24"/>
        </w:rPr>
      </w:pPr>
      <w:r>
        <w:rPr>
          <w:rFonts w:ascii="Times New Roman" w:hAnsi="Times New Roman"/>
          <w:b/>
          <w:i/>
        </w:rPr>
        <w:t>Predlagane spremembe so označene rdeče.</w:t>
      </w:r>
    </w:p>
    <w:p w14:paraId="2AA45474" w14:textId="7E60E1F7" w:rsidR="002D1522" w:rsidRDefault="002D1522" w:rsidP="002D1522">
      <w:pPr>
        <w:spacing w:after="0" w:line="240" w:lineRule="auto"/>
        <w:rPr>
          <w:rFonts w:ascii="Times New Roman" w:eastAsia="Times New Roman" w:hAnsi="Times New Roman" w:cs="Times New Roman"/>
          <w:b/>
          <w:szCs w:val="24"/>
          <w:lang w:val="en-GB"/>
        </w:rPr>
      </w:pPr>
    </w:p>
    <w:p w14:paraId="65C9B0D2" w14:textId="77777777" w:rsidR="00106164" w:rsidRPr="002D1522" w:rsidRDefault="00106164" w:rsidP="002D1522">
      <w:pPr>
        <w:spacing w:after="0" w:line="240" w:lineRule="auto"/>
        <w:rPr>
          <w:rFonts w:ascii="Times New Roman" w:eastAsia="Times New Roman" w:hAnsi="Times New Roman" w:cs="Times New Roman"/>
          <w:b/>
          <w:szCs w:val="24"/>
          <w:lang w:val="en-GB"/>
        </w:rPr>
      </w:pPr>
    </w:p>
    <w:p w14:paraId="12695058" w14:textId="77777777" w:rsidR="0054005C" w:rsidRPr="0054005C" w:rsidRDefault="0054005C" w:rsidP="0054005C">
      <w:pPr>
        <w:spacing w:after="0" w:line="240" w:lineRule="auto"/>
        <w:rPr>
          <w:rFonts w:ascii="Times New Roman" w:eastAsia="Times New Roman" w:hAnsi="Times New Roman" w:cs="Times New Roman"/>
          <w:b/>
          <w:bCs/>
          <w:i/>
          <w:iCs/>
          <w:szCs w:val="24"/>
        </w:rPr>
      </w:pPr>
      <w:r>
        <w:rPr>
          <w:rFonts w:ascii="Times New Roman" w:hAnsi="Times New Roman"/>
          <w:b/>
        </w:rPr>
        <w:t>Oddelek 1</w:t>
      </w:r>
      <w:r>
        <w:rPr>
          <w:rFonts w:ascii="Times New Roman" w:hAnsi="Times New Roman"/>
          <w:b/>
          <w:i/>
        </w:rPr>
        <w:t>: Področje uporabe</w:t>
      </w:r>
    </w:p>
    <w:p w14:paraId="1F3CD3E5" w14:textId="77777777" w:rsidR="0054005C" w:rsidRDefault="0054005C" w:rsidP="0054005C">
      <w:pPr>
        <w:spacing w:after="0" w:line="240" w:lineRule="auto"/>
        <w:rPr>
          <w:rFonts w:ascii="Times New Roman" w:eastAsia="Times New Roman" w:hAnsi="Times New Roman" w:cs="Times New Roman"/>
          <w:bCs/>
          <w:iCs/>
          <w:szCs w:val="24"/>
          <w:lang w:val="en-US"/>
        </w:rPr>
      </w:pPr>
    </w:p>
    <w:p w14:paraId="7D489EEF" w14:textId="5694A2F7" w:rsidR="002D1522" w:rsidRPr="0054005C" w:rsidRDefault="0054005C" w:rsidP="0054005C">
      <w:pPr>
        <w:spacing w:after="0" w:line="240" w:lineRule="auto"/>
        <w:rPr>
          <w:rFonts w:ascii="Times New Roman" w:eastAsia="Times New Roman" w:hAnsi="Times New Roman" w:cs="Times New Roman"/>
          <w:bCs/>
          <w:iCs/>
          <w:szCs w:val="24"/>
        </w:rPr>
      </w:pPr>
      <w:r>
        <w:rPr>
          <w:rFonts w:ascii="Times New Roman" w:hAnsi="Times New Roman"/>
        </w:rPr>
        <w:t>Ti predpisi se uporabljajo za linijski prevoz potnikov, za katerega je potrebno dovoljenje, in za prevoz potnikov, za katerega je potrebno dovoljenje, kadar se motorno vozilo uporablja za prevoz invalidov (glej oddelke 4, 6 in 9 Zakona o profesionalnem prevozu). Predpisi se ne uporabljajo za avtobuse razreda I, razen določbe petega odstavka oddelka 4.</w:t>
      </w:r>
    </w:p>
    <w:p w14:paraId="6EACF846" w14:textId="7CBD8DFC" w:rsidR="0054005C" w:rsidRDefault="0054005C" w:rsidP="002D1522">
      <w:pPr>
        <w:spacing w:after="0" w:line="240" w:lineRule="auto"/>
        <w:rPr>
          <w:rFonts w:ascii="Times New Roman" w:eastAsia="Times New Roman" w:hAnsi="Times New Roman" w:cs="Times New Roman"/>
          <w:b/>
          <w:szCs w:val="24"/>
          <w:lang w:val="en-GB"/>
        </w:rPr>
      </w:pPr>
    </w:p>
    <w:p w14:paraId="0EFD06CB" w14:textId="77777777" w:rsidR="0054005C" w:rsidRPr="002D1522" w:rsidRDefault="0054005C" w:rsidP="002D1522">
      <w:pPr>
        <w:spacing w:after="0" w:line="240" w:lineRule="auto"/>
        <w:rPr>
          <w:rFonts w:ascii="Times New Roman" w:eastAsia="Times New Roman" w:hAnsi="Times New Roman" w:cs="Times New Roman"/>
          <w:b/>
          <w:szCs w:val="24"/>
          <w:lang w:val="en-GB"/>
        </w:rPr>
      </w:pPr>
    </w:p>
    <w:p w14:paraId="66062AE3"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Oddelek 2 </w:t>
      </w:r>
      <w:r>
        <w:rPr>
          <w:rFonts w:ascii="Times New Roman" w:hAnsi="Times New Roman"/>
          <w:b/>
          <w:i/>
        </w:rPr>
        <w:t>Opredelitev pojmov</w:t>
      </w:r>
    </w:p>
    <w:p w14:paraId="15A82E3E"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Po potrebi se uporabljajo opredelitve pojmov iz Predpisov št. 817 z dne 5. julija 2012 o homologaciji motornih vozil in njihovih priklopnih vozil (predpisi o motornih vozilih).</w:t>
      </w:r>
      <w:hyperlink r:id="rId6" w:anchor="reference/forskrift/2012-07-05-817" w:history="1">
        <w:r>
          <w:rPr>
            <w:rFonts w:ascii="Times New Roman" w:hAnsi="Times New Roman"/>
          </w:rPr>
          <w:t xml:space="preserve"> </w:t>
        </w:r>
      </w:hyperlink>
    </w:p>
    <w:p w14:paraId="7002C9F3"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Sicer se v teh predpisih uporabljajo naslednje opredelitve pojmov:</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5356AE2" w14:textId="77777777" w:rsidTr="00831C6F">
        <w:tc>
          <w:tcPr>
            <w:tcW w:w="360" w:type="dxa"/>
            <w:noWrap/>
            <w:tcMar>
              <w:right w:w="80" w:type="dxa"/>
            </w:tcMar>
          </w:tcPr>
          <w:p w14:paraId="360A6FC8"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a)</w:t>
            </w:r>
          </w:p>
        </w:tc>
        <w:tc>
          <w:tcPr>
            <w:tcW w:w="9506" w:type="dxa"/>
            <w:noWrap/>
            <w:tcMar>
              <w:right w:w="80" w:type="dxa"/>
            </w:tcMar>
          </w:tcPr>
          <w:p w14:paraId="496F12EA"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i/>
              </w:rPr>
              <w:t>motorno vozilo za prevoz invalidov:</w:t>
            </w:r>
            <w:r>
              <w:rPr>
                <w:rFonts w:ascii="Times New Roman" w:hAnsi="Times New Roman"/>
              </w:rPr>
              <w:t xml:space="preserve"> motorno vozilo za prevoz potnikov, za katerega je potrebno dovoljenje in ki je posebej zasnovano ali opremljeno za prevoz invalidov;</w:t>
            </w:r>
          </w:p>
        </w:tc>
      </w:tr>
    </w:tbl>
    <w:p w14:paraId="2D522BB5" w14:textId="77777777" w:rsidR="002D1522" w:rsidRPr="00090D77" w:rsidRDefault="002D1522" w:rsidP="002D1522">
      <w:pPr>
        <w:spacing w:after="0" w:line="240" w:lineRule="auto"/>
        <w:rPr>
          <w:rFonts w:ascii="Times New Roman" w:eastAsia="Times New Roman" w:hAnsi="Times New Roman" w:cs="Times New Roman"/>
          <w:sz w:val="6"/>
          <w:szCs w:val="24"/>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110C1EC9" w14:textId="77777777" w:rsidTr="00831C6F">
        <w:tc>
          <w:tcPr>
            <w:tcW w:w="360" w:type="dxa"/>
            <w:noWrap/>
            <w:tcMar>
              <w:right w:w="80" w:type="dxa"/>
            </w:tcMar>
          </w:tcPr>
          <w:p w14:paraId="44637CCB"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b)</w:t>
            </w:r>
          </w:p>
        </w:tc>
        <w:tc>
          <w:tcPr>
            <w:tcW w:w="9506" w:type="dxa"/>
            <w:noWrap/>
            <w:tcMar>
              <w:right w:w="80" w:type="dxa"/>
            </w:tcMar>
          </w:tcPr>
          <w:p w14:paraId="37B760DF"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i/>
              </w:rPr>
              <w:t>prostor za potnike:</w:t>
            </w:r>
            <w:r>
              <w:rPr>
                <w:rFonts w:ascii="Times New Roman" w:hAnsi="Times New Roman"/>
              </w:rPr>
              <w:t xml:space="preserve"> prostor, namenjen prevozu potnikov;</w:t>
            </w:r>
          </w:p>
        </w:tc>
      </w:tr>
    </w:tbl>
    <w:p w14:paraId="1905BB5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D6DF5C9" w14:textId="77777777" w:rsidTr="00831C6F">
        <w:tc>
          <w:tcPr>
            <w:tcW w:w="360" w:type="dxa"/>
            <w:noWrap/>
            <w:tcMar>
              <w:right w:w="80" w:type="dxa"/>
            </w:tcMar>
          </w:tcPr>
          <w:p w14:paraId="0BF0ECE6"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c)</w:t>
            </w:r>
          </w:p>
        </w:tc>
        <w:tc>
          <w:tcPr>
            <w:tcW w:w="9506" w:type="dxa"/>
            <w:noWrap/>
            <w:tcMar>
              <w:right w:w="80" w:type="dxa"/>
            </w:tcMar>
          </w:tcPr>
          <w:p w14:paraId="34BCE36F"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i/>
              </w:rPr>
              <w:t>sedež:</w:t>
            </w:r>
            <w:r>
              <w:rPr>
                <w:rFonts w:ascii="Times New Roman" w:hAnsi="Times New Roman"/>
              </w:rPr>
              <w:t xml:space="preserve"> prostor, namenjen sedečim potnikom, v fiksnem ali odstranljivem pohištvu;</w:t>
            </w:r>
          </w:p>
        </w:tc>
      </w:tr>
    </w:tbl>
    <w:p w14:paraId="0E7AFF6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662B2BE6" w14:textId="77777777" w:rsidTr="00831C6F">
        <w:tc>
          <w:tcPr>
            <w:tcW w:w="360" w:type="dxa"/>
            <w:noWrap/>
            <w:tcMar>
              <w:right w:w="80" w:type="dxa"/>
            </w:tcMar>
          </w:tcPr>
          <w:p w14:paraId="1FA4F507"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d)</w:t>
            </w:r>
          </w:p>
        </w:tc>
        <w:tc>
          <w:tcPr>
            <w:tcW w:w="9506" w:type="dxa"/>
            <w:noWrap/>
            <w:tcMar>
              <w:right w:w="80" w:type="dxa"/>
            </w:tcMar>
          </w:tcPr>
          <w:p w14:paraId="1658C285"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i/>
              </w:rPr>
              <w:t>prostor za invalidski voziček:</w:t>
            </w:r>
            <w:r>
              <w:rPr>
                <w:rFonts w:ascii="Times New Roman" w:hAnsi="Times New Roman"/>
              </w:rPr>
              <w:t xml:space="preserve"> prostor, namenjen potniku, ki sedi v invalidskem vozičku.</w:t>
            </w:r>
          </w:p>
        </w:tc>
      </w:tr>
    </w:tbl>
    <w:p w14:paraId="3423BA29"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59A98CC3"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Oddelek 3 </w:t>
      </w:r>
      <w:r>
        <w:rPr>
          <w:rFonts w:ascii="Times New Roman" w:hAnsi="Times New Roman"/>
          <w:b/>
          <w:i/>
        </w:rPr>
        <w:t>Homologacija</w:t>
      </w:r>
    </w:p>
    <w:p w14:paraId="5889F4D2"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Homologacijo avtobusov, ki jih zajemajo ti predpisi, izvaja Norveška uprava za javne ceste v skladu z zahtevami iz predpisov o motornih vozilih in njihovih priklopnih vozilih ter zahtevami iz oddelka 4. Po opravljeni homologaciji je treba predložiti dokumentacijo v zvezi z izpolnjevanjem zahtev iz oddelka 4.</w:t>
      </w:r>
    </w:p>
    <w:p w14:paraId="3F821047" w14:textId="6F51F7D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Homologacijo osebnih avtomobilov, ki jih zajemajo ti predpisi, izvaja Norveška uprava za javne ceste v skladu z zahtevami iz predpisov o motornih vozilih in njihovih priklopnih vozilih ter zahtevami iz oddelka 6. Po opravljeni homologaciji je treba predložiti dokumentacijo v zvezi z izpolnjevanjem zahtev iz oddelka 6.</w:t>
      </w:r>
    </w:p>
    <w:p w14:paraId="7BB75486"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Dokumentacijo iz prvega in drugega odstavka izda proizvajalec karoserije, šasije, varnostne opreme ali celotnega motornega vozila oziroma pristojni neodvisni laboratorij.</w:t>
      </w:r>
    </w:p>
    <w:p w14:paraId="433285A0" w14:textId="77777777" w:rsidR="002D1522" w:rsidRPr="00090D77" w:rsidRDefault="002D1522" w:rsidP="002D1522">
      <w:pPr>
        <w:spacing w:after="0" w:line="240" w:lineRule="auto"/>
        <w:rPr>
          <w:rFonts w:ascii="Times New Roman" w:eastAsia="Times New Roman" w:hAnsi="Times New Roman" w:cs="Times New Roman"/>
          <w:szCs w:val="24"/>
        </w:rPr>
      </w:pPr>
    </w:p>
    <w:p w14:paraId="729342EF" w14:textId="77777777" w:rsidR="00B71823" w:rsidRPr="00B71823" w:rsidRDefault="00B71823" w:rsidP="00B71823">
      <w:pPr>
        <w:spacing w:after="0" w:line="240" w:lineRule="auto"/>
        <w:rPr>
          <w:rFonts w:ascii="Times New Roman" w:eastAsia="Times New Roman" w:hAnsi="Times New Roman" w:cs="Times New Roman"/>
          <w:b/>
          <w:bCs/>
          <w:szCs w:val="24"/>
        </w:rPr>
      </w:pPr>
      <w:r>
        <w:rPr>
          <w:rFonts w:ascii="Times New Roman" w:hAnsi="Times New Roman"/>
          <w:b/>
        </w:rPr>
        <w:t>Oddelek 4</w:t>
      </w:r>
      <w:r>
        <w:rPr>
          <w:rFonts w:ascii="Times New Roman" w:hAnsi="Times New Roman"/>
          <w:b/>
          <w:i/>
        </w:rPr>
        <w:t xml:space="preserve"> Zahteve, ki veljajo za avtobuse</w:t>
      </w:r>
      <w:r>
        <w:rPr>
          <w:rFonts w:ascii="Times New Roman" w:hAnsi="Times New Roman"/>
          <w:b/>
        </w:rPr>
        <w:t xml:space="preserve"> </w:t>
      </w:r>
    </w:p>
    <w:p w14:paraId="00C4A60C" w14:textId="77777777" w:rsidR="00E81585" w:rsidRDefault="00E81585" w:rsidP="00B71823">
      <w:pPr>
        <w:spacing w:after="0" w:line="240" w:lineRule="auto"/>
        <w:rPr>
          <w:rFonts w:ascii="Times New Roman" w:eastAsia="Times New Roman" w:hAnsi="Times New Roman" w:cs="Times New Roman"/>
          <w:iCs/>
          <w:szCs w:val="24"/>
          <w:lang w:val="en-US"/>
        </w:rPr>
      </w:pPr>
    </w:p>
    <w:p w14:paraId="167BB47A" w14:textId="1C2634CF" w:rsid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Avtobusi, ki jih zajemajo ti predpisi, izpolnjujejo zahteve iz Priloge 8 k Pravilniku UN/ECE št. 107–05.</w:t>
      </w:r>
    </w:p>
    <w:p w14:paraId="1D3883D5" w14:textId="77777777" w:rsidR="00E81585" w:rsidRPr="00B71823" w:rsidRDefault="00E81585" w:rsidP="00B71823">
      <w:pPr>
        <w:spacing w:after="0" w:line="240" w:lineRule="auto"/>
        <w:rPr>
          <w:rFonts w:ascii="Times New Roman" w:eastAsia="Times New Roman" w:hAnsi="Times New Roman" w:cs="Times New Roman"/>
          <w:iCs/>
          <w:szCs w:val="24"/>
          <w:lang w:val="en-GB"/>
        </w:rPr>
      </w:pPr>
    </w:p>
    <w:p w14:paraId="3E99923D" w14:textId="3F82DC23" w:rsidR="006007DD" w:rsidRP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Poleg tega so avtobusi, ki se uporabljajo za linijski prevoz potnikov, za katerega je potrebno dovoljenje, opremljeni z naslednjim:</w:t>
      </w:r>
    </w:p>
    <w:p w14:paraId="565F5F05" w14:textId="1322BA5B" w:rsid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a) napravo za zvočno napovedovanje postajališč in elektronsko sporočilno desko znotraj avtobusa, ki se nahaja tako, da je jasno vidna z rezerviranega prostora;</w:t>
      </w:r>
    </w:p>
    <w:p w14:paraId="3653FE0A" w14:textId="77777777" w:rsidR="00E81585" w:rsidRPr="00090D77" w:rsidRDefault="00E81585" w:rsidP="00B71823">
      <w:pPr>
        <w:spacing w:after="0" w:line="240" w:lineRule="auto"/>
        <w:rPr>
          <w:rFonts w:ascii="Times New Roman" w:eastAsia="Times New Roman" w:hAnsi="Times New Roman" w:cs="Times New Roman"/>
          <w:iCs/>
          <w:szCs w:val="24"/>
        </w:rPr>
      </w:pPr>
    </w:p>
    <w:p w14:paraId="23CD317D" w14:textId="77777777" w:rsidR="00B71823" w:rsidRP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b) zunanjim radiodifuznim sistemom (zvočnim javljalnikom) za napovedovanje, kateri avtobus prihaja na postajališče.</w:t>
      </w:r>
    </w:p>
    <w:p w14:paraId="11F046C1" w14:textId="77777777" w:rsidR="00B71823" w:rsidRP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lastRenderedPageBreak/>
        <w:t>Izbira naprave za vkrcanje mora temeljiti na zasnovi avtobusa. V vsakem avtobusu je najmanj en prostor za invalidski voziček.</w:t>
      </w:r>
    </w:p>
    <w:p w14:paraId="49D71262" w14:textId="1A440A1A" w:rsid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Avtobusi razreda II so opremljeni z varnostnimi pasovi, ki izpolnjujejo zahteve iz Pravilnika UN/ECE št. 16–06. Pritrdilne točke za varnostne pasove izpolnjujejo zahteve iz Pravilnika UN/ECE št. 14–07.</w:t>
      </w:r>
    </w:p>
    <w:p w14:paraId="3F4443B0" w14:textId="77777777" w:rsidR="006007DD" w:rsidRPr="00B71823" w:rsidRDefault="006007DD" w:rsidP="00B71823">
      <w:pPr>
        <w:spacing w:after="0" w:line="240" w:lineRule="auto"/>
        <w:rPr>
          <w:rFonts w:ascii="Times New Roman" w:eastAsia="Times New Roman" w:hAnsi="Times New Roman" w:cs="Times New Roman"/>
          <w:iCs/>
          <w:szCs w:val="24"/>
          <w:lang w:val="en-GB"/>
        </w:rPr>
      </w:pPr>
    </w:p>
    <w:p w14:paraId="5AE92340" w14:textId="77777777" w:rsidR="00B71823" w:rsidRPr="00B71823" w:rsidRDefault="00B71823" w:rsidP="00B71823">
      <w:pPr>
        <w:spacing w:after="0" w:line="240" w:lineRule="auto"/>
        <w:rPr>
          <w:rFonts w:ascii="Times New Roman" w:eastAsia="Times New Roman" w:hAnsi="Times New Roman" w:cs="Times New Roman"/>
          <w:iCs/>
          <w:color w:val="C00000"/>
          <w:szCs w:val="24"/>
        </w:rPr>
      </w:pPr>
      <w:r>
        <w:rPr>
          <w:rFonts w:ascii="Times New Roman" w:hAnsi="Times New Roman"/>
          <w:color w:val="C00000"/>
        </w:rPr>
        <w:t>Avtobusi razredov I, II in III od 1. januarja 2023 izpolnjujejo zahteve za prednjo zaščito iz oddelka 5 Pravilnika UN/ECE št. 29, če je bil opravljen preskus trka v skladu s preskusom A iz Priloge 3, pri čemer mora biti vrednost udarca udarne glave v skladu z oddelkom 5.5.2.</w:t>
      </w:r>
    </w:p>
    <w:p w14:paraId="3CFA2C6F" w14:textId="77777777" w:rsidR="00B71823" w:rsidRPr="00B71823" w:rsidRDefault="00B71823" w:rsidP="00B71823">
      <w:pPr>
        <w:spacing w:after="0" w:line="240" w:lineRule="auto"/>
        <w:rPr>
          <w:rFonts w:ascii="Times New Roman" w:eastAsia="Times New Roman" w:hAnsi="Times New Roman" w:cs="Times New Roman"/>
          <w:szCs w:val="24"/>
          <w:lang w:val="en-GB"/>
        </w:rPr>
      </w:pPr>
    </w:p>
    <w:p w14:paraId="043D292A"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3960E229"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Oddelek 5</w:t>
      </w:r>
      <w:r>
        <w:rPr>
          <w:rFonts w:ascii="Times New Roman" w:hAnsi="Times New Roman"/>
        </w:rPr>
        <w:t xml:space="preserve"> (razveljavljen)</w:t>
      </w:r>
    </w:p>
    <w:p w14:paraId="748677C7" w14:textId="7572CA36" w:rsidR="002D1522" w:rsidRDefault="002D1522" w:rsidP="002D1522">
      <w:pPr>
        <w:spacing w:after="0" w:line="240" w:lineRule="auto"/>
        <w:rPr>
          <w:rFonts w:ascii="Times New Roman" w:eastAsia="Times New Roman" w:hAnsi="Times New Roman" w:cs="Times New Roman"/>
          <w:szCs w:val="24"/>
          <w:lang w:val="en-GB"/>
        </w:rPr>
      </w:pPr>
    </w:p>
    <w:p w14:paraId="4FC47300" w14:textId="77777777" w:rsidR="00106164" w:rsidRPr="002D1522" w:rsidRDefault="00106164" w:rsidP="002D1522">
      <w:pPr>
        <w:spacing w:after="0" w:line="240" w:lineRule="auto"/>
        <w:rPr>
          <w:rFonts w:ascii="Times New Roman" w:eastAsia="Times New Roman" w:hAnsi="Times New Roman" w:cs="Times New Roman"/>
          <w:szCs w:val="24"/>
          <w:lang w:val="en-GB"/>
        </w:rPr>
      </w:pPr>
    </w:p>
    <w:p w14:paraId="65ADFA03"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Oddelek 6 </w:t>
      </w:r>
      <w:r>
        <w:rPr>
          <w:rFonts w:ascii="Times New Roman" w:hAnsi="Times New Roman"/>
          <w:b/>
          <w:i/>
        </w:rPr>
        <w:t>Zahteve, ki veljajo za osebne avtomobile</w:t>
      </w:r>
    </w:p>
    <w:p w14:paraId="5E5D3482"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 xml:space="preserve">Osebni avtomobili izpolnjujejo zahteve iz Dodatka 3 z naslovom „Vozila, dostopna z invalidskim vozičkom“, Priloge XI k Direktivi </w:t>
      </w:r>
      <w:hyperlink r:id="rId7" w:anchor="reference/eu/32007l0046" w:history="1">
        <w:r>
          <w:rPr>
            <w:rFonts w:ascii="Times New Roman" w:hAnsi="Times New Roman"/>
          </w:rPr>
          <w:t>2007/46/ES</w:t>
        </w:r>
      </w:hyperlink>
      <w:r>
        <w:rPr>
          <w:rFonts w:ascii="Times New Roman" w:hAnsi="Times New Roman"/>
        </w:rPr>
        <w:t>. Poleg tega se uporablja naslednje:</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A2D00A5" w14:textId="77777777" w:rsidTr="00831C6F">
        <w:tc>
          <w:tcPr>
            <w:tcW w:w="360" w:type="dxa"/>
            <w:noWrap/>
            <w:tcMar>
              <w:right w:w="80" w:type="dxa"/>
            </w:tcMar>
          </w:tcPr>
          <w:p w14:paraId="38B43CE3"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a)</w:t>
            </w:r>
          </w:p>
        </w:tc>
        <w:tc>
          <w:tcPr>
            <w:tcW w:w="9506" w:type="dxa"/>
            <w:noWrap/>
            <w:tcMar>
              <w:right w:w="80" w:type="dxa"/>
            </w:tcMar>
          </w:tcPr>
          <w:p w14:paraId="7590AC40"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prostori za invalidske vozičke so v skladu z oddelkom 3.6.1 Priloge 8 k Pravilniku UN/ECE št. 107–05;</w:t>
            </w:r>
          </w:p>
        </w:tc>
      </w:tr>
    </w:tbl>
    <w:p w14:paraId="3B7E9B46"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5AC1B2C9" w14:textId="77777777" w:rsidTr="00831C6F">
        <w:tc>
          <w:tcPr>
            <w:tcW w:w="360" w:type="dxa"/>
            <w:noWrap/>
            <w:tcMar>
              <w:right w:w="80" w:type="dxa"/>
            </w:tcMar>
          </w:tcPr>
          <w:p w14:paraId="0317A466"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b)</w:t>
            </w:r>
          </w:p>
        </w:tc>
        <w:tc>
          <w:tcPr>
            <w:tcW w:w="9506" w:type="dxa"/>
            <w:noWrap/>
            <w:tcMar>
              <w:right w:w="80" w:type="dxa"/>
            </w:tcMar>
          </w:tcPr>
          <w:p w14:paraId="3D0A99F9"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sedeži v prostoru za invalidski voziček so v skladu z oddelkom 3.7 Priloge 8 k Pravilniku UN/ECE št. 107–05;</w:t>
            </w:r>
          </w:p>
        </w:tc>
      </w:tr>
    </w:tbl>
    <w:p w14:paraId="53F4A4E1"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7D90BF5E" w14:textId="77777777" w:rsidTr="00831C6F">
        <w:tc>
          <w:tcPr>
            <w:tcW w:w="360" w:type="dxa"/>
            <w:noWrap/>
            <w:tcMar>
              <w:right w:w="80" w:type="dxa"/>
            </w:tcMar>
          </w:tcPr>
          <w:p w14:paraId="6B664019"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c)</w:t>
            </w:r>
          </w:p>
        </w:tc>
        <w:tc>
          <w:tcPr>
            <w:tcW w:w="9506" w:type="dxa"/>
            <w:noWrap/>
            <w:tcMar>
              <w:right w:w="80" w:type="dxa"/>
            </w:tcMar>
          </w:tcPr>
          <w:p w14:paraId="4CB602A8"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osvetlitev je v skladu z oddelkom 7.6.12. Priloge 3 k Pravilniku UN/ECE št. 107–05;</w:t>
            </w:r>
          </w:p>
        </w:tc>
      </w:tr>
    </w:tbl>
    <w:p w14:paraId="350A7F45"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2C777E4F" w14:textId="77777777" w:rsidTr="00831C6F">
        <w:tc>
          <w:tcPr>
            <w:tcW w:w="360" w:type="dxa"/>
            <w:noWrap/>
            <w:tcMar>
              <w:right w:w="80" w:type="dxa"/>
            </w:tcMar>
          </w:tcPr>
          <w:p w14:paraId="6EC1594C"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d)</w:t>
            </w:r>
          </w:p>
        </w:tc>
        <w:tc>
          <w:tcPr>
            <w:tcW w:w="9506" w:type="dxa"/>
            <w:noWrap/>
            <w:tcMar>
              <w:right w:w="80" w:type="dxa"/>
            </w:tcMar>
          </w:tcPr>
          <w:p w14:paraId="0A8BB3A5"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dvigala, klančine in podobno so v skladu z oddelkom 3.11. Priloge 8 k Pravilniku UN/ECE št. 107–05;</w:t>
            </w:r>
          </w:p>
        </w:tc>
      </w:tr>
    </w:tbl>
    <w:p w14:paraId="7F356D7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338353A2" w14:textId="77777777" w:rsidTr="00831C6F">
        <w:tc>
          <w:tcPr>
            <w:tcW w:w="360" w:type="dxa"/>
            <w:noWrap/>
            <w:tcMar>
              <w:right w:w="80" w:type="dxa"/>
            </w:tcMar>
          </w:tcPr>
          <w:p w14:paraId="3FB58D74"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e)</w:t>
            </w:r>
          </w:p>
        </w:tc>
        <w:tc>
          <w:tcPr>
            <w:tcW w:w="9506" w:type="dxa"/>
            <w:noWrap/>
            <w:tcMar>
              <w:right w:w="80" w:type="dxa"/>
            </w:tcMar>
          </w:tcPr>
          <w:p w14:paraId="33007488"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prostor za gasilne aparate in opremo za prvo pomoč se zagotovi v skladu z oddelkom 7.5.4 Priloge 3 k Pravilniku UN/ECE št. 107–05;</w:t>
            </w:r>
          </w:p>
        </w:tc>
      </w:tr>
    </w:tbl>
    <w:p w14:paraId="502C399A"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75E503EF" w14:textId="77777777" w:rsidTr="00831C6F">
        <w:tc>
          <w:tcPr>
            <w:tcW w:w="360" w:type="dxa"/>
            <w:noWrap/>
            <w:tcMar>
              <w:right w:w="80" w:type="dxa"/>
            </w:tcMar>
          </w:tcPr>
          <w:p w14:paraId="4BAABB49"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f)</w:t>
            </w:r>
          </w:p>
        </w:tc>
        <w:tc>
          <w:tcPr>
            <w:tcW w:w="9506" w:type="dxa"/>
            <w:noWrap/>
            <w:tcMar>
              <w:right w:w="80" w:type="dxa"/>
            </w:tcMar>
          </w:tcPr>
          <w:p w14:paraId="6FDFC066"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 xml:space="preserve">delovni žarometi so v skladu z oddelkom 28–5(8) Predpisov o tehničnih zahtevah in homologaciji vozil. </w:t>
            </w:r>
          </w:p>
        </w:tc>
      </w:tr>
    </w:tbl>
    <w:p w14:paraId="6DD4E3D4"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62209B70"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17F7FA25"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Oddelek 7 </w:t>
      </w:r>
      <w:r>
        <w:rPr>
          <w:rFonts w:ascii="Times New Roman" w:hAnsi="Times New Roman"/>
          <w:b/>
          <w:i/>
        </w:rPr>
        <w:t>Izvrševanje</w:t>
      </w:r>
    </w:p>
    <w:p w14:paraId="1F442AD8"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Avtobusi, ki jih zajemajo ti predpisi, pri izvajanju prevoza potnikov, za katerega je potrebno dovoljenje, ves čas izpolnjujejo zahteve iz oddelka 4 (glej oddelek 8).</w:t>
      </w:r>
    </w:p>
    <w:p w14:paraId="152C6C4D"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Osebni avtomobili, ki jih zajemajo ti predpisi, pri izvajanju prevoza potnikov, za katerega je potrebno dovoljenje, ves čas izpolnjujejo zahteve iz oddelka 6 (glej oddelek 8).</w:t>
      </w:r>
    </w:p>
    <w:p w14:paraId="6443728E"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Norveška uprava za javne ceste in policija izvajata inšpekcijske preglede za izvrševanje teh predpisov. V primeru neustrezne opreme ali uporabe materialov, ki ne izpolnjujejo ali ustrezno izvajajo zahtev iz predpisov, se ustrezno uporabljata oddelka 40 in 41 Zakona o komercialnem prevozu.</w:t>
      </w:r>
    </w:p>
    <w:p w14:paraId="0A8E8E5A" w14:textId="77777777" w:rsidR="002D1522" w:rsidRPr="00090D77" w:rsidRDefault="002D1522" w:rsidP="002D1522">
      <w:pPr>
        <w:spacing w:before="120" w:after="0" w:line="240" w:lineRule="auto"/>
        <w:rPr>
          <w:rFonts w:ascii="Times New Roman" w:eastAsia="Times New Roman" w:hAnsi="Times New Roman" w:cs="Times New Roman"/>
          <w:szCs w:val="24"/>
        </w:rPr>
      </w:pPr>
    </w:p>
    <w:p w14:paraId="50BCA031"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Oddelek 8 </w:t>
      </w:r>
      <w:r>
        <w:rPr>
          <w:rFonts w:ascii="Times New Roman" w:hAnsi="Times New Roman"/>
          <w:b/>
          <w:i/>
        </w:rPr>
        <w:t>Izvzetja</w:t>
      </w:r>
    </w:p>
    <w:p w14:paraId="776DCD13" w14:textId="631381A1" w:rsidR="002D1522" w:rsidRPr="002D1522" w:rsidRDefault="002D1522" w:rsidP="00106164">
      <w:pPr>
        <w:spacing w:before="120" w:after="0" w:line="240" w:lineRule="auto"/>
        <w:ind w:firstLine="180"/>
        <w:rPr>
          <w:rFonts w:ascii="Times New Roman" w:eastAsia="Times New Roman" w:hAnsi="Times New Roman" w:cs="Times New Roman"/>
          <w:szCs w:val="24"/>
        </w:rPr>
      </w:pPr>
      <w:r>
        <w:rPr>
          <w:rFonts w:ascii="Times New Roman" w:hAnsi="Times New Roman"/>
        </w:rPr>
        <w:t>Za vozila, ki jih zajemajo ti predpisi, lahko Norveška uprava za javne ceste v posameznih primerih odobri izvzetje od ene ali več zahtev iz oddelkov 4 in 6. Izvzetja od zahtev za naprave za vkrcanje, zadrževalne sisteme (mehanizme za pritrditev) za invalidske vozičke, varnostne pasove, opremo za gašenje požara, opremo za prvo pomoč in delovne žaromete niso dovoljena. Organ, pristojen za izdajo dovoljenj, lahko odobri tudi izvzetja od zahtev iz drugega odstavka oddelka 4.</w:t>
      </w:r>
    </w:p>
    <w:p w14:paraId="4A61466A" w14:textId="77777777" w:rsidR="002D1522" w:rsidRPr="00090D77" w:rsidRDefault="002D1522" w:rsidP="002D1522">
      <w:pPr>
        <w:spacing w:after="0" w:line="240" w:lineRule="auto"/>
        <w:rPr>
          <w:rFonts w:ascii="Times New Roman" w:eastAsia="Times New Roman" w:hAnsi="Times New Roman" w:cs="Times New Roman"/>
          <w:szCs w:val="24"/>
        </w:rPr>
      </w:pPr>
    </w:p>
    <w:p w14:paraId="10D73BBC" w14:textId="77777777" w:rsidR="002D1522" w:rsidRPr="002D1522" w:rsidRDefault="002D1522" w:rsidP="00090D77">
      <w:pPr>
        <w:pageBreakBefore/>
        <w:spacing w:after="0" w:line="240" w:lineRule="auto"/>
        <w:rPr>
          <w:rFonts w:ascii="Times New Roman" w:eastAsia="Times New Roman" w:hAnsi="Times New Roman" w:cs="Times New Roman"/>
          <w:b/>
          <w:szCs w:val="24"/>
        </w:rPr>
      </w:pPr>
      <w:r>
        <w:rPr>
          <w:rFonts w:ascii="Times New Roman" w:hAnsi="Times New Roman"/>
          <w:b/>
        </w:rPr>
        <w:lastRenderedPageBreak/>
        <w:t xml:space="preserve">Oddelek 9 </w:t>
      </w:r>
      <w:r>
        <w:rPr>
          <w:rFonts w:ascii="Times New Roman" w:hAnsi="Times New Roman"/>
          <w:b/>
          <w:i/>
        </w:rPr>
        <w:t>Začetek veljavnosti in prehodne določbe</w:t>
      </w:r>
    </w:p>
    <w:p w14:paraId="2C1B4C00"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Ti predpisi začnejo veljati 1. januarja 2010.</w:t>
      </w:r>
    </w:p>
    <w:p w14:paraId="2E3F7863"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Sporazumi o nakupu novih prevoznih sredstev, sklenjeni po 1. januarju 2010, izpolnjujejo zahteve iz teh predpisov. Prevozna sredstva, ki so bila predhodno homologirana in spremenjena ali predelana, se lahko odobrijo v skladu z oddelkom 3.</w:t>
      </w:r>
    </w:p>
    <w:p w14:paraId="53FA4661"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Vozila, homologirana v skladu s Predpisi št. 599 z dne 4. januarja 1984 o prevozu invalidnih oseb, za katerega je potrebno dovoljenje – tehnične zahteve za vozila, se bodo še vedno štela kot homologirana za prevoz invalidnih oseb, za katerega je potrebno dovoljenje.</w:t>
      </w:r>
      <w:hyperlink r:id="rId8" w:anchor="reference/forskrift/1984-01-04-599" w:history="1">
        <w:r>
          <w:rPr>
            <w:rFonts w:ascii="Times New Roman" w:hAnsi="Times New Roman"/>
          </w:rPr>
          <w:t xml:space="preserve"> </w:t>
        </w:r>
      </w:hyperlink>
    </w:p>
    <w:p w14:paraId="436ADDF7"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S 1. januarjem 2010 prenehajo veljati Predpisi št. 599 z dne 4. januarja 1984 o prevozu invalidnih oseb, za katerega je potrebno dovoljenje – tehnične zahteve za vozila.</w:t>
      </w:r>
      <w:hyperlink r:id="rId9" w:anchor="reference/forskrift/1984-01-04-599" w:history="1">
        <w:r>
          <w:rPr>
            <w:rFonts w:ascii="Times New Roman" w:hAnsi="Times New Roman"/>
          </w:rPr>
          <w:t xml:space="preserve"> </w:t>
        </w:r>
      </w:hyperlink>
    </w:p>
    <w:p w14:paraId="4A09D46B" w14:textId="77777777" w:rsidR="009970F3" w:rsidRPr="00090D77" w:rsidRDefault="009970F3"/>
    <w:sectPr w:rsidR="009970F3" w:rsidRPr="00090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7F23" w14:textId="77777777" w:rsidR="00DE24C8" w:rsidRDefault="00DE24C8" w:rsidP="009970F3">
      <w:pPr>
        <w:spacing w:after="0" w:line="240" w:lineRule="auto"/>
      </w:pPr>
      <w:r>
        <w:separator/>
      </w:r>
    </w:p>
  </w:endnote>
  <w:endnote w:type="continuationSeparator" w:id="0">
    <w:p w14:paraId="13AA7154" w14:textId="77777777" w:rsidR="00DE24C8" w:rsidRDefault="00DE24C8" w:rsidP="0099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3F2D" w14:textId="77777777" w:rsidR="00DE24C8" w:rsidRDefault="00DE24C8" w:rsidP="009970F3">
      <w:pPr>
        <w:spacing w:after="0" w:line="240" w:lineRule="auto"/>
      </w:pPr>
      <w:r>
        <w:separator/>
      </w:r>
    </w:p>
  </w:footnote>
  <w:footnote w:type="continuationSeparator" w:id="0">
    <w:p w14:paraId="305FB64E" w14:textId="77777777" w:rsidR="00DE24C8" w:rsidRDefault="00DE24C8" w:rsidP="00997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F3"/>
    <w:rsid w:val="00090D77"/>
    <w:rsid w:val="00106164"/>
    <w:rsid w:val="0011337F"/>
    <w:rsid w:val="002D1522"/>
    <w:rsid w:val="0054005C"/>
    <w:rsid w:val="006007DD"/>
    <w:rsid w:val="00711279"/>
    <w:rsid w:val="009970F3"/>
    <w:rsid w:val="00B71823"/>
    <w:rsid w:val="00DE24C8"/>
    <w:rsid w:val="00E81585"/>
    <w:rsid w:val="00F40E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808B"/>
  <w15:chartTrackingRefBased/>
  <w15:docId w15:val="{6DCD1777-89CE-486A-9668-0DCDA90B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pro" TargetMode="External"/><Relationship Id="rId3" Type="http://schemas.openxmlformats.org/officeDocument/2006/relationships/webSettings" Target="webSettings.xml"/><Relationship Id="rId7" Type="http://schemas.openxmlformats.org/officeDocument/2006/relationships/hyperlink" Target="https://lovdata.no/p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vdata.no/p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vdata.no/pr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Birgitte Berg-Halsen</dc:creator>
  <cp:keywords/>
  <dc:description/>
  <cp:lastModifiedBy>Liana Brili</cp:lastModifiedBy>
  <cp:revision>11</cp:revision>
  <dcterms:created xsi:type="dcterms:W3CDTF">2022-02-09T09:31:00Z</dcterms:created>
  <dcterms:modified xsi:type="dcterms:W3CDTF">2022-02-21T16:05:00Z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bf486-f09d-4a86-8810-b4add863c98a_Enabled">
    <vt:lpwstr>true</vt:lpwstr>
  </property>
  <property fmtid="{D5CDD505-2E9C-101B-9397-08002B2CF9AE}" pid="3" name="MSIP_Label_e5fbf486-f09d-4a86-8810-b4add863c98a_SetDate">
    <vt:lpwstr>2022-02-09T09:38:56Z</vt:lpwstr>
  </property>
  <property fmtid="{D5CDD505-2E9C-101B-9397-08002B2CF9AE}" pid="4" name="MSIP_Label_e5fbf486-f09d-4a86-8810-b4add863c98a_Method">
    <vt:lpwstr>Privileged</vt:lpwstr>
  </property>
  <property fmtid="{D5CDD505-2E9C-101B-9397-08002B2CF9AE}" pid="5" name="MSIP_Label_e5fbf486-f09d-4a86-8810-b4add863c98a_Name">
    <vt:lpwstr>Public</vt:lpwstr>
  </property>
  <property fmtid="{D5CDD505-2E9C-101B-9397-08002B2CF9AE}" pid="6" name="MSIP_Label_e5fbf486-f09d-4a86-8810-b4add863c98a_SiteId">
    <vt:lpwstr>38856954-ed55-49f7-8bdd-738ffbbfd390</vt:lpwstr>
  </property>
  <property fmtid="{D5CDD505-2E9C-101B-9397-08002B2CF9AE}" pid="7" name="MSIP_Label_e5fbf486-f09d-4a86-8810-b4add863c98a_ActionId">
    <vt:lpwstr>8d9469b0-ffc8-46d3-90f2-ca585e825876</vt:lpwstr>
  </property>
  <property fmtid="{D5CDD505-2E9C-101B-9397-08002B2CF9AE}" pid="8" name="MSIP_Label_e5fbf486-f09d-4a86-8810-b4add863c98a_ContentBits">
    <vt:lpwstr>0</vt:lpwstr>
  </property>
</Properties>
</file>