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966"/>
        <w:gridCol w:w="451"/>
        <w:gridCol w:w="14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692"/>
      </w:tblGrid>
      <w:tr w:rsidR="00DA5292" w:rsidRPr="00DA5292" w:rsidTr="008B1400">
        <w:trPr>
          <w:trHeight w:val="1611"/>
        </w:trPr>
        <w:tc>
          <w:tcPr>
            <w:tcW w:w="6631" w:type="dxa"/>
            <w:gridSpan w:val="17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br w:type="page"/>
            </w:r>
            <w:bookmarkStart w:id="0" w:name="t1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Nazwa projektu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Rozporządzenie Ministra Cyfryzacji w sprawie wymagań technicznych i eksploatacyjnych dla odbiorników cyfrowych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Ministerstwo wiodące i ministerstwa współpracujące</w:t>
            </w:r>
          </w:p>
          <w:bookmarkEnd w:id="0"/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Ministerstwo Cyfryzacji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Osoba odpowiedzialna za projekt w randze Ministra, Sekretarza Stanu lub Podsekretarza Stanu: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Pani Wanda Buk – Podsekretarz Stanu w MC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Kontakt do opiekuna merytorycznego projektu: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Rafał Radłowski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Tel: 22 245 58 09  </w:t>
            </w:r>
          </w:p>
        </w:tc>
        <w:tc>
          <w:tcPr>
            <w:tcW w:w="3576" w:type="dxa"/>
            <w:gridSpan w:val="1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Data sporządzenia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10.05.2019 r.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Źródło: </w:t>
            </w:r>
            <w:bookmarkStart w:id="1" w:name="Lista1"/>
          </w:p>
          <w:bookmarkEnd w:id="1"/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Art. 132 ust. 3 ustawy z dnia 16 lipca 2004 r. – Prawo telekomunikacyjne (Dz. U. z 2018 r. poz. 1954, z 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późn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 zm.)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Nr w wykazie prac MC: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117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OCENA SKUTKÓW REGULACJI</w:t>
            </w:r>
          </w:p>
        </w:tc>
      </w:tr>
      <w:tr w:rsidR="00DA5292" w:rsidRPr="00DA5292" w:rsidTr="008B1400">
        <w:trPr>
          <w:trHeight w:val="333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>1.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ab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Jaki problem jest rozwiązywany?</w:t>
            </w:r>
            <w:bookmarkStart w:id="2" w:name="Wybór1"/>
            <w:bookmarkEnd w:id="2"/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Projektowane rozporządzenie określa wymagania techniczne i eksploatacyjne, których spełnienie jest niezbędne do poprawnego odbioru przez odbiorniki cyfrowe sygnałów dostarczanych drogą 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rozsiewczą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naziemną w oparciu o system DVB-T i DVB-T2. Projektowane rozporządzenie uwzględnia zmiany związane z dostosowaniem odbiorników telewizyjnych do parametrów wymaganych w nowszym standardzie nadawania: DVB-T2, którego wprowadzenie wynika z uregulowań </w:t>
            </w:r>
            <w:r w:rsidRPr="00DA5292">
              <w:rPr>
                <w:rFonts w:ascii="Times New Roman" w:eastAsia="Calibri" w:hAnsi="Times New Roman" w:cs="Arial"/>
                <w:color w:val="000000"/>
                <w:sz w:val="24"/>
                <w:szCs w:val="20"/>
                <w:lang w:eastAsia="pl-PL"/>
              </w:rPr>
              <w:t xml:space="preserve">Krajowego Planu Działań zmiany przeznaczenia pasma 700 MHz w Polsce, dotyczących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konieczności zwolnienia tzw. pasma 700 MHz na potrzeby systemów ruchomej łączności szerokopasmowej i wprowadzenia naziemnej telewizji cyfrowej DVB-T2. Ponadto projektowane rozporządzenie porządkuje obecny rynek odbiorników cyfrowych służących do odbioru transmisji telewizyjnych w Polsce.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Rekomendowane rozwiązanie, w tym planowane narzędzia interwencji, i oczekiwany efekt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Projektowane rozporządzenie stanowi jedno z działań przygotowujących rynek i konsumentów do wprowadzenia systemu nadawania sygnałów telewizyjnych w nowym standardzie DVB-T2, które będzie możliwe, jeśli konsumenci będą wyposażeni w odbiorniki DVB-T2, spełniające podane w projektowanym rozporządzeniu wymagania.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Ponadto, projektowane rozporządzenie pozwoli na techniczne przygotowanie się operatorów sieci nadawczych i nadawców treści do zmiany standardu nadawania oraz uwzględnienia korzyści, jakie niesie standard DVB-T2. Projektowane rozporządzenie uwzględnia stosowane już przez producentów sprzętu nowe rozwiązania techniczne i eksploatacyjne.</w:t>
            </w:r>
          </w:p>
        </w:tc>
      </w:tr>
      <w:tr w:rsidR="00DA5292" w:rsidRPr="00DA5292" w:rsidTr="008B1400">
        <w:trPr>
          <w:trHeight w:val="307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>3.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ab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Jak problem został rozwiązany w innych krajach, w szczególności krajach członkowskich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OECD/UE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>?</w:t>
            </w:r>
            <w:r w:rsidRPr="00DA5292"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  <w:t xml:space="preserve"> 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lang w:eastAsia="pl-PL"/>
              </w:rPr>
            </w:pPr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lastRenderedPageBreak/>
              <w:t>Telewizja naziemna DVB-T2 została wprowadzana w następujących państwach: Austria, Niemcy, Szwecja, Belgia, Chorwacja, Dania, Finlandia, Ghana, Włochy, Kenia, Kirgistan, Malawi, Mongolia, Namibia, Nowa Zelandia, Nigeria, Rosja, Arabia Saudyjska, Serbia, Surinam, Szwecja, Tanzania, Uganda, Wielka Brytania, Ukraina, Wietnam, Zambia.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"/>
                <w:sz w:val="24"/>
                <w:lang w:eastAsia="pl-PL"/>
              </w:rPr>
            </w:pPr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t>Decyzje o wdrożeniu DVB-T2 podjęto także w następujących państwach: Afganistan, Angola, Azerbejdżan, Brunei, Kamerun, Kolumbia, Czechy, Kongo, Haiti, Indie, Indonezja, Lesoto, Madagaskar, Malezja, Mauritius, Czarnogóra, Mozambik, Myanmar, Nepal, Katar, Rumunia, Seszele, Sierra Leone, Singapur, Słowacja, Republika Południowej Afryki, Sri Lanka, Suazi, Tadżykistan, Tajlandia, Togo, Turcja, Ukraina, Zimbabwe.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pacing w:val="-2"/>
                <w:sz w:val="24"/>
                <w:szCs w:val="20"/>
                <w:lang w:eastAsia="pl-PL"/>
              </w:rPr>
            </w:pPr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t xml:space="preserve">Telewizja hybrydowa </w:t>
            </w:r>
            <w:proofErr w:type="spellStart"/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t>HbbTV</w:t>
            </w:r>
            <w:proofErr w:type="spellEnd"/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t xml:space="preserve"> została wprowadzana w następujących państwach: Australia, Austria, Bośnia i Hercegowina, Bułgaria, Chorwacja, Czechy, Dania, Estonia, Finlandia, Francja, Niemcy, Grecja, Węgry, Włochy, Luksemburg, Madagaskar, Malezja, Mauritius, Namibia, Nowa Zelandia, Norwegia, Polska, Rosja, Arabia Saudyjska, Senegal, Singapur, Słowacja, Słowenia, Hiszpania, Szwecja, Szwajcaria, Holandia, Turcja, Zjednoczone Emiraty Arabskie, Wielka Brytania, Wietnam. Decyzję o wdrożeniu </w:t>
            </w:r>
            <w:proofErr w:type="spellStart"/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t>HbbTV</w:t>
            </w:r>
            <w:proofErr w:type="spellEnd"/>
            <w:r w:rsidRPr="00DA5292">
              <w:rPr>
                <w:rFonts w:ascii="Calibri" w:eastAsia="Times New Roman" w:hAnsi="Calibri" w:cs="Calibri"/>
                <w:sz w:val="24"/>
                <w:lang w:eastAsia="pl-PL"/>
              </w:rPr>
              <w:t xml:space="preserve"> podjęto w następujących państwach: Gambia, Irlandia, Wybrzeże Kości Słoniowej, Jordania, a także Republice Południowej Afryki.</w:t>
            </w:r>
          </w:p>
        </w:tc>
      </w:tr>
      <w:tr w:rsidR="00DA5292" w:rsidRPr="00DA5292" w:rsidTr="008B1400">
        <w:trPr>
          <w:trHeight w:val="359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Podmioty, na które oddziałuje projekt</w:t>
            </w:r>
          </w:p>
        </w:tc>
      </w:tr>
      <w:tr w:rsidR="00DA5292" w:rsidRPr="00DA5292" w:rsidTr="008B1400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Grupa</w:t>
            </w:r>
          </w:p>
        </w:tc>
        <w:tc>
          <w:tcPr>
            <w:tcW w:w="2292" w:type="dxa"/>
            <w:gridSpan w:val="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Źródło danych</w:t>
            </w:r>
            <w:r w:rsidRPr="00DA5292" w:rsidDel="00260F33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2251" w:type="dxa"/>
            <w:gridSpan w:val="6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Oddziaływanie</w:t>
            </w:r>
          </w:p>
        </w:tc>
      </w:tr>
      <w:tr w:rsidR="00DA5292" w:rsidRPr="00DA5292" w:rsidTr="008B1400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Wejście w życie projektowanego rozporządzenia oddziałuje na rynek producentów odbiorników cyfrowych służących do odbioru naziemnych cyfrowych transmisji telewizyjnych</w:t>
            </w:r>
          </w:p>
        </w:tc>
        <w:tc>
          <w:tcPr>
            <w:tcW w:w="2292" w:type="dxa"/>
            <w:gridSpan w:val="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2,2 mln odbiorników telewizyjnych -sprzedaż roczna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Strategia regulacyjna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Na lata 2017-2022 - Krajowa Rada Radiofonii i Telewizji, Warszawa, 1 marca 2018 r.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251" w:type="dxa"/>
            <w:gridSpan w:val="6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Projektowane  rozporządzenie spowoduje konieczność dostosowania odbiorników przeznaczonych do sprzedaży na rynek polski. Główni producenci odbiorników TV produkują odbiorniki dostosowane do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 xml:space="preserve">wymagań w wielu krajach jednocześnie (np. wszystkich krajów Europy) stąd odbiorniki sprzedawane na rynku polskim spełniają także wymagania podstawowe stosowane w innych krajach. </w:t>
            </w:r>
          </w:p>
        </w:tc>
      </w:tr>
      <w:tr w:rsidR="00DA5292" w:rsidRPr="00DA5292" w:rsidTr="008B1400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Wejście w życie projektowanego rozporządzenia oddziałuje na konsumentów</w:t>
            </w:r>
          </w:p>
        </w:tc>
        <w:tc>
          <w:tcPr>
            <w:tcW w:w="2292" w:type="dxa"/>
            <w:gridSpan w:val="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4,4 mln gospodarstw domowych korzystających z odbioru telewizji naziemnej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Informacja o podstawowych problemach radiofonii i telewizji w 2017 roku - Krajowa Rada Radiofonii i Telewizji, Warszawa, marzec 2018 r.</w:t>
            </w:r>
          </w:p>
        </w:tc>
        <w:tc>
          <w:tcPr>
            <w:tcW w:w="2251" w:type="dxa"/>
            <w:gridSpan w:val="6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Projektowane  rozporządzenie nie ma bezpośredniego wpływu na konsumentów, lecz wejście w życie rozporządzenia pozwoli na świadomy wybór urządzeń przez klientów w ramach naturalnej wymiany sprzętu.</w:t>
            </w:r>
          </w:p>
        </w:tc>
      </w:tr>
      <w:tr w:rsidR="00DA5292" w:rsidRPr="00DA5292" w:rsidTr="008B1400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Wejście w życie projektowanego rozporządzenia oddziałuje na operatorów sieci nadawczych</w:t>
            </w:r>
          </w:p>
        </w:tc>
        <w:tc>
          <w:tcPr>
            <w:tcW w:w="2292" w:type="dxa"/>
            <w:gridSpan w:val="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251" w:type="dxa"/>
            <w:gridSpan w:val="6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Publikacja minimalnych wymagań dla urządzeń odbiorczych nie ma bezpośredniego wpływu na operatorów sieci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nadawczej. Wymagania m</w:t>
            </w:r>
            <w:r w:rsidRPr="00DA5292">
              <w:rPr>
                <w:rFonts w:ascii="Times New Roman" w:eastAsia="Calibri" w:hAnsi="Times New Roman" w:cs="Arial"/>
                <w:sz w:val="24"/>
                <w:szCs w:val="20"/>
                <w:lang w:eastAsia="pl-PL"/>
              </w:rPr>
              <w:t>ogą być wykorzystane przy wyborze rozwiązań w przypadku działań inwestycyjnych.</w:t>
            </w:r>
          </w:p>
        </w:tc>
      </w:tr>
      <w:tr w:rsidR="00DA5292" w:rsidRPr="00DA5292" w:rsidTr="008B1400">
        <w:trPr>
          <w:trHeight w:val="142"/>
        </w:trPr>
        <w:tc>
          <w:tcPr>
            <w:tcW w:w="2668" w:type="dxa"/>
            <w:gridSpan w:val="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Wejście w życie projektowanego rozporządzenia oddziałuje na nadawców treści</w:t>
            </w:r>
          </w:p>
        </w:tc>
        <w:tc>
          <w:tcPr>
            <w:tcW w:w="2292" w:type="dxa"/>
            <w:gridSpan w:val="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251" w:type="dxa"/>
            <w:gridSpan w:val="6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Wprowadzenie nowych wymagań dla odbiorników nie oznacza automatycznie zmian po stronie nadawców.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Określenie minimalnych wymagań na odbiorniki telewizyjne  pozwoli nadawcom w przyszłości, po uruchomieniu DVB-T2, na stworzenie atrakcyjniejszej oferty. Możliwość przejścia na programy wysokiej rozdzielczości, lepiej prezentujące się na dużych ekranach oraz wprowadzenie telewizji hybrydowej (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HbbTV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) może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znacząco zmienić postrzeganie telewizji naziemnej jako oferty porównywalnej z telewizją kablową i satelitarną.</w:t>
            </w:r>
          </w:p>
        </w:tc>
      </w:tr>
      <w:tr w:rsidR="00DA5292" w:rsidRPr="00DA5292" w:rsidTr="008B1400">
        <w:trPr>
          <w:trHeight w:val="302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5.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Informacje na temat zakresu, czasu trwania i podsumowanie wyników konsultacji</w:t>
            </w:r>
          </w:p>
        </w:tc>
      </w:tr>
      <w:tr w:rsidR="00DA5292" w:rsidRPr="00DA5292" w:rsidTr="008B1400">
        <w:trPr>
          <w:trHeight w:val="342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W ramach opiniowania i konsultacji publicznych projekt otrzymali: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Prezes Urzędu Komunikacji Elektronicznej;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Prezes Urzędu Ochrony Konkurencji i Konsumentów;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Prezes Urzędu Ochrony Danych Osobowych;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Prezesa Głównego Urzędu Statystycznego;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Rzecznik Małych i Średnich Przedsiębiorców;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Polska Izba Informatyki i Telekomunikacji;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Krajowa Izba Gospodarcza Elektroniki i Telekomunikacji;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Polska Izba Komunikacji Elektronicznej;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Krajowa Izba Gospodarcza;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Krajowa Izba Komunikacji 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Ethernetowej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Polska Izba Radiodyfuzji Cyfrowej;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12.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Polska Izba Handlu;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13.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Fundacja Bezpieczna Cyberprzestrzeń;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14.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Polskie Towarzystwo Informatyczne;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15.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Fundacja Nowoczesna Polska;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16.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Fundacja Projekt Polska;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Internet 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Society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Poland;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18.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Stowarzyszenie Inżynierów Telekomunikacji;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19.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Fundacja Panoptykon;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20.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Rada Dialogu Społecznego;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21.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Business Centre Club – Związek Pracodawców;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22.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Niezależny Samorządny Związek Zawodowy „Solidarność”;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23.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Ogólnopolskie Porozumienie Związków Zawodowych;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24.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Forum Związków Zawodowych;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25.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Pracodawcy Rzeczypospolitej Polskiej;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26.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Konfederacja Lewiatan;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27.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Związek Rzemiosła Polskiego;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28.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Związek Przedsiębiorców i Pracodawców;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29.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Związek Pracodawców Mediów Publicznych;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30.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Związek Pracodawców Branży Internetowej IAB Polska;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31.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Federacja Związków Zawodowych Pracowników Telekomunikacji;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32.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Polska Rada Biznesu;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33.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Naczelna Organizacja Techniczna;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34.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Związek Pracodawców Mediów Elektronicznych i Telekomunikacji 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Mediakom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35.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Izba Gospodarki Elektronicznej;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36.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Fundacja </w:t>
            </w:r>
            <w:proofErr w:type="spellStart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ePaństwo</w:t>
            </w:r>
            <w:proofErr w:type="spellEnd"/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37.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Federacja Konsumentów;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38.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Związek Telewizji Kablowych w Polsce Izba Gospodarcza;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39.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Związek Importerów i Producentów Sprzętu Elektrycznego i Elektronicznego Branży RTV i IT – ZIPSEE „Cyfrowa Polska”.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Zgodnie z art. 5 ustawy z dnia 7 lipca 2005 r. o działalności lobbingowej w procesie stanowienia prawa (Dz. U. z 2017 r. poz. 248) projektowane rozporządzenie zostało udostępnione na stronie podmiotowej Biuletynu Informacji Publicznej Ministra Cyfryzacji oraz w Biuletynie Informacji Publicznej na stronie podmiotowej Rządowego Centrum Legislacji, w serwisie „Rządowy Proces Legislacyjny”.</w:t>
            </w:r>
            <w:r w:rsidRPr="00DA5292">
              <w:rPr>
                <w:rFonts w:ascii="Times New Roman" w:eastAsia="Calibri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Podczas prowadzonych konsultacji i opiniowania zostały zgłoszone uwagi do projektu rozporządzenia. Większość uwag została uwzględniona. Szczegółowe omówienie wyników konsultacji i opiniowania znajduje się w tabeli stanowiącej załącznik do Raportu z konsultacji.</w:t>
            </w:r>
            <w:r w:rsidRPr="00DA5292">
              <w:rPr>
                <w:rFonts w:ascii="Times New Roman" w:eastAsia="Calibri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Nie odnotowano zgłoszeń zainteresowanych podmiotów w trybie przepisów o działalności lobbingowej w procesie stanowienia prawa.</w:t>
            </w:r>
          </w:p>
        </w:tc>
      </w:tr>
      <w:tr w:rsidR="00DA5292" w:rsidRPr="00DA5292" w:rsidTr="008B1400">
        <w:trPr>
          <w:trHeight w:val="363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6.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 Wpływ na sektor finansów publicznych</w:t>
            </w:r>
          </w:p>
        </w:tc>
      </w:tr>
      <w:tr w:rsidR="00DA5292" w:rsidRPr="00DA5292" w:rsidTr="008B1400">
        <w:trPr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(ceny stałe z …… r.)</w:t>
            </w:r>
          </w:p>
        </w:tc>
        <w:tc>
          <w:tcPr>
            <w:tcW w:w="7074" w:type="dxa"/>
            <w:gridSpan w:val="2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Skutki w okresie 10 lat od wejścia w życie zmian [mln zł]</w:t>
            </w:r>
          </w:p>
        </w:tc>
      </w:tr>
      <w:tr w:rsidR="00DA5292" w:rsidRPr="00DA5292" w:rsidTr="008B1400">
        <w:trPr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  <w:t xml:space="preserve">Łącznie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  <w:t>(0-10)</w:t>
            </w:r>
          </w:p>
        </w:tc>
      </w:tr>
      <w:tr w:rsidR="00DA5292" w:rsidRPr="00DA5292" w:rsidTr="008B1400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80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</w:tr>
      <w:tr w:rsidR="00DA5292" w:rsidRPr="00DA5292" w:rsidTr="008B1400">
        <w:trPr>
          <w:trHeight w:val="348"/>
        </w:trPr>
        <w:tc>
          <w:tcPr>
            <w:tcW w:w="3119" w:type="dxa"/>
            <w:gridSpan w:val="3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Źródła finansowania </w:t>
            </w:r>
          </w:p>
        </w:tc>
        <w:tc>
          <w:tcPr>
            <w:tcW w:w="7088" w:type="dxa"/>
            <w:gridSpan w:val="26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Wejście w życie projektowanego rozporządzenia nie spowoduje skutków dla sektora finansów publicznych, w tym dochodów i wydatków budżetu państwa oraz samorządu terytorialnego.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926"/>
        </w:trPr>
        <w:tc>
          <w:tcPr>
            <w:tcW w:w="311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Dodatkowe informacje,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 tym wskazanie źródeł danych i przyjętych do obliczeń założeń</w:t>
            </w:r>
          </w:p>
        </w:tc>
        <w:tc>
          <w:tcPr>
            <w:tcW w:w="7088" w:type="dxa"/>
            <w:gridSpan w:val="2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345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7.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ab/>
              <w:t xml:space="preserve">Wpływ na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Skutki</w:t>
            </w:r>
          </w:p>
        </w:tc>
      </w:tr>
      <w:tr w:rsidR="00DA5292" w:rsidRPr="00DA5292" w:rsidTr="008B1400">
        <w:trPr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</w:t>
            </w:r>
          </w:p>
        </w:tc>
        <w:tc>
          <w:tcPr>
            <w:tcW w:w="692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  <w:t>Łącznie</w:t>
            </w:r>
            <w:r w:rsidRPr="00DA5292" w:rsidDel="0073273A"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  <w:t>(0-10)</w:t>
            </w: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 w:val="restart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 ujęciu pieniężnym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 xml:space="preserve">(w mln zł,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ceny stałe z 2018 r.)</w:t>
            </w: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17,6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17,6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17,6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17,6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17,6</w:t>
            </w:r>
          </w:p>
        </w:tc>
        <w:tc>
          <w:tcPr>
            <w:tcW w:w="692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176</w:t>
            </w: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692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692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170</w:t>
            </w: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(dodaj/usuń)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692" w:type="dxa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 w:val="restart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 ujęciu niepieniężnym</w:t>
            </w: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duże przedsiębiorstwa</w:t>
            </w:r>
          </w:p>
        </w:tc>
        <w:tc>
          <w:tcPr>
            <w:tcW w:w="6318" w:type="dxa"/>
            <w:gridSpan w:val="2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sektor mikro-, małych i średnich przedsiębiorstw</w:t>
            </w:r>
          </w:p>
        </w:tc>
        <w:tc>
          <w:tcPr>
            <w:tcW w:w="6318" w:type="dxa"/>
            <w:gridSpan w:val="2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596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rodzina, obywatele oraz gospodarstwa domowe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6318" w:type="dxa"/>
            <w:gridSpan w:val="2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240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(dodaj/usuń)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  <w:tc>
          <w:tcPr>
            <w:tcW w:w="6318" w:type="dxa"/>
            <w:gridSpan w:val="2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 w:val="restart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Niemierzalne</w:t>
            </w: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(dodaj/usuń)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  <w:tc>
          <w:tcPr>
            <w:tcW w:w="6318" w:type="dxa"/>
            <w:gridSpan w:val="2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702" w:type="dxa"/>
            <w:vMerge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187" w:type="dxa"/>
            <w:gridSpan w:val="6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/>
                  <w:exitMacro w:val="UpdateHeader"/>
                  <w:helpText w:type="text" w:val="Wpisz na jaką grupę docelową będzie miała wpływ projektowana regulacja. Możesz zawężić zakres grupy przez doprecyzowanie: np &quot;małe i średnie przedsiębiorstwa rozliczające się metodą kasową z podatku VAT&quot;"/>
                  <w:statusText w:type="text" w:val="Wpisz na jaką grupę docelową będzie miała wpływ projektowana regulacja"/>
                  <w:textInput>
                    <w:default w:val="(dodaj/usuń)"/>
                    <w:maxLength w:val="1000"/>
                  </w:textInput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(dodaj/usuń)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  <w:tc>
          <w:tcPr>
            <w:tcW w:w="6318" w:type="dxa"/>
            <w:gridSpan w:val="2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643"/>
        </w:trPr>
        <w:tc>
          <w:tcPr>
            <w:tcW w:w="3119" w:type="dxa"/>
            <w:gridSpan w:val="3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Dodatkowe informacje,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w tym wskazanie źródeł danych i przyjętych do obliczeń założeń </w:t>
            </w:r>
          </w:p>
        </w:tc>
        <w:tc>
          <w:tcPr>
            <w:tcW w:w="7088" w:type="dxa"/>
            <w:gridSpan w:val="26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Projektowane rozporządzenie będzie mieć bezpośredni wpływ na producentów (duże przedsiębiorstwa), co wynika z dodatkowych opłat licencyjnych - ok. 8 zł przy rocznej sprzedaży odbiorników 2,2 mln już od wejścia w życie rozporządzenia, czyli 17,6 mln zł rocznie.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Projektowane rozporządzenie nie będzie miało bezpośredniego wpływu na konkurencyjność gospodarki, w tym na funkcjonowanie przedsiębiorców oraz na rodzinę, obywateli i gospodarstwa domowe.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Skutki społeczne i ekonomiczne będą wynikać głównie z decyzji o zmianie standardu nadawania, a nie z doprecyzowania wymagań funkcjonalnych. Decyzja o zmianie standardu nadawania będzie wynikać z innego aktu prawnego. Projektowane rozporządzenie ma wpływ pośredni na 1,7 mln z 4,5 mln gospodarstw domowych ogółem, korzystających z odbioru telewizji naziemnej (32% konsumentów), gdyż część z nich w okresie 4 lat już zakupi nowe odbiorniki telewizyjne umożliwiające odbiór w standardzie DVB-T2.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Szacunkowy koszt urządzenia STB to 100 zł. Największa sprzedaż odbiorników STB wystąpi tuż przed zmianą standardu nadawania.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Założono, że zmiana standardu nadawania z DVB-T/AVC na DVB-T2/HEVC zostanie zsynchronizowana ze zmianą przeznaczenia pasma 700 MHz</w:t>
            </w:r>
            <w:r w:rsidRPr="00DA5292">
              <w:rPr>
                <w:rFonts w:ascii="Times New Roman" w:eastAsia="Calibri" w:hAnsi="Times New Roman" w:cs="Arial"/>
                <w:sz w:val="24"/>
                <w:szCs w:val="20"/>
                <w:lang w:eastAsia="pl-PL"/>
              </w:rPr>
              <w:t xml:space="preserve"> w Polsce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342"/>
        </w:trPr>
        <w:tc>
          <w:tcPr>
            <w:tcW w:w="10207" w:type="dxa"/>
            <w:gridSpan w:val="29"/>
            <w:shd w:val="clear" w:color="auto" w:fill="99CC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8.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 Zmiana obciążeń regulacyjnych (w tym obowiązków informacyjnych) wynikających z projektu</w:t>
            </w:r>
          </w:p>
        </w:tc>
      </w:tr>
      <w:tr w:rsidR="00DA5292" w:rsidRPr="00DA5292" w:rsidTr="008B1400">
        <w:trPr>
          <w:trHeight w:val="151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D4CCD6" wp14:editId="39C32CB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33655</wp:posOffset>
                      </wp:positionV>
                      <wp:extent cx="127635" cy="90170"/>
                      <wp:effectExtent l="0" t="0" r="24765" b="24130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FB0E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.15pt;margin-top:2.65pt;width:10.05pt;height:7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"/>
                  </w:pict>
                </mc:Fallback>
              </mc:AlternateConten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870BC" wp14:editId="66298B8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33655</wp:posOffset>
                      </wp:positionV>
                      <wp:extent cx="127635" cy="90170"/>
                      <wp:effectExtent l="0" t="0" r="24765" b="2413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5519F" id="Łącznik prosty ze strzałką 3" o:spid="_x0000_s1026" type="#_x0000_t32" style="position:absolute;margin-left:.15pt;margin-top:2.65pt;width:10.05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"/>
                  </w:pict>
                </mc:Fallback>
              </mc:AlternateConten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nie dotyczy</w:t>
            </w:r>
          </w:p>
        </w:tc>
      </w:tr>
      <w:tr w:rsidR="00DA5292" w:rsidRPr="00DA5292" w:rsidTr="008B1400">
        <w:trPr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Wprowadzane są obciążenia poza bezwzględnie wymaganymi przez UE (szczegóły w odwróconej tabeli zgodności).</w:t>
            </w:r>
          </w:p>
        </w:tc>
        <w:tc>
          <w:tcPr>
            <w:tcW w:w="5096" w:type="dxa"/>
            <w:gridSpan w:val="17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tak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D997F9" wp14:editId="50A8099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190500</wp:posOffset>
                      </wp:positionV>
                      <wp:extent cx="127635" cy="90170"/>
                      <wp:effectExtent l="0" t="0" r="24765" b="24130"/>
                      <wp:wrapNone/>
                      <wp:docPr id="7" name="Łącznik prosty ze strzałką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F4A65" id="Łącznik prosty ze strzałką 7" o:spid="_x0000_s1026" type="#_x0000_t32" style="position:absolute;margin-left:-.6pt;margin-top:15pt;width:10.05pt;height:7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"/>
                  </w:pict>
                </mc:Fallback>
              </mc:AlternateConten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nie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83DEE9" wp14:editId="330B65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17780</wp:posOffset>
                      </wp:positionV>
                      <wp:extent cx="127635" cy="90170"/>
                      <wp:effectExtent l="0" t="0" r="24765" b="24130"/>
                      <wp:wrapNone/>
                      <wp:docPr id="6" name="Łącznik prosty ze strzałk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0985D" id="Łącznik prosty ze strzałką 6" o:spid="_x0000_s1026" type="#_x0000_t32" style="position:absolute;margin-left:-.4pt;margin-top:1.4pt;width:10.05pt;height: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"/>
                  </w:pict>
                </mc:Fallback>
              </mc:AlternateConten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nie dotyczy</w:t>
            </w:r>
          </w:p>
        </w:tc>
      </w:tr>
      <w:tr w:rsidR="00DA5292" w:rsidRPr="00DA5292" w:rsidTr="008B1400">
        <w:trPr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zmniejszenie liczby dokumentów 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zmniejszenie liczby procedur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skrócenie czasu na załatwienie sprawy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pacing w:val="-2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inne: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  <w:tc>
          <w:tcPr>
            <w:tcW w:w="5096" w:type="dxa"/>
            <w:gridSpan w:val="17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zwiększenie liczby dokumentów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zwiększenie liczby procedur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wydłużenie czasu na załatwienie sprawy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inne: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Wprowadzane obciążenia są przystosowane do ich elektronizacji. </w:t>
            </w:r>
          </w:p>
        </w:tc>
        <w:tc>
          <w:tcPr>
            <w:tcW w:w="5096" w:type="dxa"/>
            <w:gridSpan w:val="17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tak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3A91A4" wp14:editId="7CF229C6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190500</wp:posOffset>
                      </wp:positionV>
                      <wp:extent cx="127635" cy="90170"/>
                      <wp:effectExtent l="0" t="0" r="24765" b="24130"/>
                      <wp:wrapNone/>
                      <wp:docPr id="11" name="Łącznik prosty ze strzałką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635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4E936" id="Łącznik prosty ze strzałką 11" o:spid="_x0000_s1026" type="#_x0000_t32" style="position:absolute;margin-left:-.6pt;margin-top:15pt;width:10.05pt;height: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"/>
                  </w:pict>
                </mc:Fallback>
              </mc:AlternateConten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nie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399207" wp14:editId="48A4158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17780</wp:posOffset>
                      </wp:positionV>
                      <wp:extent cx="127635" cy="90170"/>
                      <wp:effectExtent l="0" t="0" r="24765" b="24130"/>
                      <wp:wrapNone/>
                      <wp:docPr id="10" name="Łącznik prosty ze strzałką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635" cy="901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971E0" id="Łącznik prosty ze strzałką 10" o:spid="_x0000_s1026" type="#_x0000_t32" style="position:absolute;margin-left:-.4pt;margin-top:1.4pt;width:10.05pt;height:7.1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"/>
                  </w:pict>
                </mc:Fallback>
              </mc:AlternateConten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nie dotyczy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630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Komentarz: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9.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 xml:space="preserve">Wpływ na rynek pracy 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auto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Projektowane rozporządzenie nie będzie miało wpływu na rynek pracy.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10.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Wpływ na pozostałe obszary</w:t>
            </w:r>
          </w:p>
        </w:tc>
      </w:tr>
      <w:tr w:rsidR="00DA5292" w:rsidRPr="00DA5292" w:rsidTr="008B1400">
        <w:trPr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środowisko naturalne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sytuacja i rozwój regionalny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 xml:space="preserve">inne: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FORMTEXT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noProof/>
                <w:sz w:val="24"/>
                <w:szCs w:val="20"/>
                <w:lang w:eastAsia="pl-PL"/>
              </w:rPr>
              <w:t> 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demografia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mienie państwowe</w:t>
            </w:r>
          </w:p>
        </w:tc>
        <w:tc>
          <w:tcPr>
            <w:tcW w:w="2973" w:type="dxa"/>
            <w:gridSpan w:val="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informatyzacja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instrText xml:space="preserve"> FORMCHECKBOX </w:instrTex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separate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fldChar w:fldCharType="end"/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 xml:space="preserve"> </w:t>
            </w:r>
            <w:r w:rsidRPr="00DA5292">
              <w:rPr>
                <w:rFonts w:ascii="Times New Roman" w:eastAsia="Times New Roman" w:hAnsi="Times New Roman" w:cs="Arial"/>
                <w:spacing w:val="-2"/>
                <w:sz w:val="24"/>
                <w:szCs w:val="20"/>
                <w:lang w:eastAsia="pl-PL"/>
              </w:rPr>
              <w:t>zdrowie</w:t>
            </w:r>
          </w:p>
        </w:tc>
      </w:tr>
      <w:tr w:rsidR="00DA5292" w:rsidRPr="00DA5292" w:rsidTr="008B1400">
        <w:trPr>
          <w:trHeight w:val="712"/>
        </w:trPr>
        <w:tc>
          <w:tcPr>
            <w:tcW w:w="3119" w:type="dxa"/>
            <w:gridSpan w:val="3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lastRenderedPageBreak/>
              <w:t>Omówienie wpływu</w:t>
            </w:r>
          </w:p>
        </w:tc>
        <w:tc>
          <w:tcPr>
            <w:tcW w:w="7088" w:type="dxa"/>
            <w:gridSpan w:val="26"/>
            <w:shd w:val="clear" w:color="auto" w:fill="FFFFFF"/>
            <w:vAlign w:val="center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Projektowane rozporządzenie stworzy możliwości rozwoju telewizji cyfrowej przez przygotowanie odbiorników telewizyjnych do zmiany systemu nadawania na DVB-T2 ze strony konsumentów oraz producentów.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11.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ab/>
              <w:t>Planowane wykonanie przepisów aktu prawnego</w:t>
            </w:r>
          </w:p>
        </w:tc>
      </w:tr>
      <w:tr w:rsidR="00DA5292" w:rsidRPr="00DA5292" w:rsidTr="008B1400">
        <w:trPr>
          <w:trHeight w:val="1132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Rozporządzenie wchodzi w życie z dniem 1 grudnia 2019 r.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>12.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ab/>
              <w:t xml:space="preserve">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W jaki sposób i kiedy nastąpi ewaluacja efektów projektu oraz jakie mierniki zostaną zastosowane?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Nie przewiduje się ewaluacji efektów projektu rozporządzenia.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99CC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>13.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ab/>
              <w:t xml:space="preserve">Załączniki </w:t>
            </w: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(istotne dokumenty źródłowe, badania, analizy itp.</w:t>
            </w:r>
            <w:r w:rsidRPr="00DA5292">
              <w:rPr>
                <w:rFonts w:ascii="Times New Roman" w:eastAsia="Times New Roman" w:hAnsi="Times New Roman" w:cs="Arial"/>
                <w:color w:val="000000"/>
                <w:sz w:val="24"/>
                <w:szCs w:val="20"/>
                <w:lang w:eastAsia="pl-PL"/>
              </w:rPr>
              <w:t xml:space="preserve">) </w:t>
            </w:r>
          </w:p>
        </w:tc>
      </w:tr>
      <w:tr w:rsidR="00DA5292" w:rsidRPr="00DA5292" w:rsidTr="008B1400">
        <w:trPr>
          <w:trHeight w:val="142"/>
        </w:trPr>
        <w:tc>
          <w:tcPr>
            <w:tcW w:w="10207" w:type="dxa"/>
            <w:gridSpan w:val="29"/>
            <w:shd w:val="clear" w:color="auto" w:fill="FFFFFF"/>
          </w:tcPr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i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  <w:r w:rsidRPr="00DA5292"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  <w:t>Brak.</w:t>
            </w: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  <w:p w:rsidR="00DA5292" w:rsidRPr="00DA5292" w:rsidRDefault="00DA5292" w:rsidP="00DA529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:rsidR="00FA6EEF" w:rsidRDefault="00FA6EEF">
      <w:bookmarkStart w:id="3" w:name="_GoBack"/>
      <w:bookmarkEnd w:id="3"/>
    </w:p>
    <w:sectPr w:rsidR="00FA6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92"/>
    <w:rsid w:val="00DA5292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BC9F1-0D23-4DA5-B4ED-C4122B32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Małgorzata</dc:creator>
  <cp:keywords/>
  <dc:description/>
  <cp:lastModifiedBy>Wójcik Małgorzata</cp:lastModifiedBy>
  <cp:revision>1</cp:revision>
  <dcterms:created xsi:type="dcterms:W3CDTF">2019-05-15T11:01:00Z</dcterms:created>
  <dcterms:modified xsi:type="dcterms:W3CDTF">2019-05-15T11:01:00Z</dcterms:modified>
</cp:coreProperties>
</file>