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Forbundsjustitsministeriet og Forbundsministeriet for Forbrugerbeskyttelse</w:t>
      </w:r>
    </w:p>
    <w:p w14:paraId="4622CA11" w14:textId="77777777" w:rsidR="002720FF" w:rsidRPr="00683CE0" w:rsidRDefault="002720FF" w:rsidP="00EA1D8C">
      <w:pPr>
        <w:pStyle w:val="DokumentkopfTitel"/>
      </w:pPr>
      <w:r>
        <w:t xml:space="preserve">Forslag til ændring</w:t>
      </w:r>
    </w:p>
    <w:p w14:paraId="3FAED9FF" w14:textId="77777777" w:rsidR="002720FF" w:rsidRPr="00683CE0" w:rsidRDefault="002720FF" w:rsidP="00EA1D8C">
      <w:pPr>
        <w:pStyle w:val="DokumentkopfBezeichnung"/>
      </w:pPr>
      <w:r>
        <w:t xml:space="preserve">om lovforslaget fra forbundsregeringen</w:t>
      </w:r>
    </w:p>
    <w:p w14:paraId="31EDF417" w14:textId="77777777" w:rsidR="002720FF" w:rsidRPr="00683CE0" w:rsidRDefault="002720FF" w:rsidP="00EA1D8C">
      <w:pPr>
        <w:pStyle w:val="DokumentkopfBezeichnung"/>
      </w:pPr>
      <w:r>
        <w:t xml:space="preserve">— dokument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Udkast til lov om rimelige forbrugeraftaler</w:t>
      </w:r>
    </w:p>
    <w:p w14:paraId="43B17458" w14:textId="77777777" w:rsidR="002720FF" w:rsidRDefault="002720FF" w:rsidP="00EA1D8C">
      <w:pPr>
        <w:spacing w:line="360" w:lineRule="auto"/>
        <w:rPr>
          <w:sz w:val="22"/>
          <w:rFonts w:ascii="Arial" w:hAnsi="Arial" w:cs="Arial"/>
        </w:rPr>
      </w:pPr>
      <w:r>
        <w:rPr>
          <w:sz w:val="22"/>
          <w:rFonts w:ascii="Arial" w:hAnsi="Arial"/>
        </w:rPr>
        <w:t xml:space="preserve">Det foreslås, at Forbundsdagen (Parlamentet) træffer afgørelse</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om at vedtage lovudkastet i dokument 19/26915 med følgende forbehold, ellers uændret:</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I overskriften indsættes følgende fodnote:</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Meddelt i overensstemmelse med Europa-Parlamentets og Rådets direktiv (EU) 2015/1535 af 9. september 2015 om en informationsprocedure med hensyn til tekniske forskrifter samt forskrifter for informationssamfundets tjenester (EUT L 241 af 17. september 2015, s. 1).</w:t>
      </w:r>
    </w:p>
    <w:p w14:paraId="321F69E0" w14:textId="6E4A4B30" w:rsidR="00826E52" w:rsidRDefault="00826E52" w:rsidP="00416421">
      <w:pPr>
        <w:pStyle w:val="EmpfehlungNummerierungStufe1"/>
      </w:pPr>
      <w:r>
        <w:t xml:space="preserve">Artikel 1 ændres som følger:</w:t>
      </w:r>
    </w:p>
    <w:p w14:paraId="63EFF5B4" w14:textId="6CD7E956" w:rsidR="0021568B" w:rsidRPr="0021568B" w:rsidRDefault="0021568B" w:rsidP="00DA2D64">
      <w:pPr>
        <w:pStyle w:val="EmpfehlungNummerierungStufe2"/>
      </w:pPr>
      <w:r>
        <w:t xml:space="preserve">Følgende punkt 4-6 indsættes efter punkt 3:</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I § 312, stk. 7, første punktum, ændres "§ 312 l" til "§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Efter § 312j indsættes følgende § 312k:</w:t>
      </w:r>
    </w:p>
    <w:p w14:paraId="2A7410BB" w14:textId="77777777" w:rsidR="0075168F" w:rsidRPr="00E574A2" w:rsidRDefault="0075168F" w:rsidP="009D590D">
      <w:pPr>
        <w:pStyle w:val="RevisionParagraphBezeichnermanuell"/>
        <w:spacing w:after="120"/>
        <w:ind w:left="1345" w:hanging="90"/>
        <w:outlineLvl w:val="7"/>
      </w:pPr>
      <w:r>
        <w:t xml:space="preserve">"§ 312k</w:t>
      </w:r>
    </w:p>
    <w:p w14:paraId="41B291F4" w14:textId="486B3F04" w:rsidR="0075168F" w:rsidRPr="00416421" w:rsidRDefault="0075168F" w:rsidP="009D590D">
      <w:pPr>
        <w:pStyle w:val="RevisionParagraphberschrift"/>
        <w:spacing w:before="120" w:after="120"/>
        <w:ind w:left="1345"/>
        <w:outlineLvl w:val="7"/>
      </w:pPr>
      <w:r>
        <w:t xml:space="preserve">Opsigelse af forbrugeraftaler inden for elektronisk handel</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Hvis et websted giver forbrugerne mulighed for at indgå en kontrakt om elektronisk handel, der har til formål at etablere et permanent skyldforhold og forpligte en virksomhed til at udføre en tjenesteydelse til gengæld, skal virksomheden opfylde de forpligtelser, der er fastsat i denne bestemmelse.</w:t>
      </w:r>
      <w:r>
        <w:t xml:space="preserve"> </w:t>
      </w:r>
      <w:r>
        <w:t xml:space="preserve">Dette gælder ikke for</w:t>
      </w:r>
    </w:p>
    <w:p w14:paraId="2FF8D6A4" w14:textId="14FBFEC6" w:rsidR="00C10FA1" w:rsidRPr="0090252A" w:rsidRDefault="0052341C" w:rsidP="009D590D">
      <w:pPr>
        <w:pStyle w:val="RevisionNummerierungStufe1"/>
        <w:tabs>
          <w:tab w:val="clear" w:pos="425"/>
          <w:tab w:val="num" w:pos="1770"/>
        </w:tabs>
        <w:ind w:left="1770"/>
      </w:pPr>
      <w:r>
        <w:t xml:space="preserve">kontrakter, hvis opsigelse kun er fastsat i en strengere form end tekstformularen og</w:t>
      </w:r>
    </w:p>
    <w:p w14:paraId="3F8AA9D7" w14:textId="7C181D21" w:rsidR="00E57275" w:rsidRPr="00AE662A" w:rsidRDefault="006F7B3A" w:rsidP="009D590D">
      <w:pPr>
        <w:pStyle w:val="RevisionNummerierungStufe1"/>
        <w:tabs>
          <w:tab w:val="clear" w:pos="425"/>
          <w:tab w:val="num" w:pos="1770"/>
        </w:tabs>
        <w:ind w:left="1770"/>
      </w:pPr>
      <w:r>
        <w:t xml:space="preserve">i forbindelse med websteder vedrørende finansielle tjenesteydelser eller kontrakter vedrørende finansielle tjenesteydelser.</w:t>
      </w:r>
    </w:p>
    <w:p w14:paraId="45A2845B" w14:textId="6F37F124" w:rsidR="009E06E3" w:rsidRDefault="00AE3F1C" w:rsidP="009D590D">
      <w:pPr>
        <w:pStyle w:val="RevisionJuristischerAbsatz"/>
        <w:tabs>
          <w:tab w:val="clear" w:pos="850"/>
          <w:tab w:val="num" w:pos="2195"/>
        </w:tabs>
        <w:ind w:left="1345"/>
      </w:pPr>
      <w:r>
        <w:t xml:space="preserve">Virksomheden skal sikre, at forbrugeren på webstedet er i stand til at afgive en erklæring om almindelig eller ekstraordinær opsigelse af en kontrakt indgået på webstedet i overensstemmelse med sætningen i stk. 1, første punktum, via en opsigelsesknap.</w:t>
      </w:r>
      <w:r>
        <w:t xml:space="preserve"> </w:t>
      </w:r>
      <w:r>
        <w:t xml:space="preserve">Opsigelsesknappen skal være letlæselig med intet andet end ordene "annullér kontrakter her" eller være mærket med en passende entydig formulering.</w:t>
      </w:r>
      <w:r>
        <w:t xml:space="preserve"> </w:t>
      </w:r>
      <w:r>
        <w:t xml:space="preserve">Det skal føre forbrugeren direkte til en bekræftelsesside, som</w:t>
      </w:r>
    </w:p>
    <w:p w14:paraId="63A70429" w14:textId="0658A2E9" w:rsidR="002A3FE5" w:rsidRDefault="006E2F12" w:rsidP="009D590D">
      <w:pPr>
        <w:pStyle w:val="RevisionNummerierungStufe1"/>
        <w:tabs>
          <w:tab w:val="clear" w:pos="425"/>
          <w:tab w:val="num" w:pos="1770"/>
        </w:tabs>
        <w:ind w:left="1770"/>
      </w:pPr>
      <w:r>
        <w:t xml:space="preserve">anmoder forbrugeren om og giver vedkommende mulighed for at give oplysninger</w:t>
      </w:r>
    </w:p>
    <w:p w14:paraId="1A0A97F8" w14:textId="04EE9D94" w:rsidR="006E2F12" w:rsidRDefault="002A3FE5" w:rsidP="009D590D">
      <w:pPr>
        <w:pStyle w:val="RevisionNummerierungStufe2"/>
        <w:tabs>
          <w:tab w:val="clear" w:pos="850"/>
          <w:tab w:val="num" w:pos="2195"/>
        </w:tabs>
        <w:ind w:left="2195"/>
      </w:pPr>
      <w:r>
        <w:t xml:space="preserve">vedrørende opsigelsens art og, hvis der er tale om ekstraordinær opsigelse, grunden til opsigelsen,</w:t>
      </w:r>
    </w:p>
    <w:p w14:paraId="459452DE" w14:textId="5BCFA0A2" w:rsidR="002A3FE5" w:rsidRDefault="002A3FE5" w:rsidP="009D590D">
      <w:pPr>
        <w:pStyle w:val="RevisionNummerierungStufe2"/>
        <w:tabs>
          <w:tab w:val="clear" w:pos="850"/>
          <w:tab w:val="num" w:pos="2195"/>
        </w:tabs>
        <w:ind w:left="2195"/>
      </w:pPr>
      <w:r>
        <w:t xml:space="preserve">vedrørende dets entydige identificerbarhed,</w:t>
      </w:r>
    </w:p>
    <w:p w14:paraId="0B7A6589" w14:textId="2A8E4FF6" w:rsidR="002A3FE5" w:rsidRDefault="002A3FE5" w:rsidP="009D590D">
      <w:pPr>
        <w:pStyle w:val="RevisionNummerierungStufe2"/>
        <w:tabs>
          <w:tab w:val="clear" w:pos="850"/>
          <w:tab w:val="num" w:pos="2195"/>
        </w:tabs>
        <w:ind w:left="2195"/>
      </w:pPr>
      <w:r>
        <w:t xml:space="preserve">vedrørende den entydige udpegning af traktaten,</w:t>
      </w:r>
    </w:p>
    <w:p w14:paraId="309E68B5" w14:textId="4790EC1D" w:rsidR="00846EFD" w:rsidRDefault="00846EFD" w:rsidP="009D590D">
      <w:pPr>
        <w:pStyle w:val="RevisionNummerierungStufe2"/>
        <w:tabs>
          <w:tab w:val="clear" w:pos="850"/>
          <w:tab w:val="num" w:pos="2195"/>
        </w:tabs>
        <w:ind w:left="2195"/>
      </w:pPr>
      <w:r>
        <w:t xml:space="preserve">på det tidspunkt, hvor kontraktforholdet opsiges,</w:t>
      </w:r>
    </w:p>
    <w:p w14:paraId="1E1303B1" w14:textId="2C482F67" w:rsidR="002A3FE5" w:rsidRDefault="00AE3F1C" w:rsidP="00846EFD">
      <w:pPr>
        <w:pStyle w:val="RevisionNummerierungStufe2"/>
        <w:tabs>
          <w:tab w:val="clear" w:pos="850"/>
          <w:tab w:val="num" w:pos="2195"/>
        </w:tabs>
        <w:ind w:left="2195"/>
      </w:pPr>
      <w:r>
        <w:t xml:space="preserve">til en hurtige elektronisk fremsendelse af bekræftelsen af opsigelsen til forbrugeren og</w:t>
      </w:r>
    </w:p>
    <w:p w14:paraId="4F18B29F" w14:textId="576EFA0F" w:rsidR="00222EE0" w:rsidRDefault="009E06E3" w:rsidP="009D590D">
      <w:pPr>
        <w:pStyle w:val="RevisionNummerierungStufe1"/>
        <w:tabs>
          <w:tab w:val="clear" w:pos="425"/>
          <w:tab w:val="num" w:pos="1770"/>
        </w:tabs>
        <w:ind w:left="1770"/>
      </w:pPr>
      <w:r>
        <w:t xml:space="preserve">indeholder en bekræftelsesknap, hvorigennem forbrugeren kan indgive meddelelse om opsigelse, og som er let læselig med intet andet end ordene "annullér nu" eller mærket med en passende entydig formulering.</w:t>
      </w:r>
    </w:p>
    <w:p w14:paraId="41B87BA6" w14:textId="4412EB32" w:rsidR="00591E40" w:rsidRDefault="009F7F4E" w:rsidP="009D590D">
      <w:pPr>
        <w:pStyle w:val="RevisionJuristischerAbsatzFolgeabsatz"/>
        <w:ind w:left="1345"/>
      </w:pPr>
      <w:r>
        <w:t xml:space="preserve">Brugergrænsefladerne og bekræftelsessiden skal være permanent tilgængelige og umiddelbart og let tilgængelige.</w:t>
      </w:r>
    </w:p>
    <w:p w14:paraId="01895F53" w14:textId="274AB82F" w:rsidR="00F15270" w:rsidRDefault="0075168F" w:rsidP="009D590D">
      <w:pPr>
        <w:pStyle w:val="RevisionJuristischerAbsatz"/>
        <w:tabs>
          <w:tab w:val="clear" w:pos="850"/>
          <w:tab w:val="num" w:pos="2195"/>
        </w:tabs>
        <w:ind w:left="1345"/>
      </w:pPr>
      <w:r>
        <w:t xml:space="preserve">Forbrugeren skal være i stand til på et varigt medium at opbevare sin opsigelseserklæring ved at trykke på bekræftelsesknappen med dato og tidspunkt for leveringen på en sådan måde, at det kan ses, at opsigelseserklæringen er indgivet ved at trykke på bekræftelsesknappen.</w:t>
      </w:r>
    </w:p>
    <w:p w14:paraId="0E1A934D" w14:textId="79962F83" w:rsidR="0075168F" w:rsidRPr="004C591F" w:rsidRDefault="0075168F" w:rsidP="009D590D">
      <w:pPr>
        <w:pStyle w:val="RevisionJuristischerAbsatz"/>
        <w:tabs>
          <w:tab w:val="clear" w:pos="850"/>
          <w:tab w:val="num" w:pos="2195"/>
        </w:tabs>
        <w:ind w:left="1345"/>
      </w:pPr>
      <w:r>
        <w:t xml:space="preserve">Virksomheden skal straks over for forbrugeren bekræfte indholdet og datoen og tidspunktet for modtagelsen af opsigelsesskrivelsen samt datoen for kontraktens opsigelse ved opsigelsen, i skriftlig elektronisk form.</w:t>
      </w:r>
      <w:r>
        <w:t xml:space="preserve"> </w:t>
      </w:r>
      <w:r>
        <w:t xml:space="preserve">Det antages, at en meddelelse om opsigelse indgivet ved at trykke på bekræftelsesknappen er blevet sendt til virksomheden umiddelbart efter indgivelsen.</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Hvis forbrugeren ikke angiver et tidspunkt, hvor opsigelsen er påtænkt at bringe kontraktforholdet til ophør, ved indgivelse af opsigelsesvarslet, vil opsigelsen i tvivlstilfælde ske hurtigst muligt.</w:t>
      </w:r>
    </w:p>
    <w:p w14:paraId="0063AC95" w14:textId="2CD687CE" w:rsidR="0075168F" w:rsidRPr="000C76EB" w:rsidRDefault="003C1CD0" w:rsidP="009D590D">
      <w:pPr>
        <w:pStyle w:val="RevisionJuristischerAbsatz"/>
        <w:tabs>
          <w:tab w:val="clear" w:pos="850"/>
          <w:tab w:val="num" w:pos="2195"/>
        </w:tabs>
        <w:ind w:left="1345"/>
      </w:pPr>
      <w:r>
        <w:t xml:space="preserve">Hvis knapperne og bekræftelsessiden ikke stilles til rådighed i overensstemmelse med stk. 1 og 2, kan en forbruger opsige en kontrakt, hvis opsigelsesknapper og bekræftelsesside skal stilles til rådighed til enhver tid og uden overholdelse af en opsigelsesfrist.</w:t>
      </w:r>
      <w:r>
        <w:t xml:space="preserve"> </w:t>
      </w:r>
      <w:r>
        <w:t xml:space="preserve">Dette påvirker ikke forbrugerens mulighed for at opsige undtagelsesvis."</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Den tidligere §§ 312k og 312 l vil være §§ 312 l og 312 m."</w:t>
      </w:r>
    </w:p>
    <w:p w14:paraId="6405AD62" w14:textId="2EED1D99" w:rsidR="0021568B" w:rsidRDefault="0021568B" w:rsidP="00DA2D64">
      <w:pPr>
        <w:pStyle w:val="EmpfehlungNummerierungStufe2"/>
      </w:pPr>
      <w:r>
        <w:t xml:space="preserve">Det tidligere nummer 4 bliver nummer 7.</w:t>
      </w:r>
    </w:p>
    <w:p w14:paraId="2D9EE4F1" w14:textId="49ED0B65" w:rsidR="00D663F5" w:rsidRDefault="00D663F5" w:rsidP="008E21D5">
      <w:pPr>
        <w:pStyle w:val="EmpfehlungNummerierungStufe1"/>
      </w:pPr>
      <w:r>
        <w:t xml:space="preserve">Artikel 2 har følgende ordlyd:</w:t>
      </w:r>
    </w:p>
    <w:p w14:paraId="2A51C349" w14:textId="28141D5E" w:rsidR="008657B1" w:rsidRPr="008657B1" w:rsidRDefault="008657B1" w:rsidP="009D590D">
      <w:pPr>
        <w:pStyle w:val="RevisionArtikelBezeichnermanuell"/>
        <w:ind w:left="425" w:hanging="70"/>
      </w:pPr>
      <w:r>
        <w:t xml:space="preserve">"Artikel 2</w:t>
      </w:r>
    </w:p>
    <w:p w14:paraId="5837AD5B" w14:textId="0C0D5684" w:rsidR="008657B1" w:rsidRPr="008657B1" w:rsidRDefault="008657B1" w:rsidP="009D590D">
      <w:pPr>
        <w:pStyle w:val="RevisionArtikelberschrift"/>
        <w:ind w:left="425"/>
      </w:pPr>
      <w:r>
        <w:t xml:space="preserve">Ændring af indledningen til civilloven</w:t>
      </w:r>
    </w:p>
    <w:p w14:paraId="460ABE0F" w14:textId="5A512474" w:rsidR="008657B1" w:rsidRPr="004F1B81" w:rsidRDefault="007B6582" w:rsidP="009D590D">
      <w:pPr>
        <w:pStyle w:val="RevisionJuristischerAbsatzmanuell"/>
        <w:tabs>
          <w:tab w:val="clear" w:pos="850"/>
          <w:tab w:val="left" w:pos="1275"/>
        </w:tabs>
        <w:ind w:left="425"/>
      </w:pPr>
      <w:r>
        <w:t xml:space="preserve">Indledningen til civilloven i den udgave, der blev offentliggjort den 21. september 1994 (Forbundslovtidende I s. 2494, 1997 I s. 1061), senest ændret ved artikel 10 i loven af 22. december 2020 (Forbundslovtidende I s. 3328), bliver ændret som følger:</w:t>
      </w:r>
    </w:p>
    <w:p w14:paraId="6B027298" w14:textId="034AC32F" w:rsidR="008657B1" w:rsidRPr="004F1B81" w:rsidRDefault="008657B1" w:rsidP="009D590D">
      <w:pPr>
        <w:pStyle w:val="RevisionNummerierungStufe1"/>
        <w:tabs>
          <w:tab w:val="clear" w:pos="425"/>
          <w:tab w:val="num" w:pos="850"/>
        </w:tabs>
        <w:ind w:left="850"/>
      </w:pPr>
      <w:r>
        <w:t xml:space="preserve">Artikel 229 affattes således:</w:t>
      </w:r>
      <w:r>
        <w:t xml:space="preserve"> </w:t>
      </w:r>
      <w:r>
        <w:t xml:space="preserve">[indført: næste gratis optællingsbetegnelse, når offentliggjort] tilføjet:</w:t>
      </w:r>
    </w:p>
    <w:p w14:paraId="57F318B2" w14:textId="77777777" w:rsidR="008657B1" w:rsidRPr="004F1B81" w:rsidRDefault="008657B1" w:rsidP="009D590D">
      <w:pPr>
        <w:pStyle w:val="RevisionParagraphBezeichnermanuell"/>
        <w:ind w:left="850" w:hanging="90"/>
      </w:pPr>
      <w:r>
        <w:t xml:space="preserve">"§...</w:t>
      </w:r>
      <w:r>
        <w:t xml:space="preserve"> </w:t>
      </w:r>
      <w:r>
        <w:t xml:space="preserve">[indgået: næste gratis optællingsbetegnelse, når den offentliggøres]</w:t>
      </w:r>
    </w:p>
    <w:p w14:paraId="240738A9" w14:textId="77777777" w:rsidR="008657B1" w:rsidRPr="004F1B81" w:rsidRDefault="008657B1" w:rsidP="009D590D">
      <w:pPr>
        <w:pStyle w:val="RevisionParagraphberschrift"/>
        <w:ind w:left="850"/>
      </w:pPr>
      <w:r>
        <w:t xml:space="preserve">Overgangsbestemmelse til loven om rimelige forbrugeraftaler</w:t>
      </w:r>
    </w:p>
    <w:p w14:paraId="48E37EC8" w14:textId="49D04865" w:rsidR="008657B1" w:rsidRPr="008657B1" w:rsidRDefault="008657B1" w:rsidP="009D590D">
      <w:pPr>
        <w:pStyle w:val="RevisionJuristischerAbsatzmanuell"/>
        <w:tabs>
          <w:tab w:val="clear" w:pos="850"/>
          <w:tab w:val="left" w:pos="1700"/>
        </w:tabs>
        <w:ind w:left="850"/>
      </w:pPr>
      <w:r>
        <w:t xml:space="preserve">Til en gæld, der går forud for ...</w:t>
      </w:r>
      <w:r>
        <w:t xml:space="preserve"> </w:t>
      </w:r>
      <w:r>
        <w:t xml:space="preserve">[indstiller:</w:t>
      </w:r>
      <w:r>
        <w:t xml:space="preserve"> </w:t>
      </w:r>
      <w:r>
        <w:t xml:space="preserve">Datoen for ikrafttrædelsen i overensstemmelse med punktum i artikel 5, stk. 3, i denne lov] finder anvendelse på bestemmelserne i civilloven som ændret indtil denne dato."</w:t>
      </w:r>
    </w:p>
    <w:p w14:paraId="28F84168" w14:textId="767BCDD5" w:rsidR="0062256C" w:rsidRPr="008657B1" w:rsidRDefault="00D663F5" w:rsidP="009D590D">
      <w:pPr>
        <w:pStyle w:val="RevisionNummerierungStufe1"/>
        <w:tabs>
          <w:tab w:val="clear" w:pos="425"/>
          <w:tab w:val="num" w:pos="850"/>
        </w:tabs>
        <w:ind w:left="850"/>
      </w:pPr>
      <w:r>
        <w:t xml:space="preserve">I artikel 246e, stk. 1, nr. 2, ændres "§ 312k" til "§ 312 l".</w:t>
      </w:r>
    </w:p>
    <w:p w14:paraId="7A235F18" w14:textId="116CF696" w:rsidR="008E21D5" w:rsidRDefault="007B6582" w:rsidP="004F1B81">
      <w:pPr>
        <w:pStyle w:val="EmpfehlungNummerierungStufe1"/>
      </w:pPr>
      <w:r>
        <w:t xml:space="preserve">Efter artikel 5, første punktum, indsættes følgende punktum:</w:t>
      </w:r>
    </w:p>
    <w:p w14:paraId="0316D114" w14:textId="7AD83BCB" w:rsidR="008E21D5" w:rsidRDefault="0052608D" w:rsidP="009D590D">
      <w:pPr>
        <w:pStyle w:val="RevisionJuristischerAbsatzFolgeabsatz"/>
        <w:ind w:left="425"/>
      </w:pPr>
      <w:r>
        <w:t xml:space="preserve">"Artikel 1, stk. 4-6, og artikel 2, stk. 2, træder i kraft den 1. juli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Begrundelse:</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Ad 1.</w:t>
      </w:r>
    </w:p>
    <w:p w14:paraId="52A0ADE0" w14:textId="23FAA1FA" w:rsidR="00B358A3" w:rsidRPr="009B1298" w:rsidRDefault="00B358A3" w:rsidP="009B1298">
      <w:pPr>
        <w:pStyle w:val="Text"/>
        <w:rPr>
          <w:sz w:val="22"/>
        </w:rPr>
      </w:pPr>
      <w:r>
        <w:t xml:space="preserve">Tillægget er nødvendigt, fordi bestemmelsen i nr. 2, litra a) (artikel 1, stk. 5), skal anmeldes i henhold til Europa-Parlamentets og Rådets direktiv (EU) 2015/1535 af 9. september 2015 om en informationsprocedure med hensyn til tekniske forskrifter og forskrifter for informationssamfundets tjenester.</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Ad 2.</w:t>
      </w:r>
    </w:p>
    <w:p w14:paraId="1CDBD418" w14:textId="66377B48" w:rsidR="00395EE9" w:rsidRPr="00DA2D64" w:rsidRDefault="000F009A" w:rsidP="00DA2D64">
      <w:pPr>
        <w:pStyle w:val="Text"/>
        <w:rPr>
          <w:sz w:val="22"/>
        </w:rPr>
      </w:pPr>
      <w:r>
        <w:rPr>
          <w:sz w:val="22"/>
        </w:rPr>
        <w:t xml:space="preserve">Nr. 2 indeholder ændringer til artikel 1 i lovudkastet, som indeholder ændringer til civilloven (BGB).</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Ad a)</w:t>
      </w:r>
    </w:p>
    <w:p w14:paraId="3BCE5677" w14:textId="7A163C5E" w:rsidR="000F009A" w:rsidRPr="00DA2D64" w:rsidRDefault="000F009A" w:rsidP="00DA2D64">
      <w:pPr>
        <w:pStyle w:val="Text"/>
        <w:rPr>
          <w:sz w:val="22"/>
        </w:rPr>
      </w:pPr>
      <w:r>
        <w:rPr>
          <w:sz w:val="22"/>
        </w:rPr>
        <w:t xml:space="preserve">Litra a) indeholder de ændringer til BGB, der er nødvendige ved indføjelse af § 312k BGB i udkastet.</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Ad artikel 1, nr. 4</w:t>
      </w:r>
    </w:p>
    <w:p w14:paraId="196525AF" w14:textId="07A1B367" w:rsidR="00910B03" w:rsidRDefault="00910B03" w:rsidP="0052608D">
      <w:pPr>
        <w:pStyle w:val="Text"/>
        <w:rPr>
          <w:sz w:val="22"/>
        </w:rPr>
      </w:pPr>
      <w:r>
        <w:rPr>
          <w:sz w:val="22"/>
        </w:rPr>
        <w:t xml:space="preserve">Det er en konsekvensændring, der er betinget af, at der indsættes en ny § 312k BGB i udkastet.</w:t>
      </w:r>
      <w:r>
        <w:rPr>
          <w:sz w:val="22"/>
        </w:rPr>
        <w:t xml:space="preserve"> </w:t>
      </w:r>
      <w:r>
        <w:rPr>
          <w:sz w:val="22"/>
        </w:rPr>
        <w:t xml:space="preserve">§ 312k i den tyske civillov forventes gennemført med en tidligere ikrafttrædelsesdato med et lovforslag om ændring af civilloven og den indledende lov om civillov til gennemførelse af EU-direktivet om bedre håndhævelse og modernisering af EU's forbrugerbeskyttelseslovgivning og om ophævelse af bekendtgørelsen om overførsel af ansvar for gennemførelsen af forordning (EF) nr. 2006/2004 til Forbundsjustitsministeriet og Forbundsministeriet for Forbrugerbeskyttelse (Forbundsrådets tryksag 61/21, i det følgende benævnt</w:t>
      </w:r>
      <w:r>
        <w:rPr>
          <w:sz w:val="22"/>
        </w:rPr>
        <w:t xml:space="preserve"> </w:t>
      </w:r>
      <w:r>
        <w:rPr>
          <w:sz w:val="22"/>
        </w:rPr>
        <w:t xml:space="preserve">"Udkast til lov om gennemførelse af moderniseringsdirektivet").</w:t>
      </w:r>
    </w:p>
    <w:p w14:paraId="58637A12" w14:textId="3F86D1C5" w:rsidR="00910B03" w:rsidRDefault="00910B03" w:rsidP="00910B03">
      <w:pPr>
        <w:pStyle w:val="Text"/>
        <w:rPr>
          <w:b/>
          <w:sz w:val="22"/>
          <w:rFonts w:ascii="Arial" w:hAnsi="Arial" w:cs="Arial"/>
        </w:rPr>
      </w:pPr>
      <w:r>
        <w:rPr>
          <w:b/>
          <w:sz w:val="22"/>
          <w:rFonts w:ascii="Arial" w:hAnsi="Arial"/>
        </w:rPr>
        <w:t xml:space="preserve">Ad artikel 1, nr. 5</w:t>
      </w:r>
    </w:p>
    <w:p w14:paraId="29FC6254" w14:textId="01CF6BCB" w:rsidR="000F009A" w:rsidRDefault="000F009A" w:rsidP="00FF6FE5">
      <w:pPr>
        <w:pStyle w:val="Text"/>
        <w:rPr>
          <w:sz w:val="22"/>
        </w:rPr>
      </w:pPr>
      <w:r>
        <w:rPr>
          <w:sz w:val="22"/>
        </w:rPr>
        <w:t xml:space="preserve">Artikel 1, stk. 5, indfører en ny § 312k BGB i den tyske civillov.</w:t>
      </w:r>
    </w:p>
    <w:p w14:paraId="7B4EFA06" w14:textId="328EC3DA" w:rsidR="00910D9D" w:rsidRDefault="00F24FDD" w:rsidP="00FF6FE5">
      <w:pPr>
        <w:pStyle w:val="Text"/>
        <w:rPr>
          <w:sz w:val="22"/>
        </w:rPr>
      </w:pPr>
      <w:r>
        <w:rPr>
          <w:sz w:val="22"/>
        </w:rPr>
        <w:t xml:space="preserve">Opsigelseskontrakter, der indgås inden for elektronisk handel, indebærer ofte særlige udfordringer for forbrugerne.</w:t>
      </w:r>
      <w:r>
        <w:rPr>
          <w:sz w:val="22"/>
        </w:rPr>
        <w:t xml:space="preserve"> </w:t>
      </w:r>
      <w:r>
        <w:rPr>
          <w:sz w:val="22"/>
        </w:rPr>
        <w:t xml:space="preserve">I forhold til den enkle indgåelse af den pågældende kontrakt er opsigelsen delvis ikke mulig direkte via et websted eller er ofte kompliceret på grund af webstedets design.</w:t>
      </w:r>
    </w:p>
    <w:p w14:paraId="1FDAB131" w14:textId="77777777" w:rsidR="00910D9D" w:rsidRDefault="00993AD2" w:rsidP="00FF6FE5">
      <w:pPr>
        <w:pStyle w:val="Text"/>
        <w:rPr>
          <w:sz w:val="22"/>
        </w:rPr>
      </w:pPr>
      <w:r>
        <w:rPr>
          <w:sz w:val="22"/>
        </w:rPr>
        <w:t xml:space="preserve">Virksomhedens forpligtelser, der foreslås i § 312k BGB i udkastet, har til formål at gøre det muligt for forbrugerne at afgive opsigelseserklæringer inden for elektronisk handel på en tilsvarende enkel måde under hensyntagen til de særlige forhold, der gør sig gældende ved opsigelseserklæringer, på en måde svarende til erklæringer om indgåelse af tilsvarende kontrakter.</w:t>
      </w:r>
    </w:p>
    <w:p w14:paraId="23CC65C4" w14:textId="1A6BC79E" w:rsidR="009019C7" w:rsidRDefault="00C50448" w:rsidP="00FF6FE5">
      <w:pPr>
        <w:pStyle w:val="Text"/>
        <w:rPr>
          <w:sz w:val="22"/>
        </w:rPr>
      </w:pPr>
      <w:r>
        <w:rPr>
          <w:sz w:val="22"/>
        </w:rPr>
        <w:t xml:space="preserve">§ 312k, stk. 1, i den tyske civillov (BGB) afgør bestemmelsens anvendelsesområde.</w:t>
      </w:r>
      <w:r>
        <w:rPr>
          <w:sz w:val="22"/>
        </w:rPr>
        <w:t xml:space="preserve"> </w:t>
      </w:r>
      <w:r>
        <w:rPr>
          <w:sz w:val="22"/>
        </w:rPr>
        <w:t xml:space="preserve">I § 312k, stk. 2, i den tyske civillov (BGB) i udkastet beskrives virksomhedens forpligtelse til at bibeholde en opsigelsesknap og fastsættes yderligere specifikationer for udformningen af de tekniske midler, som virksomheden skal stille til rådighed til indgivelse af opsigelsesskrivelsen.</w:t>
      </w:r>
      <w:r>
        <w:rPr>
          <w:sz w:val="22"/>
        </w:rPr>
        <w:t xml:space="preserve"> </w:t>
      </w:r>
      <w:r>
        <w:rPr>
          <w:sz w:val="22"/>
        </w:rPr>
        <w:t xml:space="preserve">§ 312k, stk. 3, i den tyske civillov (BGB) regulerer i udkastet forbrugerens muligheder for at opbevare den indgivne opsigelseserklæring.</w:t>
      </w:r>
      <w:r>
        <w:rPr>
          <w:sz w:val="22"/>
        </w:rPr>
        <w:t xml:space="preserve"> </w:t>
      </w:r>
      <w:r>
        <w:rPr>
          <w:sz w:val="22"/>
        </w:rPr>
        <w:t xml:space="preserve">§ 312k, stk. 4, i den tyske civillov (BGB) indeholder i udkastet en forpligtelse for virksomheden til at bekræfte modtagelsen af opsigelsesskrivelsen samt en formodning om adgang til opsigelsesskrivelsen.</w:t>
      </w:r>
      <w:r>
        <w:rPr>
          <w:sz w:val="22"/>
        </w:rPr>
        <w:t xml:space="preserve"> </w:t>
      </w:r>
      <w:r>
        <w:rPr>
          <w:sz w:val="22"/>
        </w:rPr>
        <w:t xml:space="preserve">§ 312k, stk. 5, BGB i udkastet indeholder en bestemmelse om tvivl med hensyn til opsigelsesdatoen.</w:t>
      </w:r>
      <w:r>
        <w:rPr>
          <w:sz w:val="22"/>
        </w:rPr>
        <w:t xml:space="preserve"> </w:t>
      </w:r>
      <w:r>
        <w:rPr>
          <w:sz w:val="22"/>
        </w:rPr>
        <w:t xml:space="preserve">§ 312k, stk. 6, BGB i udkastet fastsætter, at hvis en virksomhed ikke opfylder de forpligtelser, der er fastsat i § 312k, stk. 1 og 2, BGB i udkastet, kan en kontrakt opsiges til enhver tid og uden overholdelse af opsigelsesfristen.</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Med hensyn til § 312k, stk. 1, BGB-E:</w:t>
      </w:r>
    </w:p>
    <w:p w14:paraId="17EDBBF1" w14:textId="7D78ECB9" w:rsidR="007E1EA0" w:rsidRPr="00FF6FE5" w:rsidRDefault="007E1EA0" w:rsidP="00FF6FE5">
      <w:pPr>
        <w:pStyle w:val="Text"/>
        <w:rPr>
          <w:sz w:val="22"/>
        </w:rPr>
      </w:pPr>
      <w:r>
        <w:rPr>
          <w:sz w:val="22"/>
        </w:rPr>
        <w:t xml:space="preserve">§ 312k, stk. 1, BGB i udkastet indeholder kravene til virksomhedens forpligtelser i henhold til § 312k BGB i udkastet samt en række undtagelser.</w:t>
      </w:r>
    </w:p>
    <w:p w14:paraId="79AB8D0A" w14:textId="6D12DF24" w:rsidR="005E1C0F" w:rsidRDefault="00297295" w:rsidP="005E1C0F">
      <w:pPr>
        <w:pStyle w:val="Text"/>
        <w:rPr>
          <w:sz w:val="22"/>
        </w:rPr>
      </w:pPr>
      <w:r>
        <w:rPr>
          <w:sz w:val="22"/>
        </w:rPr>
        <w:t xml:space="preserve">Forpligtelsen i henhold til § 312k, stk. 1, i den tyske civillov (BGB) i udkastet gælder for virksomheden, når forbrugerne får mulighed for at indgå kontrakter som defineret i § 312k, stk. 1, første punktum, i den tyske civillov (BGB) i udkastet.</w:t>
      </w:r>
    </w:p>
    <w:p w14:paraId="14C929D8" w14:textId="579E8842" w:rsidR="005E1C0F" w:rsidRDefault="005E1C0F" w:rsidP="005E1C0F">
      <w:pPr>
        <w:pStyle w:val="Text"/>
        <w:rPr>
          <w:sz w:val="22"/>
        </w:rPr>
      </w:pPr>
      <w:r>
        <w:rPr>
          <w:sz w:val="22"/>
        </w:rPr>
        <w:t xml:space="preserve">I § 312k, stk. 1, første punktum, BGB i udkastet anvendes ordlyden "kontrakt om elektronisk handel", som er juridisk defineret i § 312i, stk. 1, første punktum, i den tyske civillov.</w:t>
      </w:r>
    </w:p>
    <w:p w14:paraId="2230FA64" w14:textId="64CB3F4D" w:rsidR="004025EB" w:rsidRDefault="005E1C0F" w:rsidP="005E1C0F">
      <w:pPr>
        <w:pStyle w:val="Text"/>
        <w:rPr>
          <w:sz w:val="22"/>
        </w:rPr>
      </w:pPr>
      <w:r>
        <w:rPr>
          <w:sz w:val="22"/>
        </w:rPr>
        <w:t xml:space="preserve">Indgåelsen af disse kontrakter skal være mulig i udkastet via et "websted" i overensstemmelse med § 312k, stk. 1, første punktum, BGB.</w:t>
      </w:r>
      <w:r>
        <w:rPr>
          <w:sz w:val="22"/>
        </w:rPr>
        <w:t xml:space="preserve"> </w:t>
      </w:r>
      <w:r>
        <w:rPr>
          <w:sz w:val="22"/>
        </w:rPr>
        <w:t xml:space="preserve">Ved fortolkningen af begrebet "websted" kan retspraksis vedrørende det identiske begreb anvendes i § 312j, stk. 1, i den tyske civillov.</w:t>
      </w:r>
    </w:p>
    <w:p w14:paraId="6AA292BC" w14:textId="470333E1" w:rsidR="005E1C0F" w:rsidRDefault="005E1C0F" w:rsidP="005E1C0F">
      <w:pPr>
        <w:pStyle w:val="Text"/>
        <w:rPr>
          <w:sz w:val="22"/>
        </w:rPr>
      </w:pPr>
      <w:r>
        <w:rPr>
          <w:sz w:val="22"/>
        </w:rPr>
        <w:t xml:space="preserve">For at begrunde virksomhedens forpligtelse i henhold til § 312k BGB i udkastet, gør det ingen forskel, om indgåelsen af kontrakten via et websted drives af virksomheden selv eller — f.eks. i tilfælde af mellemplatforme — via et websted, der drives af en tredjepart.</w:t>
      </w:r>
      <w:r>
        <w:rPr>
          <w:sz w:val="22"/>
        </w:rPr>
        <w:t xml:space="preserve"> </w:t>
      </w:r>
      <w:r>
        <w:rPr>
          <w:sz w:val="22"/>
        </w:rPr>
        <w:t xml:space="preserve">I begge tilfælde skal virksomheden sikre, at forbrugeren kan indgive en opsigelse i overensstemmelse med kravene i § 312k BGB i udkastet.</w:t>
      </w:r>
      <w:r>
        <w:rPr>
          <w:sz w:val="22"/>
        </w:rPr>
        <w:t xml:space="preserve"> </w:t>
      </w:r>
      <w:r>
        <w:rPr>
          <w:sz w:val="22"/>
        </w:rPr>
        <w:t xml:space="preserve">Hvis det er muligt at indgå kontrakten på et websted, som ikke drives af virksomheden selv, skal virksomheden kontraktligt forpligte tredjeparten som operatør af tredjepartens websted.</w:t>
      </w:r>
    </w:p>
    <w:p w14:paraId="16B2E46F" w14:textId="04A80DFB" w:rsidR="005E1C0F" w:rsidRDefault="005E1C0F" w:rsidP="005E1C0F">
      <w:pPr>
        <w:pStyle w:val="Text"/>
        <w:rPr>
          <w:sz w:val="22"/>
        </w:rPr>
      </w:pPr>
      <w:r>
        <w:rPr>
          <w:sz w:val="22"/>
        </w:rPr>
        <w:t xml:space="preserve">Virksomhedens forpligtelse i henhold til § 312k, stk. 1, første punktum, BGB i udkastet er begrænset til aftaler mellem virksomheder og forbrugere om at etablere permanente skyldforhold, som forpligter virksomheden til at betale et vederlag.</w:t>
      </w:r>
      <w:r>
        <w:rPr>
          <w:sz w:val="22"/>
        </w:rPr>
        <w:t xml:space="preserve"> </w:t>
      </w:r>
      <w:r>
        <w:rPr>
          <w:sz w:val="22"/>
        </w:rPr>
        <w:t xml:space="preserve">Begrænsningen af permanent gæld sker ud fra et forbrugerbeskyttelsessynspunkt, fordi de har et særligt behov for at facilitere muligheden for opsigelse.</w:t>
      </w:r>
      <w:r>
        <w:rPr>
          <w:sz w:val="22"/>
        </w:rPr>
        <w:t xml:space="preserve"> </w:t>
      </w:r>
      <w:r>
        <w:rPr>
          <w:sz w:val="22"/>
        </w:rPr>
        <w:t xml:space="preserve">Langsigtede skyldforhold kan ofte vise sig at være "omkostningsfælder" på grund af den langsigtede forpligtelse over for forbrugerne.</w:t>
      </w:r>
      <w:r>
        <w:rPr>
          <w:sz w:val="22"/>
        </w:rPr>
        <w:t xml:space="preserve"> </w:t>
      </w:r>
      <w:r>
        <w:rPr>
          <w:sz w:val="22"/>
        </w:rPr>
        <w:t xml:space="preserve">På den anden side kan opsigelsen af andre forpligtelser som permanent gæld i visse tilfælde have retsvirkninger for forbrugeren, hvilket set ud fra forbrugerens synspunkt synes at være uventet (f.eks. den fortsatte forpligtelse til at betale køberen i fortrydelsesrettens tilfælde i henhold til § 648 BGB).</w:t>
      </w:r>
      <w:r>
        <w:rPr>
          <w:sz w:val="22"/>
        </w:rPr>
        <w:t xml:space="preserve"> </w:t>
      </w:r>
      <w:r>
        <w:rPr>
          <w:sz w:val="22"/>
        </w:rPr>
        <w:t xml:space="preserve">Disse retlige konsekvenser ville navnlig gøre en standardiseret opfyldelse af virksomhedens forpligtelse til at levere oplysninger i overensstemmelse med § 312k, stk. 2, tredje punktum, nr. 2, i den tyske civillov betydeligt vanskeligere i udkastet.</w:t>
      </w:r>
      <w:r>
        <w:rPr>
          <w:sz w:val="22"/>
        </w:rPr>
        <w:t xml:space="preserve"> </w:t>
      </w:r>
      <w:r>
        <w:rPr>
          <w:sz w:val="22"/>
        </w:rPr>
        <w:t xml:space="preserve">Derfor bør andre kontrakter end dem, der vedrører permanent gæld som følge af de specifikke konsekvenser af opsigelsen i enkelte tilfælde, ikke være omfattet af § 312k BGB i udkastet.</w:t>
      </w:r>
    </w:p>
    <w:p w14:paraId="7CBE89AF" w14:textId="39C4CA64" w:rsidR="00021CCF" w:rsidRDefault="00AA0FD6" w:rsidP="00FF6FE5">
      <w:pPr>
        <w:pStyle w:val="Text"/>
        <w:rPr>
          <w:sz w:val="22"/>
        </w:rPr>
      </w:pPr>
      <w:r>
        <w:rPr>
          <w:sz w:val="22"/>
        </w:rPr>
        <w:t xml:space="preserve">I henhold til § 312k, stk. 1, andet punktum, nr. 1, i den tyske civillov (BGB) i udkastet finder § 312k BGB ikke anvendelse i udkastet, hvis en opsigelse af den pågældende kontrakt på grundlag af lovmæssige formkrav udelukkende skal indgives i en strengere form end tekstformularen.</w:t>
      </w:r>
      <w:r>
        <w:rPr>
          <w:sz w:val="22"/>
        </w:rPr>
        <w:t xml:space="preserve"> </w:t>
      </w:r>
      <w:r>
        <w:rPr>
          <w:sz w:val="22"/>
        </w:rPr>
        <w:t xml:space="preserve">Dette omfatter derfor også det formelle krav om den — i forhold til teksten strengere — elektroniske form i henhold til § 126a i den tyske civillov eller den skriftlige form.</w:t>
      </w:r>
      <w:r>
        <w:rPr>
          <w:sz w:val="22"/>
        </w:rPr>
        <w:t xml:space="preserve"> </w:t>
      </w:r>
      <w:r>
        <w:rPr>
          <w:sz w:val="22"/>
        </w:rPr>
        <w:t xml:space="preserve">Dette udelukker også opsigelseserklæringer, der skal udstedes i notarial attesteret form.</w:t>
      </w:r>
    </w:p>
    <w:p w14:paraId="5AC9F0DA" w14:textId="10D6BCB1" w:rsidR="00FF6FE5" w:rsidRDefault="00FF6FE5" w:rsidP="00FF6FE5">
      <w:pPr>
        <w:pStyle w:val="Text"/>
        <w:rPr>
          <w:sz w:val="22"/>
        </w:rPr>
      </w:pPr>
      <w:r>
        <w:rPr>
          <w:sz w:val="22"/>
        </w:rPr>
        <w:t xml:space="preserve">§ 312k BGB i tekstudkastet har til formål at udvide forbrugerens muligheder for opsigelse, men ikke at begrænse eller udelukke indgivelse af opsigelsesskrivelser på andre måder.</w:t>
      </w:r>
      <w:r>
        <w:rPr>
          <w:sz w:val="22"/>
        </w:rPr>
        <w:t xml:space="preserve"> </w:t>
      </w:r>
      <w:r>
        <w:rPr>
          <w:sz w:val="22"/>
        </w:rPr>
        <w:t xml:space="preserve">Navnlig er en aftale gennem præformulerede kontraktvilkår kun fortsat ineffektiv i overensstemmelse med § 309, punkt 13, litra c), i den tyske civillov (BGB) ved hjælp af den knap, der skal stilles til rådighed i udkastet ved hjælp af den knap, der skal leveres i overensstemmelse med § 312k BGB.</w:t>
      </w:r>
    </w:p>
    <w:p w14:paraId="31DAAE9B" w14:textId="75A60568" w:rsidR="00D663F5" w:rsidRDefault="0020302D" w:rsidP="00FF6FE5">
      <w:pPr>
        <w:pStyle w:val="Text"/>
        <w:rPr>
          <w:sz w:val="22"/>
        </w:rPr>
      </w:pPr>
      <w:r>
        <w:rPr>
          <w:sz w:val="22"/>
        </w:rPr>
        <w:t xml:space="preserve">I § 312k, stk. 1, andet punktum, nr. 2, BGB i udkastet bestemmes det, at virksomheder er fritaget for forpligtelserne i henhold til § 312k BGB i udkastet, hvis enten webstedet vedrører finansielle tjenesteydelser, eller de pågældende kontrakter er kontrakter om finansielle tjenesteydelser.</w:t>
      </w:r>
      <w:r>
        <w:rPr>
          <w:sz w:val="22"/>
        </w:rPr>
        <w:t xml:space="preserve"> </w:t>
      </w:r>
      <w:r>
        <w:rPr>
          <w:sz w:val="22"/>
        </w:rPr>
        <w:t xml:space="preserve">Modellen for denne bestemmelse er § 312j §, stk. 5, andet punktum, BGB; udtrykket "finansielle tjenesteydelser" er juridisk defineret i § 312, stk. 5, første punktum, BGB.</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Vedrørende § 312k, stk. 2, BGB-E:</w:t>
      </w:r>
    </w:p>
    <w:p w14:paraId="2DD32C42" w14:textId="0A95DE40" w:rsidR="006F0DAE" w:rsidRDefault="006F0DAE" w:rsidP="006F0DAE">
      <w:pPr>
        <w:pStyle w:val="Text"/>
        <w:rPr>
          <w:sz w:val="22"/>
        </w:rPr>
      </w:pPr>
      <w:r>
        <w:rPr>
          <w:sz w:val="22"/>
        </w:rPr>
        <w:t xml:space="preserve">I § 312k, stk. 2, i den tyske civillov (BGB) i udkastet fastsættes virksomhedens forpligtelse samt en totrinsprocedure for indgivelse af opsigelsesskrivelsen.</w:t>
      </w:r>
    </w:p>
    <w:p w14:paraId="180E6231" w14:textId="20BA4C93" w:rsidR="006257ED" w:rsidRDefault="006257ED" w:rsidP="006257ED">
      <w:pPr>
        <w:pStyle w:val="Text"/>
        <w:rPr>
          <w:sz w:val="22"/>
        </w:rPr>
      </w:pPr>
      <w:r>
        <w:rPr>
          <w:sz w:val="22"/>
        </w:rPr>
        <w:t xml:space="preserve">I § 312k, stk. 2, første punkt, i den tyske civillov (BGB) i udkastet begrænses virksomhedens forpligtelse i udkastet til ordinære og ekstraordinære opsigelser i overensstemmelse med § 312k, BGB.</w:t>
      </w:r>
      <w:r>
        <w:rPr>
          <w:sz w:val="22"/>
        </w:rPr>
        <w:t xml:space="preserve"> </w:t>
      </w:r>
      <w:r>
        <w:rPr>
          <w:sz w:val="22"/>
        </w:rPr>
        <w:t xml:space="preserve">Garantimeddelelser og andre rettigheder til at bringe permanente skyldforhold til ophør (herunder tilbagetrækning og opsigelse af kontrakten på grund af manglende levering, mangler eller ugunstige ændringer af digitale produkter i overensstemmelse med udkastet til lov om gennemførelse af direktivet om visse kontraktlige aspekter af levering af digitalt indhold og digitale tjenester — Forbundsrådets tryksag 60/21) er ikke omfattet af denne forordning.</w:t>
      </w:r>
    </w:p>
    <w:p w14:paraId="7AD9A1FA" w14:textId="77777777" w:rsidR="006257ED" w:rsidRDefault="006257ED" w:rsidP="006257ED">
      <w:pPr>
        <w:pStyle w:val="Text"/>
        <w:rPr>
          <w:sz w:val="22"/>
        </w:rPr>
      </w:pPr>
      <w:r>
        <w:rPr>
          <w:sz w:val="22"/>
        </w:rPr>
        <w:t xml:space="preserve">Opsigelser af aftaler om juridiske rettigheder er ikke omfattet af anvendelsesområdet, fordi de ikke indgås inden for elektronisk handel.</w:t>
      </w:r>
      <w:r>
        <w:rPr>
          <w:sz w:val="22"/>
        </w:rPr>
        <w:t xml:space="preserve"> </w:t>
      </w:r>
      <w:r>
        <w:rPr>
          <w:sz w:val="22"/>
        </w:rPr>
        <w:t xml:space="preserve">Selv om realkreditlån eller tjenesteydelser formelt kan opsiges, udgør de ikke kontrakter om elektronisk handel mellem virksomheder og forbrugere.</w:t>
      </w:r>
    </w:p>
    <w:p w14:paraId="0A27EC29" w14:textId="7090A24C" w:rsidR="006257ED" w:rsidRDefault="006257ED" w:rsidP="006257ED">
      <w:pPr>
        <w:pStyle w:val="Text"/>
        <w:rPr>
          <w:sz w:val="22"/>
        </w:rPr>
      </w:pPr>
      <w:r>
        <w:rPr>
          <w:sz w:val="22"/>
        </w:rPr>
        <w:t xml:space="preserve">Begrundelsen af virksomhedens forpligtelse afhænger ikke af, om den aftale, der skal bekendtgøres, også er indgået inden for elektronisk handel.</w:t>
      </w:r>
      <w:r>
        <w:rPr>
          <w:sz w:val="22"/>
        </w:rPr>
        <w:t xml:space="preserve"> </w:t>
      </w:r>
      <w:r>
        <w:rPr>
          <w:sz w:val="22"/>
        </w:rPr>
        <w:t xml:space="preserve">Det er derimod afgørende, om virksomheden gør det muligt at indgå elektronisk handel på tidspunktet for kontraktens opsigelse.</w:t>
      </w:r>
    </w:p>
    <w:p w14:paraId="327BEF9A" w14:textId="482C4A2C" w:rsidR="006257ED" w:rsidRDefault="006257ED" w:rsidP="006F0DAE">
      <w:pPr>
        <w:pStyle w:val="Text"/>
        <w:rPr>
          <w:sz w:val="22"/>
        </w:rPr>
      </w:pPr>
      <w:r>
        <w:rPr>
          <w:sz w:val="22"/>
        </w:rPr>
        <w:t xml:space="preserve">Virksomhedens forpligtelse er uafhængig af, i hvilket omfang forbrugeren faktisk har ret til opsigelse i individuelle tilfælde.</w:t>
      </w:r>
      <w:r>
        <w:rPr>
          <w:sz w:val="22"/>
        </w:rPr>
        <w:t xml:space="preserve"> </w:t>
      </w:r>
      <w:r>
        <w:rPr>
          <w:sz w:val="22"/>
        </w:rPr>
        <w:t xml:space="preserve">Knappen er kun beregnet til at skabe en anden mulighed for at erklære en opsigelse af forbrugeren.</w:t>
      </w:r>
      <w:r>
        <w:rPr>
          <w:sz w:val="22"/>
        </w:rPr>
        <w:t xml:space="preserve"> </w:t>
      </w:r>
      <w:r>
        <w:rPr>
          <w:sz w:val="22"/>
        </w:rPr>
        <w:t xml:space="preserve">Forbrugerens materielle tilladelse til at opsige er ikke et krav for brug af knappen i henhold til § 312k BGB i udkastet.</w:t>
      </w:r>
    </w:p>
    <w:p w14:paraId="1955AD28" w14:textId="3F43B095" w:rsidR="006F0DAE" w:rsidRDefault="006F0DAE" w:rsidP="006F0DAE">
      <w:pPr>
        <w:pStyle w:val="Text"/>
        <w:rPr>
          <w:sz w:val="22"/>
        </w:rPr>
      </w:pPr>
      <w:r>
        <w:rPr>
          <w:sz w:val="22"/>
        </w:rPr>
        <w:t xml:space="preserve">Ifølge § 312k, stk. 2, andet punktum, i den tyske civillov (BGB) i udkastet skal virksomheden først gøre en knap markeret med ordene "annullér kontrakter her" tilgængelig, som fører forbrugeren til en anden side kaldet "bekræftelsessiden".</w:t>
      </w:r>
      <w:r>
        <w:rPr>
          <w:sz w:val="22"/>
        </w:rPr>
        <w:t xml:space="preserve"> </w:t>
      </w:r>
      <w:r>
        <w:rPr>
          <w:sz w:val="22"/>
        </w:rPr>
        <w:t xml:space="preserve">Andre angivelser end "annullerer kontrakter" er kun tilladt, hvis de er lige så entydige.</w:t>
      </w:r>
      <w:r>
        <w:rPr>
          <w:sz w:val="22"/>
        </w:rPr>
        <w:t xml:space="preserve"> </w:t>
      </w:r>
      <w:r>
        <w:rPr>
          <w:sz w:val="22"/>
        </w:rPr>
        <w:t xml:space="preserve">Det skal bemærkes, at det om nødvendigt også skal fremgå af en anden indikation, at opsigelsesknappen endnu ikke er deklareret, men blot at opsigelsesprocessen er sat i gang.</w:t>
      </w:r>
      <w:r>
        <w:rPr>
          <w:sz w:val="22"/>
        </w:rPr>
        <w:t xml:space="preserve"> </w:t>
      </w:r>
      <w:r>
        <w:rPr>
          <w:sz w:val="22"/>
        </w:rPr>
        <w:t xml:space="preserve">Under alle omstændigheder har formuleringen til formål at gøre det klart for forbrugerne, at de, når de trykker på knappen, kan give yderligere oplysninger, før opsigelseserklæringen kan indgives.</w:t>
      </w:r>
    </w:p>
    <w:p w14:paraId="33C9D851" w14:textId="2B1CF4CC" w:rsidR="00035D26" w:rsidRDefault="00AF7B14" w:rsidP="006F0DAE">
      <w:pPr>
        <w:pStyle w:val="Text"/>
        <w:rPr>
          <w:sz w:val="22"/>
        </w:rPr>
      </w:pPr>
      <w:r>
        <w:rPr>
          <w:sz w:val="22"/>
        </w:rPr>
        <w:t xml:space="preserve">For at en kontrakt kan opsiges ved en opsigelsesskrivelse, skal den udformes på en sådan måde, at modtageren kan genkende, hvem der erklærer opsigelsen, og hvilken kontrakt der skal opsiges.</w:t>
      </w:r>
      <w:r>
        <w:rPr>
          <w:sz w:val="22"/>
        </w:rPr>
        <w:t xml:space="preserve"> </w:t>
      </w:r>
      <w:r>
        <w:rPr>
          <w:sz w:val="22"/>
        </w:rPr>
        <w:t xml:space="preserve">Bekræftelsessiden skal derfor anmode forbrugeren om at indtaste de nødvendige oplysninger i udkastet i overensstemmelse med § 312k, stk. 2, tredje punktum, nr. 1, litra a)-e), BGB, og sætte vedkommende i stand til at gøre det.</w:t>
      </w:r>
      <w:r>
        <w:rPr>
          <w:sz w:val="22"/>
        </w:rPr>
        <w:t xml:space="preserve"> </w:t>
      </w:r>
      <w:r>
        <w:rPr>
          <w:sz w:val="22"/>
        </w:rPr>
        <w:t xml:space="preserve">Med henblik herpå bør forbrugeren først kunne angive opsigelsens art og i tilfælde af ekstraordinær opsigelse den underliggende årsag til opsigelsen (litra a)).</w:t>
      </w:r>
      <w:r>
        <w:rPr>
          <w:sz w:val="22"/>
        </w:rPr>
        <w:t xml:space="preserve"> </w:t>
      </w:r>
      <w:r>
        <w:rPr>
          <w:sz w:val="22"/>
        </w:rPr>
        <w:t xml:space="preserve">Desuden skal forbrugeren være i stand til at give de oplysninger, der er nødvendige for identifikationen (litra b)) og for en entydig beskrivelse af aftalen (litra c)).</w:t>
      </w:r>
      <w:r>
        <w:rPr>
          <w:sz w:val="22"/>
        </w:rPr>
        <w:t xml:space="preserve"> </w:t>
      </w:r>
      <w:r>
        <w:rPr>
          <w:sz w:val="22"/>
        </w:rPr>
        <w:t xml:space="preserve">Typisk kan navn og adresse være nødvendig for identifikationen.</w:t>
      </w:r>
      <w:r>
        <w:rPr>
          <w:sz w:val="22"/>
        </w:rPr>
        <w:t xml:space="preserve"> </w:t>
      </w:r>
      <w:r>
        <w:rPr>
          <w:sz w:val="22"/>
        </w:rPr>
        <w:t xml:space="preserve">For at udpege kontrakten, kan virksomheden forespørge kunde-, ordre- eller kontraktnumre.</w:t>
      </w:r>
      <w:r>
        <w:rPr>
          <w:sz w:val="22"/>
        </w:rPr>
        <w:t xml:space="preserve"> </w:t>
      </w:r>
      <w:r>
        <w:rPr>
          <w:sz w:val="22"/>
        </w:rPr>
        <w:t xml:space="preserve">I overensstemmelse med litra d), bør forbrugeren også have mulighed for at angive den dato, hvor opsigelsen træder i kraft.</w:t>
      </w:r>
      <w:r>
        <w:rPr>
          <w:sz w:val="22"/>
        </w:rPr>
        <w:t xml:space="preserve"> </w:t>
      </w:r>
      <w:r>
        <w:rPr>
          <w:sz w:val="22"/>
        </w:rPr>
        <w:t xml:space="preserve">Dette kan dog ikke kræves som en forpligtelse, uden hvilken opsigelsen ikke kan forklares via webstedet.</w:t>
      </w:r>
      <w:r>
        <w:rPr>
          <w:sz w:val="22"/>
        </w:rPr>
        <w:t xml:space="preserve"> </w:t>
      </w:r>
      <w:r>
        <w:rPr>
          <w:sz w:val="22"/>
        </w:rPr>
        <w:t xml:space="preserve">Dette følger allerede af § 312k, stk. 5, i den tyske civillov (BGB) i udkastet, hvorefter opsigelsesskrivelsen træder i kraft så tidligt som muligt, når der ikke er angivet nogen opsigelsesdato.</w:t>
      </w:r>
      <w:r>
        <w:rPr>
          <w:sz w:val="22"/>
        </w:rPr>
        <w:t xml:space="preserve"> </w:t>
      </w:r>
      <w:r>
        <w:rPr>
          <w:sz w:val="22"/>
        </w:rPr>
        <w:t xml:space="preserve">I den forbindelse bør angivelsen "så hurtigt som muligt" — eller en lignende formulering, som udtrykker det tilsvarende ønske om opsigelse snarest muligt — være mulig sideløbende med muligheden for at angive en bestemt dato.</w:t>
      </w:r>
      <w:r>
        <w:rPr>
          <w:sz w:val="22"/>
        </w:rPr>
        <w:t xml:space="preserve"> </w:t>
      </w:r>
      <w:r>
        <w:rPr>
          <w:sz w:val="22"/>
        </w:rPr>
        <w:t xml:space="preserve">Desuden skal forbrugeren ifølge litra e), være i stand til at give virksomheden oplysninger, der gør det muligt for virksomheden at sende opsigelsesbekræftelsen i overensstemmelse med § 312k, stk. 4, første punktum, i den tyske civillov i udkastet til forbrugeren (normalt e-mail-adressen).</w:t>
      </w:r>
    </w:p>
    <w:p w14:paraId="6FC5D772" w14:textId="10CA55D4" w:rsidR="00AF7B14" w:rsidRDefault="00BF30DD" w:rsidP="006F0DAE">
      <w:pPr>
        <w:pStyle w:val="Text"/>
        <w:rPr>
          <w:sz w:val="22"/>
        </w:rPr>
      </w:pPr>
      <w:r>
        <w:rPr>
          <w:sz w:val="22"/>
        </w:rPr>
        <w:t xml:space="preserve">§ 312k, stk. 2, trejde punktum, nr. 1, i den tyske civillov (BGB) i udkastet sikrer derfor, at forbrugeren kan give de oplysninger, der er nødvendige for at præcisere deres opsigelseserklæring tilstrækkeligt præcist, navnlig med hensyn til den aftale, der skal opsiges.</w:t>
      </w:r>
      <w:r>
        <w:rPr>
          <w:sz w:val="22"/>
        </w:rPr>
        <w:t xml:space="preserve"> </w:t>
      </w:r>
      <w:r>
        <w:rPr>
          <w:sz w:val="22"/>
        </w:rPr>
        <w:t xml:space="preserve">Begrænsningen af de oplysninger, der skal anmodes om, har til formål at forhindre en udformning af bekræftelsessiden, hvor virksomheden anmoder om yderligere data, der ikke umiddelbart er tilgængelige for forbrugeren, og heller ikke er nødvendige for den ubestridelige overdragelse, hvilket gør det vanskeligt at opsige på en enkel og ukompliceret måde.</w:t>
      </w:r>
      <w:r>
        <w:rPr>
          <w:sz w:val="22"/>
        </w:rPr>
        <w:t xml:space="preserve"> </w:t>
      </w:r>
      <w:r>
        <w:rPr>
          <w:sz w:val="22"/>
        </w:rPr>
        <w:t xml:space="preserve">Samtidig bør høringen overholde princippet om dataøkonomi, jf. artikel 5, stk. 1, litra c), i Europa-Parlamentets og Rådets forordning (EU) 2016/679 af 27. april 2016 om beskyttelse af fysiske personer i forbindelse med behandling af personoplysninger og om fri udveksling af sådanne oplysninger og om ophævelse af direktiv 95/46/EF.</w:t>
      </w:r>
    </w:p>
    <w:p w14:paraId="52C9326B" w14:textId="5C0D9C17" w:rsidR="009F726F" w:rsidRPr="006F0DAE" w:rsidRDefault="00060631" w:rsidP="009F726F">
      <w:pPr>
        <w:pStyle w:val="Text"/>
        <w:rPr>
          <w:sz w:val="22"/>
        </w:rPr>
      </w:pPr>
      <w:r>
        <w:rPr>
          <w:sz w:val="22"/>
        </w:rPr>
        <w:t xml:space="preserve">I henhold til § 312k, stk. 2, tredje punktum, nr. 2, BGB i udkastet skal en knap kaldet "bekræftelsesknappen" findes på bekræftelsessiden, hvormed forbrugeren kan indgive opsigelseserklæringen.</w:t>
      </w:r>
      <w:r>
        <w:rPr>
          <w:sz w:val="22"/>
        </w:rPr>
        <w:t xml:space="preserve"> </w:t>
      </w:r>
      <w:r>
        <w:rPr>
          <w:sz w:val="22"/>
        </w:rPr>
        <w:t xml:space="preserve">Denne bekræftelsesknap skal mærkes med ordene "annullér nu".</w:t>
      </w:r>
      <w:r>
        <w:rPr>
          <w:sz w:val="22"/>
        </w:rPr>
        <w:t xml:space="preserve"> </w:t>
      </w:r>
      <w:r>
        <w:rPr>
          <w:sz w:val="22"/>
        </w:rPr>
        <w:t xml:space="preserve">Andre angivelser er kun tilladt, hvis de er lige så utvetydige.</w:t>
      </w:r>
    </w:p>
    <w:p w14:paraId="2785EC0B" w14:textId="576F478D" w:rsidR="00285780" w:rsidRDefault="006F0DAE" w:rsidP="00285780">
      <w:pPr>
        <w:pStyle w:val="Text"/>
        <w:rPr>
          <w:sz w:val="22"/>
        </w:rPr>
      </w:pPr>
      <w:r>
        <w:rPr>
          <w:sz w:val="22"/>
        </w:rPr>
        <w:t xml:space="preserve">De to knapper og bekræftelsessiden skal være "permanent tilgængelige og direkte og let tilgængelige" i udkastet i overensstemmelse med § 312k, stk. 2, fjerde punktum, i den tyske civillov.</w:t>
      </w:r>
      <w:r>
        <w:rPr>
          <w:sz w:val="22"/>
        </w:rPr>
        <w:t xml:space="preserve"> </w:t>
      </w:r>
      <w:r>
        <w:rPr>
          <w:sz w:val="22"/>
        </w:rPr>
        <w:t xml:space="preserve">For så vidt angår kravet om at være "permanent tilgængelig" er denne forordning baseret på det tilsvarende krav i § 5, stk. 1, i den tyske telemedielov.</w:t>
      </w:r>
      <w:r>
        <w:rPr>
          <w:sz w:val="22"/>
        </w:rPr>
        <w:t xml:space="preserve"> </w:t>
      </w:r>
      <w:r>
        <w:rPr>
          <w:sz w:val="22"/>
        </w:rPr>
        <w:t xml:space="preserve">Forbrugerne skal derfor til enhver tid kunne få adgang til de to knapper og bekræftelsessiden uden først at skulle registrere sig på webstedet til dette formål.</w:t>
      </w:r>
      <w:r>
        <w:rPr>
          <w:sz w:val="22"/>
        </w:rPr>
        <w:t xml:space="preserve"> </w:t>
      </w:r>
      <w:r>
        <w:rPr>
          <w:sz w:val="22"/>
        </w:rPr>
        <w:t xml:space="preserve">På den anden side er en midlertidig teknisk utilgængelighed på grund af vedligeholdelsesarbejde uskadelig (jf. dom afsagt af den regionale højesteret i Düsseldorf af 4. november 2008, sagsnummer:</w:t>
      </w:r>
      <w:r>
        <w:rPr>
          <w:sz w:val="22"/>
        </w:rPr>
        <w:t xml:space="preserve"> </w:t>
      </w:r>
      <w:r>
        <w:rPr>
          <w:sz w:val="22"/>
        </w:rPr>
        <w:t xml:space="preserve">I-20 U 125/08).</w:t>
      </w:r>
      <w:r>
        <w:rPr>
          <w:sz w:val="22"/>
        </w:rPr>
        <w:t xml:space="preserve"> </w:t>
      </w:r>
      <w:r>
        <w:rPr>
          <w:sz w:val="22"/>
        </w:rPr>
        <w:t xml:space="preserve">Kravet "direkte og let tilgængelig" er baseret på artikel 246d, stk. 2, nr. 2, i loven om civilret (EGBGB), som ændret ved udkastet til lov om gennemførelse af moderniseringsdirektivet. Der henvises til de tilsvarende forklaringer her (Forbundsrådets tryksag 61/21, side 37 f.).</w:t>
      </w:r>
    </w:p>
    <w:p w14:paraId="584AC89F" w14:textId="77777777" w:rsidR="00306B62" w:rsidRDefault="00306B62" w:rsidP="006F0DAE">
      <w:pPr>
        <w:pStyle w:val="Text"/>
        <w:rPr>
          <w:b/>
          <w:sz w:val="22"/>
          <w:rFonts w:ascii="Arial" w:hAnsi="Arial" w:cs="Arial"/>
        </w:rPr>
      </w:pPr>
      <w:r>
        <w:rPr>
          <w:b/>
          <w:sz w:val="22"/>
          <w:rFonts w:ascii="Arial" w:hAnsi="Arial"/>
        </w:rPr>
        <w:t xml:space="preserve">Vedrørende § 312k, stk. 3, BGB-E:</w:t>
      </w:r>
    </w:p>
    <w:p w14:paraId="0F548D72" w14:textId="7AAA2D18" w:rsidR="00D528F9" w:rsidRPr="006F0DAE" w:rsidRDefault="00D528F9" w:rsidP="006F0DAE">
      <w:pPr>
        <w:pStyle w:val="Text"/>
        <w:rPr>
          <w:sz w:val="22"/>
        </w:rPr>
      </w:pPr>
      <w:r>
        <w:rPr>
          <w:sz w:val="22"/>
        </w:rPr>
        <w:t xml:space="preserve">§ 312k, stk. 3, i den tyske civillov (BGB) har i tekstudkastet til formål at sikre, at forbrugeren allerede kan dokumentere indgivelse af opsigelsesskrivelsen.</w:t>
      </w:r>
      <w:r>
        <w:rPr>
          <w:sz w:val="22"/>
        </w:rPr>
        <w:t xml:space="preserve"> </w:t>
      </w:r>
      <w:r>
        <w:rPr>
          <w:sz w:val="22"/>
        </w:rPr>
        <w:t xml:space="preserve">Dette kan f.eks. gennemføres ved hjælp af en downloadbar sammenfatning af indholdet af opsigelseserklæringen ved hjælp af opsigelsesknappen, som især dokumenterer datoen og tidspunktet for trykket på knappen.</w:t>
      </w:r>
      <w:r>
        <w:rPr>
          <w:sz w:val="22"/>
        </w:rPr>
        <w:t xml:space="preserve"> </w:t>
      </w:r>
      <w:r>
        <w:rPr>
          <w:sz w:val="22"/>
        </w:rPr>
        <w:t xml:space="preserve">Denne dokumentation sikrer muligheden for at opbevare forbrugerens erklæring i henhold til § 126b, andet punktum, nr. 1, BGB.</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Vedrørende § 312k, stk. 4, BGB-E:</w:t>
      </w:r>
    </w:p>
    <w:p w14:paraId="0BB31C68" w14:textId="009FC109" w:rsidR="00956726" w:rsidRDefault="00956726" w:rsidP="00DA2D64">
      <w:pPr>
        <w:pStyle w:val="Text"/>
        <w:spacing w:before="120" w:after="120"/>
        <w:rPr>
          <w:sz w:val="22"/>
        </w:rPr>
      </w:pPr>
      <w:r>
        <w:rPr>
          <w:sz w:val="22"/>
        </w:rPr>
        <w:t xml:space="preserve">Virksomhedens forpligtelse til at bekræfte i overensstemmelse med § 312k, stk. 4, første punktum, BGB i udkastet vedrører virksomhedens adgang til opsigelseserklæringen.</w:t>
      </w:r>
      <w:r>
        <w:rPr>
          <w:sz w:val="22"/>
        </w:rPr>
        <w:t xml:space="preserve"> </w:t>
      </w:r>
      <w:r>
        <w:rPr>
          <w:sz w:val="22"/>
        </w:rPr>
        <w:t xml:space="preserve">Øjeblikkelig bekræftelse i tekstform kan automatiseres i elektronisk handel.</w:t>
      </w:r>
    </w:p>
    <w:p w14:paraId="71556E49" w14:textId="6DB1B010" w:rsidR="00623468" w:rsidRPr="006F0DAE" w:rsidRDefault="00D00DD2" w:rsidP="006F0DAE">
      <w:pPr>
        <w:pStyle w:val="Text"/>
        <w:rPr>
          <w:sz w:val="22"/>
        </w:rPr>
      </w:pPr>
      <w:r>
        <w:rPr>
          <w:sz w:val="22"/>
        </w:rPr>
        <w:t xml:space="preserve">Den selvmodsigende formodning i § 312k, stk. 4, andet punktum, i den tyske civillov (BGB) i udkastet har til formål at facilitere for forbrugeren, som ikke har indsigt i de tekniske processer, der er forbundet med fremsendelsen af opsigelsesskrivelsen, dokumentationen for virksomhedens adgang til opsigelsesbekendtgørelsen.</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Vedrørende § 312k, stk. 5, BGB-E:</w:t>
      </w:r>
    </w:p>
    <w:p w14:paraId="2028DFF1" w14:textId="02BEE66D" w:rsidR="009B3F4B" w:rsidRDefault="00D528F9" w:rsidP="006F0DAE">
      <w:pPr>
        <w:pStyle w:val="Text"/>
        <w:rPr>
          <w:sz w:val="22"/>
        </w:rPr>
      </w:pPr>
      <w:r>
        <w:rPr>
          <w:sz w:val="22"/>
        </w:rPr>
        <w:t xml:space="preserve">§ 312k, stk. 5, i den tyske civillov (BGB) i udkastet har til formål at sikre, at opsigelsen er effektiv, hvis der ikke foreligger andre oplysninger fra forbrugeren, så tidligt som muligt.</w:t>
      </w:r>
      <w:r>
        <w:rPr>
          <w:sz w:val="22"/>
        </w:rPr>
        <w:t xml:space="preserve"> </w:t>
      </w:r>
      <w:r>
        <w:rPr>
          <w:sz w:val="22"/>
        </w:rPr>
        <w:t xml:space="preserve">Men forbrugere og virksomheder kan også sikre, at der ikke er nogen tvivl om dette, ved hjælp af tilsvarende erklæringer eller ved at spørge om opsigelsestidspunktet.</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Vedrørende § 312k, stk. 6, BGB-E:</w:t>
      </w:r>
    </w:p>
    <w:p w14:paraId="231F3872" w14:textId="6E37B134" w:rsidR="00481CA0" w:rsidRDefault="000C76EB" w:rsidP="006F0DAE">
      <w:pPr>
        <w:pStyle w:val="Text"/>
        <w:rPr>
          <w:sz w:val="22"/>
        </w:rPr>
      </w:pPr>
      <w:r>
        <w:rPr>
          <w:sz w:val="22"/>
        </w:rPr>
        <w:t xml:space="preserve">§ 312k, stk. 6, i udkastet indeholder en sanktionsstandard i sagen.</w:t>
      </w:r>
      <w:r>
        <w:rPr>
          <w:sz w:val="22"/>
        </w:rPr>
        <w:t xml:space="preserve"> </w:t>
      </w:r>
      <w:r>
        <w:rPr>
          <w:sz w:val="22"/>
        </w:rPr>
        <w:t xml:space="preserve">Hvis knapperne og bekræftelsessiden ikke gøres tilgængelige i overensstemmelse med stk. 1 og 2, kan en forbruger opsige en kontrakt, for hvis opsigelse disse knapper skal være tilgængelige til enhver tid og uden overholdelse af opsigelsesfristen.</w:t>
      </w:r>
      <w:r>
        <w:rPr>
          <w:sz w:val="22"/>
        </w:rPr>
        <w:t xml:space="preserve"> </w:t>
      </w:r>
      <w:r>
        <w:rPr>
          <w:sz w:val="22"/>
        </w:rPr>
        <w:t xml:space="preserve">Virksomheder, der ikke træffer de i § 312k, stk. 1 og 2, BGB omhandlede forholdsregler i udkastet, skal være omfattet af en tilsvarende opsigelse af kontraktforholdet fra forbrugerens side mod dem.</w:t>
      </w:r>
      <w:r>
        <w:rPr>
          <w:sz w:val="22"/>
        </w:rPr>
        <w:t xml:space="preserve"> </w:t>
      </w:r>
      <w:r>
        <w:rPr>
          <w:sz w:val="22"/>
        </w:rPr>
        <w:t xml:space="preserve">En mildere form for sanktioner synes ikke at være effektiv på samme måde.</w:t>
      </w:r>
      <w:r>
        <w:rPr>
          <w:sz w:val="22"/>
        </w:rPr>
        <w:t xml:space="preserve"> </w:t>
      </w:r>
      <w:r>
        <w:rPr>
          <w:sz w:val="22"/>
        </w:rPr>
        <w:t xml:space="preserve">Hvis virksomheden for så vidt angår § 312j, stk. 3, BGB har et incitament til at gøre den heri beskrevne knap tilgængelig til bekræftelse af indgåelsen af kontrakten, da en kontrakt med forbrugeren ellers ikke træder i kraft i henhold til § 312j, stk. 4, BGB, så mangler et sådant incitament i den omvendte situation, hvor kontrakten opsiges.</w:t>
      </w:r>
      <w:r>
        <w:rPr>
          <w:sz w:val="22"/>
        </w:rPr>
        <w:t xml:space="preserve"> </w:t>
      </w:r>
      <w:r>
        <w:rPr>
          <w:sz w:val="22"/>
        </w:rPr>
        <w:t xml:space="preserve">Derfor bør den virksomhed, der fratager forbrugeren den enkle og ukomplicerede mulighed for opsigelse, der er fastsat ved lov, sanktioneres af forbrugerens mulighed for at opsige aftalen når som helst og uden at overholde en opsigelsesfrist.</w:t>
      </w:r>
      <w:r>
        <w:rPr>
          <w:sz w:val="22"/>
        </w:rPr>
        <w:t xml:space="preserve"> </w:t>
      </w:r>
      <w:r>
        <w:rPr>
          <w:sz w:val="22"/>
        </w:rPr>
        <w:t xml:space="preserve">Kortsigtede tekniske afbrydelser som følge af vedligeholdelsesarbejde er uskadelige i betragtning af forklaringerne i begrundelsen til § 312k, stk. 2, fjerde punktum, BGB i udkastet.</w:t>
      </w:r>
    </w:p>
    <w:p w14:paraId="544C65C8" w14:textId="7048DB19" w:rsidR="00481CA0" w:rsidRDefault="00021C4F" w:rsidP="006F0DAE">
      <w:pPr>
        <w:pStyle w:val="Text"/>
        <w:rPr>
          <w:sz w:val="22"/>
        </w:rPr>
      </w:pPr>
      <w:r>
        <w:rPr>
          <w:sz w:val="22"/>
        </w:rPr>
        <w:t xml:space="preserve">For at betingelserne i § 312k, stk. 6, første punktum, i den tyske civillov (BGB) er opfyldt i udkastet, er forbrugeren forpligtet til at fremlægge oplysninger og dokumentation.</w:t>
      </w:r>
    </w:p>
    <w:p w14:paraId="0861A407" w14:textId="595606B6" w:rsidR="00285780" w:rsidRPr="006F0DAE" w:rsidRDefault="001C5507" w:rsidP="006F0DAE">
      <w:pPr>
        <w:pStyle w:val="Text"/>
        <w:rPr>
          <w:sz w:val="22"/>
        </w:rPr>
      </w:pPr>
      <w:r>
        <w:rPr>
          <w:sz w:val="22"/>
        </w:rPr>
        <w:t xml:space="preserve">Det præciseres i § 312k, stk. 6, andet punktum, i den tyske civillov (BGB), at forbrugerens mulighed for at opsige aftalen ikke berøres.</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Vedrørende artikel 1, nr. 6</w:t>
      </w:r>
    </w:p>
    <w:p w14:paraId="031E74E7" w14:textId="1D6D2F7A" w:rsidR="00D528F9" w:rsidRDefault="00910B03" w:rsidP="00910B03">
      <w:pPr>
        <w:pStyle w:val="Text"/>
        <w:rPr>
          <w:sz w:val="22"/>
        </w:rPr>
      </w:pPr>
      <w:r>
        <w:rPr>
          <w:sz w:val="22"/>
        </w:rPr>
        <w:t xml:space="preserve">Ved at indføje § 312k BGB i udkastet som en opfølgningsændring, § 312k BGB til § 312 l BGB, som beskrevet i begrundelsen til artikel 1, stk. 4, forventes dette at blive indføjet på tidspunktet for forordningsforslagets ikrafttræden.</w:t>
      </w:r>
      <w:r>
        <w:rPr>
          <w:sz w:val="22"/>
        </w:rPr>
        <w:t xml:space="preserve"> </w:t>
      </w:r>
      <w:r>
        <w:rPr>
          <w:sz w:val="22"/>
        </w:rPr>
        <w:t xml:space="preserve">§ 312 l BGB, som også forventes indføjet i lovforslaget om gennemførelse af moderniseringsdirektivet, bliver derfor til § 312 m i den tyske civillov.</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Vedrørende litra b)</w:t>
      </w:r>
    </w:p>
    <w:p w14:paraId="6BCBE8EB" w14:textId="55DABD77" w:rsidR="000F009A" w:rsidRPr="000F009A" w:rsidRDefault="000F009A" w:rsidP="00DA2D64">
      <w:pPr>
        <w:pStyle w:val="Text"/>
        <w:spacing w:before="120" w:after="120"/>
        <w:rPr>
          <w:sz w:val="22"/>
        </w:rPr>
      </w:pPr>
      <w:r>
        <w:rPr>
          <w:sz w:val="22"/>
        </w:rPr>
        <w:t xml:space="preserve">Litra b) indeholder en senere ændring vedrørende nummereringen af artiklerne i lovudkastet.</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Vedrørende nr. 3</w:t>
      </w:r>
    </w:p>
    <w:p w14:paraId="4A814002" w14:textId="6AF38C59" w:rsidR="00A7355E" w:rsidRDefault="000F009A" w:rsidP="000F009A">
      <w:pPr>
        <w:pStyle w:val="Text"/>
        <w:rPr>
          <w:sz w:val="22"/>
        </w:rPr>
      </w:pPr>
      <w:r>
        <w:rPr>
          <w:sz w:val="22"/>
        </w:rPr>
        <w:t xml:space="preserve">Nr. 3 indfører en senere ændring af EFS ved at omarbejde artikel 2 i lovforslaget.</w:t>
      </w:r>
    </w:p>
    <w:p w14:paraId="51AC3A1B" w14:textId="150ECB80" w:rsidR="009F2923" w:rsidRDefault="00A7355E" w:rsidP="002E70FE">
      <w:pPr>
        <w:pStyle w:val="Text"/>
        <w:rPr>
          <w:b/>
          <w:sz w:val="22"/>
          <w:rFonts w:ascii="Arial" w:hAnsi="Arial" w:cs="Arial"/>
        </w:rPr>
      </w:pPr>
      <w:r>
        <w:rPr>
          <w:sz w:val="22"/>
        </w:rPr>
        <w:t xml:space="preserve">Udkastet til lov om gennemførelse af moderniseringsdirektivet forventes at indføre en ny artikel 246e i EGBGB, som i stk. 2, nr. 10, i udkastet til tekst indeholder en henvisning til § 312k BGB, som beskrevet i begrundelsen til punkt 1, litra a) (artikel 1, nr. 4).</w:t>
      </w:r>
      <w:r>
        <w:rPr>
          <w:sz w:val="22"/>
        </w:rPr>
        <w:t xml:space="preserve"> </w:t>
      </w:r>
      <w:r>
        <w:rPr>
          <w:sz w:val="22"/>
        </w:rPr>
        <w:t xml:space="preserve">Denne henvisning skal tilpasses.</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Vedrørende nr. 4</w:t>
      </w:r>
    </w:p>
    <w:p w14:paraId="5DE9D023" w14:textId="63527F64" w:rsidR="00EE546D" w:rsidRPr="00EE546D" w:rsidRDefault="00EE546D" w:rsidP="00EE546D">
      <w:pPr>
        <w:pStyle w:val="Text"/>
        <w:rPr>
          <w:sz w:val="22"/>
        </w:rPr>
      </w:pPr>
      <w:r>
        <w:rPr>
          <w:sz w:val="22"/>
        </w:rPr>
        <w:t xml:space="preserve">Gennemførelsen af kravene til opfyldelse af forpligtelsen i henhold til § 312k BGB i udkastet vil i nogle tilfælde føre til en betydelig organisatorisk og tidsmæssig indsats for virksomhederne.</w:t>
      </w:r>
      <w:r>
        <w:rPr>
          <w:sz w:val="22"/>
        </w:rPr>
        <w:t xml:space="preserve"> </w:t>
      </w:r>
      <w:r>
        <w:rPr>
          <w:sz w:val="22"/>
        </w:rPr>
        <w:t xml:space="preserve">På denne baggrund bør virksomhederne ikke være forpligtet til at gøre dette før den 1. juli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