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7C" w:rsidRPr="00B23501" w:rsidRDefault="0000457C" w:rsidP="0000457C">
      <w:pPr>
        <w:pStyle w:val="12PromKlEinlSatz"/>
        <w:keepNext w:val="0"/>
        <w:spacing w:before="0" w:after="120" w:line="240" w:lineRule="auto"/>
        <w:ind w:firstLine="0"/>
        <w:jc w:val="center"/>
        <w:rPr>
          <w:snapToGrid/>
          <w:rFonts w:ascii="Courier New" w:hAnsi="Courier New"/>
        </w:rPr>
      </w:pPr>
      <w:r>
        <w:rPr>
          <w:snapToGrid/>
          <w:rFonts w:ascii="Courier New" w:hAnsi="Courier New"/>
        </w:rPr>
        <w:t xml:space="preserve">1.</w:t>
      </w:r>
      <w:r>
        <w:rPr>
          <w:snapToGrid/>
          <w:rFonts w:ascii="Courier New" w:hAnsi="Courier New"/>
        </w:rPr>
        <w:t xml:space="preserve"> </w:t>
      </w:r>
      <w:r>
        <w:rPr>
          <w:snapToGrid/>
          <w:rFonts w:ascii="Courier New" w:hAnsi="Courier New"/>
        </w:rPr>
        <w:t xml:space="preserve">------IND- 2019 0280 EE- CS- ------ 20190621 --- --- PROJET</w:t>
      </w:r>
    </w:p>
    <w:p w:rsidR="00E97C8D" w:rsidRPr="000F1F61" w:rsidRDefault="0000457C" w:rsidP="0000457C">
      <w:pPr>
        <w:pStyle w:val="Default"/>
        <w:jc w:val="right"/>
      </w:pPr>
      <w:r>
        <w:t xml:space="preserve">NÁVRH</w:t>
      </w:r>
    </w:p>
    <w:p w:rsidR="00E97C8D" w:rsidRDefault="00E97C8D" w:rsidP="0000457C">
      <w:pPr>
        <w:pStyle w:val="Default"/>
        <w:jc w:val="right"/>
      </w:pPr>
      <w:r>
        <w:t xml:space="preserve">…….2019</w:t>
      </w:r>
    </w:p>
    <w:p w:rsidR="006F0FE1" w:rsidRPr="006F0FE1" w:rsidRDefault="006F0FE1" w:rsidP="0000457C">
      <w:pPr>
        <w:pStyle w:val="Default"/>
        <w:ind w:left="7788"/>
        <w:jc w:val="center"/>
      </w:pPr>
    </w:p>
    <w:p w:rsidR="00DF1C9F" w:rsidRPr="006F0FE1" w:rsidRDefault="00DF1C9F" w:rsidP="0000457C">
      <w:pPr>
        <w:pStyle w:val="eelnupealkiri"/>
        <w:widowControl/>
        <w:rPr>
          <w:szCs w:val="32"/>
        </w:rPr>
      </w:pPr>
      <w:r>
        <w:t xml:space="preserve">Zákon, kterým se mění zákon o tabáku</w:t>
      </w:r>
    </w:p>
    <w:p w:rsidR="00DF1C9F" w:rsidRPr="000F1F61" w:rsidRDefault="00DF1C9F" w:rsidP="0000457C">
      <w:pPr>
        <w:pStyle w:val="muudatustesissejuhatus"/>
        <w:keepNext/>
        <w:keepLines/>
        <w:widowControl/>
      </w:pPr>
      <w:r>
        <w:t xml:space="preserve">Zákon o tabáku se mění takto:</w:t>
      </w:r>
    </w:p>
    <w:p w:rsidR="00DF1C9F" w:rsidRDefault="00DF1C9F" w:rsidP="0000457C">
      <w:pPr>
        <w:pStyle w:val="muutmisksk"/>
        <w:keepNext/>
        <w:keepLines/>
        <w:widowControl/>
      </w:pPr>
      <w:r>
        <w:rPr>
          <w:b/>
        </w:rPr>
        <w:t xml:space="preserve">1)</w:t>
      </w:r>
      <w:r>
        <w:t xml:space="preserve"> § 3 odst. 2 se mění a zní:</w:t>
      </w:r>
    </w:p>
    <w:p w:rsidR="00F3659F" w:rsidRDefault="00F3659F" w:rsidP="0000457C">
      <w:pPr>
        <w:pStyle w:val="muutmisksk"/>
        <w:widowControl/>
      </w:pPr>
      <w:r>
        <w:t xml:space="preserve">„(2) Tabákové výrobky jsou kategorizovány jako výrobky určené ke kouření, jakož i bezdýmné a zahřívané tabákové výrobky.“;</w:t>
      </w:r>
    </w:p>
    <w:p w:rsidR="00CB4A82" w:rsidRDefault="00CB4A82" w:rsidP="0000457C">
      <w:pPr>
        <w:pStyle w:val="muutmisksk"/>
        <w:keepNext/>
        <w:keepLines/>
        <w:widowControl/>
      </w:pPr>
      <w:r>
        <w:rPr>
          <w:b/>
        </w:rPr>
        <w:t xml:space="preserve">2)</w:t>
      </w:r>
      <w:r>
        <w:t xml:space="preserve"> § 3 odst. 4 se mění a zní:</w:t>
      </w:r>
    </w:p>
    <w:p w:rsidR="00F3659F" w:rsidRDefault="00FA49AA" w:rsidP="0000457C">
      <w:pPr>
        <w:pStyle w:val="muutmisksk"/>
        <w:widowControl/>
      </w:pPr>
      <w:r>
        <w:t xml:space="preserve">„(4) Bezdýmný tabákový výrobek je tabákový výrobek (včetně žvýkacího tabáku, šňupacího tabáku a tabáku pro orální užití), který nezahrnuje proces spalování.“;</w:t>
      </w:r>
    </w:p>
    <w:p w:rsidR="00F3659F" w:rsidRDefault="006405C9" w:rsidP="0000457C">
      <w:pPr>
        <w:pStyle w:val="muutmisksk"/>
        <w:keepNext/>
        <w:keepLines/>
        <w:widowControl/>
      </w:pPr>
      <w:r>
        <w:rPr>
          <w:b/>
        </w:rPr>
        <w:t xml:space="preserve">3)</w:t>
      </w:r>
      <w:r>
        <w:t xml:space="preserve"> odstavec 6 se přidává do § 3 a zní:</w:t>
      </w:r>
    </w:p>
    <w:p w:rsidR="00302BE2" w:rsidRDefault="00F3659F" w:rsidP="0000457C">
      <w:pPr>
        <w:pStyle w:val="muutmisksk"/>
        <w:widowControl/>
      </w:pPr>
      <w:r>
        <w:t xml:space="preserve">„(6) Zahřívaný tabákový výrobek je nový tabákový výrobek, který nezahrnuje proces spalování a konzumuje se za použití příslušenství pro zahřívání tabáku.“;</w:t>
      </w:r>
    </w:p>
    <w:p w:rsidR="00B0041E" w:rsidRDefault="006405C9" w:rsidP="0000457C">
      <w:pPr>
        <w:pStyle w:val="muutmisksk"/>
        <w:keepNext/>
        <w:keepLines/>
        <w:widowControl/>
      </w:pPr>
      <w:r>
        <w:rPr>
          <w:b/>
        </w:rPr>
        <w:t xml:space="preserve">4)</w:t>
      </w:r>
      <w:r>
        <w:t xml:space="preserve"> první věta § 8 odst. 5 zní:</w:t>
      </w:r>
    </w:p>
    <w:p w:rsidR="00B0041E" w:rsidRDefault="00B0041E" w:rsidP="0000457C">
      <w:pPr>
        <w:pStyle w:val="muutmisksk"/>
        <w:widowControl/>
      </w:pPr>
      <w:r>
        <w:t xml:space="preserve">„Cigarety, tabák ke kouření pro balení cigaret, jakož i zahřívaný tabákový výrobek nemůže mít charakteristickou chuť.“;</w:t>
      </w:r>
    </w:p>
    <w:p w:rsidR="000C419A" w:rsidRDefault="000C419A" w:rsidP="0000457C">
      <w:pPr>
        <w:pStyle w:val="muutmisksk"/>
        <w:keepNext/>
        <w:keepLines/>
        <w:widowControl/>
      </w:pPr>
      <w:r>
        <w:rPr>
          <w:b/>
        </w:rPr>
        <w:t xml:space="preserve">5)</w:t>
      </w:r>
      <w:r>
        <w:t xml:space="preserve"> první věta § 8 odst. 6 zní:</w:t>
      </w:r>
    </w:p>
    <w:p w:rsidR="000C419A" w:rsidRDefault="000C419A" w:rsidP="0000457C">
      <w:pPr>
        <w:pStyle w:val="muutmisksk"/>
        <w:widowControl/>
      </w:pPr>
      <w:r>
        <w:t xml:space="preserve">„Obsah cigaret, tabáku ke kouření pro balení cigaret, jakož i zahřívaný tabákový výrobek – jako jsou filtry, papírky, krabičky a kapsle – nesmí být ochuceny.“;</w:t>
      </w:r>
    </w:p>
    <w:p w:rsidR="00F3659F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6)</w:t>
      </w:r>
      <w:r>
        <w:t xml:space="preserve"> první věta § 12 odst. 5 zní:</w:t>
      </w:r>
    </w:p>
    <w:p w:rsidR="00F3659F" w:rsidRDefault="002A4570" w:rsidP="0000457C">
      <w:pPr>
        <w:pStyle w:val="muutmisksk"/>
        <w:widowControl/>
      </w:pPr>
      <w:r>
        <w:t xml:space="preserve">„Informace v odstavci 1 tohoto oddílu mohou být uvedeny na nálepkách na primárním obalu a kombinovaném balení tabákového výrobku kromě cigaret a tabáku ke kouření pro balení cigaret.“;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7</w:t>
      </w:r>
      <w:r>
        <w:t xml:space="preserve">) nadpis § 13 se mění a získává toto znění:</w:t>
      </w:r>
    </w:p>
    <w:p w:rsidR="00CB4A82" w:rsidRDefault="00CB4A82" w:rsidP="0000457C">
      <w:pPr>
        <w:pStyle w:val="muutmisksk"/>
        <w:widowControl/>
      </w:pPr>
      <w:r>
        <w:t xml:space="preserve">„</w:t>
      </w:r>
      <w:r>
        <w:rPr>
          <w:b/>
        </w:rPr>
        <w:t xml:space="preserve">§ 13.</w:t>
      </w:r>
      <w:r>
        <w:rPr>
          <w:b/>
        </w:rPr>
        <w:t xml:space="preserve"> </w:t>
      </w:r>
      <w:r>
        <w:rPr>
          <w:b/>
        </w:rPr>
        <w:t xml:space="preserve">Zdravotní varování v případě tabákových výrobků ke kouření</w:t>
      </w:r>
      <w:r>
        <w:t xml:space="preserve">“;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8)</w:t>
      </w:r>
      <w:r>
        <w:t xml:space="preserve"> § 13 odst. 1 se mění a zní:</w:t>
      </w:r>
    </w:p>
    <w:p w:rsidR="00CB4A82" w:rsidRDefault="00CB4A82" w:rsidP="0000457C">
      <w:pPr>
        <w:pStyle w:val="muutmisksk"/>
        <w:widowControl/>
      </w:pPr>
      <w:r>
        <w:t xml:space="preserve">„(1) Zdravotní varování v případě tabákových výrobků ke kouření se dělí na všeobecná varování, informační sdělení a kombinovaná zdravotní varování.“;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9)</w:t>
      </w:r>
      <w:r>
        <w:t xml:space="preserve"> zákon se doplňuje o § 13</w:t>
      </w:r>
      <w:r>
        <w:rPr>
          <w:vertAlign w:val="superscript"/>
        </w:rPr>
        <w:t xml:space="preserve">1</w:t>
      </w:r>
      <w:r>
        <w:t xml:space="preserve"> takto:</w:t>
      </w:r>
    </w:p>
    <w:p w:rsidR="00CB4A82" w:rsidRDefault="00CB4A82" w:rsidP="0000457C">
      <w:pPr>
        <w:pStyle w:val="muutmisksk"/>
        <w:widowControl/>
        <w:rPr>
          <w:b/>
        </w:rPr>
      </w:pPr>
      <w:r>
        <w:t xml:space="preserve">„</w:t>
      </w:r>
      <w:r>
        <w:rPr>
          <w:b/>
        </w:rPr>
        <w:t xml:space="preserve">13</w:t>
      </w:r>
      <w:r>
        <w:rPr>
          <w:b/>
          <w:vertAlign w:val="superscript"/>
        </w:rPr>
        <w:t xml:space="preserve">1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Zdravotní varování v případě zahřívaných tabákových výrobků</w:t>
      </w:r>
    </w:p>
    <w:p w:rsidR="00FA49AA" w:rsidRDefault="00FA49AA" w:rsidP="0000457C">
      <w:pPr>
        <w:pStyle w:val="muutmisksk"/>
        <w:widowControl/>
      </w:pPr>
      <w:r>
        <w:t xml:space="preserve">(1) Každý primární obal a kombinované balení zahřívaného tabákového výrobku bude uvádět následující zdravotní varování:</w:t>
      </w:r>
    </w:p>
    <w:p w:rsidR="00FA49AA" w:rsidRDefault="00FA49AA" w:rsidP="0000457C">
      <w:pPr>
        <w:pStyle w:val="muudetavtekst"/>
      </w:pPr>
      <w:r>
        <w:t xml:space="preserve">„Tento tabákový výrobek poškozuje zdraví a vyvolává závislost.“.</w:t>
      </w:r>
    </w:p>
    <w:p w:rsidR="00FA49AA" w:rsidRDefault="00D5650D" w:rsidP="0000457C">
      <w:pPr>
        <w:pStyle w:val="muutmisksk"/>
        <w:widowControl/>
      </w:pPr>
      <w:r>
        <w:t xml:space="preserve">(2) Zdravotní varování, které je uvedeno v odstavci 1, musí splňovat požadavky uvedené v § 16 odst. 6, 10, 11 a 12 tohoto zákona.</w:t>
      </w:r>
    </w:p>
    <w:p w:rsidR="00FA49AA" w:rsidRDefault="00D5650D" w:rsidP="0000457C">
      <w:pPr>
        <w:pStyle w:val="muutmisksk"/>
        <w:widowControl/>
      </w:pPr>
      <w:r>
        <w:t xml:space="preserve">(3) Kromě ustanovení odstavce 2 tohoto oddílu musí zdravotní varování v případě zahřívaného tabákového výrobku:</w:t>
      </w:r>
    </w:p>
    <w:p w:rsidR="00FA49AA" w:rsidRDefault="00D5650D" w:rsidP="0000457C">
      <w:pPr>
        <w:pStyle w:val="muudetavtekst"/>
      </w:pPr>
      <w:r>
        <w:t xml:space="preserve">1) na kvádrových krabičkách a na jakémkoli kombinovaném balení být souběžné s podélnou hranou primárního obalu nebo kombinovaného balení.</w:t>
      </w:r>
      <w:r>
        <w:t xml:space="preserve"> </w:t>
      </w:r>
      <w:r>
        <w:t xml:space="preserve">Text zdravotních varování se musí nacházet rovnoběžně k hlavnímu textu na povrchu vyhrazeném pro tato varování;</w:t>
      </w:r>
    </w:p>
    <w:p w:rsidR="00FA49AA" w:rsidRDefault="00D5650D" w:rsidP="0000457C">
      <w:pPr>
        <w:pStyle w:val="muudetavtekst"/>
      </w:pPr>
      <w:r>
        <w:t xml:space="preserve">2) být uvedeno na dvou největších plochách primárního obalu a jakéhokoli kombinovaného balení;</w:t>
      </w:r>
    </w:p>
    <w:p w:rsidR="00CB4A82" w:rsidRDefault="00D5650D" w:rsidP="0000457C">
      <w:pPr>
        <w:pStyle w:val="muudetavtekst"/>
      </w:pPr>
      <w:r>
        <w:t xml:space="preserve">3) pokrývat 30 % ploch primárního obalu a jakéhokoli kombinovaného balení.“;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10)</w:t>
      </w:r>
      <w:r>
        <w:t xml:space="preserve"> § 27 odst. 1 se mění a zní:</w:t>
      </w:r>
    </w:p>
    <w:p w:rsidR="00D5650D" w:rsidRDefault="00D5650D" w:rsidP="0000457C">
      <w:pPr>
        <w:pStyle w:val="muutmisksk"/>
        <w:widowControl/>
      </w:pPr>
      <w:r>
        <w:t xml:space="preserve">„(1) Osoba mladší osmnácti let (dále jen:</w:t>
      </w:r>
      <w:r>
        <w:t xml:space="preserve"> </w:t>
      </w:r>
      <w:r>
        <w:rPr>
          <w:i/>
        </w:rPr>
        <w:t xml:space="preserve">nezletilá osoba</w:t>
      </w:r>
      <w:r>
        <w:t xml:space="preserve">) nesmí kouřit nebo používat tabákový výrobek nebo výrobek používaný stejným způsobem jako tabákové výrobky.“;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11)</w:t>
      </w:r>
      <w:r>
        <w:t xml:space="preserve"> § 29 odst. 2 se mění a zní:</w:t>
      </w:r>
    </w:p>
    <w:p w:rsidR="00D5650D" w:rsidRDefault="001B35A3" w:rsidP="0000457C">
      <w:pPr>
        <w:pStyle w:val="muutmisksk"/>
        <w:widowControl/>
      </w:pPr>
      <w:r>
        <w:t xml:space="preserve">„(2) Zákaz stanovený v odstavci 1 tohoto oddílu platí pro elektronickou cigaretu a zahřívaný tabákový výrobek a body 1 a 2 odstavce 1 také pro další výrobky používané stejným způsobem jako tabákové výrobky.“;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12)</w:t>
      </w:r>
      <w:r>
        <w:t xml:space="preserve"> § 30 odst. 5 se mění a zní:</w:t>
      </w:r>
    </w:p>
    <w:p w:rsidR="00D5650D" w:rsidRDefault="009F6B90" w:rsidP="0000457C">
      <w:pPr>
        <w:pStyle w:val="muutmisksk"/>
        <w:widowControl/>
      </w:pPr>
      <w:r>
        <w:t xml:space="preserve">„(5) Omezení stanovené v odstavci 2 tohoto oddílu platí také pro konzumaci elektronických cigaret a zahřívaných tabákových výrobků.“;</w:t>
      </w:r>
    </w:p>
    <w:p w:rsidR="00C3258B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13) </w:t>
      </w:r>
      <w:r>
        <w:t xml:space="preserve">§ 31 se mění a zní:</w:t>
      </w:r>
    </w:p>
    <w:p w:rsidR="00C3258B" w:rsidRPr="00C3258B" w:rsidRDefault="00C3258B" w:rsidP="0000457C">
      <w:pPr>
        <w:pStyle w:val="muutmisksk"/>
        <w:widowControl/>
        <w:rPr>
          <w:b/>
        </w:rPr>
      </w:pPr>
      <w:r>
        <w:t xml:space="preserve">„</w:t>
      </w:r>
      <w:r>
        <w:rPr>
          <w:b/>
        </w:rPr>
        <w:t xml:space="preserve">§ 31.</w:t>
      </w:r>
      <w:r>
        <w:rPr>
          <w:b/>
        </w:rPr>
        <w:t xml:space="preserve"> </w:t>
      </w:r>
      <w:r>
        <w:rPr>
          <w:b/>
        </w:rPr>
        <w:t xml:space="preserve">Kouření a konzumace zahřívaných tabákových výrobků ve stravovacích zařízeních</w:t>
      </w:r>
    </w:p>
    <w:p w:rsidR="00C3258B" w:rsidRDefault="00C3258B" w:rsidP="0000457C">
      <w:pPr>
        <w:pStyle w:val="muutmisksk"/>
        <w:widowControl/>
      </w:pPr>
      <w:r>
        <w:t xml:space="preserve">(1) Ve stravovacích zařízeních je kouření a konzumace zahřívaných tabákových výrobků povoleno pouze ve speciálně uzpůsobených kuřáckých prostorech (kuřárnách) nebo na sezóně provozovaných venkovních zahrádkách v bezprostřední blízkosti stravovacího zařízení.</w:t>
      </w:r>
    </w:p>
    <w:p w:rsidR="00C3258B" w:rsidRDefault="00C3258B" w:rsidP="0000457C">
      <w:pPr>
        <w:pStyle w:val="muutmisksk"/>
        <w:widowControl/>
      </w:pPr>
      <w:r>
        <w:t xml:space="preserve">(2) Kuřárna uvedená v odstavci 1 tohoto oddílu neslouží k podávání jídel, což zahrnuje jejich přípravu a podává ke konzumaci v daných prostorách nebo jejich konzumaci v daných prostorách nebo jejich podávání ke konzumaci v daných prostorách.</w:t>
      </w:r>
    </w:p>
    <w:p w:rsidR="00C3258B" w:rsidRDefault="00C3258B" w:rsidP="0000457C">
      <w:pPr>
        <w:pStyle w:val="muutmisksk"/>
        <w:widowControl/>
      </w:pPr>
      <w:r>
        <w:t xml:space="preserve">(3) Prodejce má právo odmítnout obsloužit osobu, která nedbá zákazů a omezení týkajících se kouření a konzumace zahřívaných tabákových výrobků ve stravovacím zařízení, a požádat ji, aby dané prostory opustila.“;</w:t>
      </w:r>
    </w:p>
    <w:p w:rsidR="009F6B90" w:rsidRDefault="00C3258B" w:rsidP="0000457C">
      <w:pPr>
        <w:pStyle w:val="muutmisksk"/>
        <w:keepNext/>
        <w:keepLines/>
        <w:widowControl/>
      </w:pPr>
      <w:r>
        <w:rPr>
          <w:b/>
        </w:rPr>
        <w:t xml:space="preserve">14)</w:t>
      </w:r>
      <w:r>
        <w:t xml:space="preserve"> text § 47 se mění a zní:</w:t>
      </w:r>
    </w:p>
    <w:p w:rsidR="009F6B90" w:rsidRDefault="009F6B90" w:rsidP="0000457C">
      <w:pPr>
        <w:pStyle w:val="muutmisksk"/>
        <w:widowControl/>
      </w:pPr>
      <w:r>
        <w:t xml:space="preserve">„Kouření nebo konzumace tabákového výrobku nebo výrobku používaného stejným způsobem jako tabákové výrobky nezletilými osobami jsou postižitelné pokutou až ve výši 10 sankčních jednotek.“;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 xml:space="preserve">15)</w:t>
      </w:r>
      <w:r>
        <w:t xml:space="preserve"> text § 49 se mění a zní:</w:t>
      </w:r>
    </w:p>
    <w:p w:rsidR="009C5189" w:rsidRDefault="009C5189" w:rsidP="0000457C">
      <w:pPr>
        <w:pStyle w:val="muutmisksk"/>
        <w:widowControl/>
      </w:pPr>
      <w:r>
        <w:t xml:space="preserve">„Kouření nebo konzumace zahřívaného tabákového výrobku nebo výrobku používaného stejným způsobem jako tabákové výrobky v místě, kde je zakázáno kouření nebo konzumace zahřívaného tabákového výrobku nebo výrobku používaného stejným způsobem jako tabákové výrobky, je postižitelné pokutou až ve výši 20 sankčních jednotek.“;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 xml:space="preserve">16)</w:t>
      </w:r>
      <w:r>
        <w:t xml:space="preserve"> § 50 odst. 1 se mění a zní:</w:t>
      </w:r>
    </w:p>
    <w:p w:rsidR="009C5189" w:rsidRDefault="009C5189" w:rsidP="0000457C">
      <w:pPr>
        <w:pStyle w:val="muutmisksk"/>
        <w:widowControl/>
      </w:pPr>
      <w:r>
        <w:t xml:space="preserve">„(1) Umožnění kouření nebo konzumace zahřívaného tabákového výrobku nebo výrobku používaného stejným způsobem jako tabákové výrobky v místě, kde je ze zákona zakázáno kouření nebo konzumace zahřívaného tabákového výrobku nebo výrobku používaného stejným způsobem jako tabákové výrobky, není povoleno a porušení požadavků na kuřárnu je postižitelné až ve výši 200 sankčních jednotek.“;</w:t>
      </w:r>
    </w:p>
    <w:p w:rsidR="000F1F61" w:rsidRDefault="000F1F61" w:rsidP="0000457C">
      <w:pPr>
        <w:pStyle w:val="muutmisksk"/>
        <w:widowControl/>
      </w:pPr>
      <w:r>
        <w:t xml:space="preserve">Předseda estonského parlamentu</w:t>
      </w:r>
    </w:p>
    <w:p w:rsidR="000F1F61" w:rsidRDefault="000F1F61" w:rsidP="0000457C">
      <w:pPr>
        <w:pStyle w:val="muutmisksk"/>
        <w:widowControl/>
      </w:pPr>
      <w:r>
        <w:t xml:space="preserve">Tallinn, ...........................</w:t>
      </w:r>
      <w:r>
        <w:t xml:space="preserve"> </w:t>
      </w:r>
      <w:r>
        <w:t xml:space="preserve">2019</w:t>
      </w:r>
    </w:p>
    <w:p w:rsidR="000F1F61" w:rsidRPr="000F1F61" w:rsidRDefault="000F1F61" w:rsidP="0000457C">
      <w:pPr>
        <w:pStyle w:val="muutmisksk"/>
        <w:widowControl/>
      </w:pPr>
      <w:r>
        <w:t xml:space="preserve">Z podnětu vlády republiky ze dne....................</w:t>
      </w:r>
      <w:r>
        <w:t xml:space="preserve"> </w:t>
      </w:r>
      <w:r>
        <w:t xml:space="preserve">2019</w:t>
      </w:r>
    </w:p>
    <w:p w:rsidR="000F1F61" w:rsidRPr="000F1F61" w:rsidRDefault="000F1F61" w:rsidP="0000457C">
      <w:pPr>
        <w:pStyle w:val="muutmisksk"/>
        <w:widowControl/>
      </w:pPr>
      <w:r>
        <w:t xml:space="preserve">Elektronický podpis</w:t>
      </w:r>
    </w:p>
    <w:sectPr w:rsidR="000F1F61" w:rsidRPr="000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D1" w:rsidRDefault="004B08D1" w:rsidP="0000457C">
      <w:pPr>
        <w:spacing w:after="0" w:line="240" w:lineRule="auto"/>
      </w:pPr>
      <w:r>
        <w:separator/>
      </w:r>
    </w:p>
  </w:endnote>
  <w:end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D1" w:rsidRDefault="004B08D1" w:rsidP="0000457C">
      <w:pPr>
        <w:spacing w:after="0" w:line="240" w:lineRule="auto"/>
      </w:pPr>
      <w:r>
        <w:separator/>
      </w:r>
    </w:p>
  </w:footnote>
  <w:foot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9F"/>
    <w:rsid w:val="0000457C"/>
    <w:rsid w:val="00056899"/>
    <w:rsid w:val="000707A0"/>
    <w:rsid w:val="00083F9E"/>
    <w:rsid w:val="0009318D"/>
    <w:rsid w:val="000C419A"/>
    <w:rsid w:val="000F1F61"/>
    <w:rsid w:val="00117FE9"/>
    <w:rsid w:val="001A0F14"/>
    <w:rsid w:val="001B35A3"/>
    <w:rsid w:val="0028759C"/>
    <w:rsid w:val="00292FDA"/>
    <w:rsid w:val="002A4570"/>
    <w:rsid w:val="00302BE2"/>
    <w:rsid w:val="00316DFA"/>
    <w:rsid w:val="00342FCA"/>
    <w:rsid w:val="004371FC"/>
    <w:rsid w:val="004628AB"/>
    <w:rsid w:val="004A3CE7"/>
    <w:rsid w:val="004B08D1"/>
    <w:rsid w:val="004E2E5A"/>
    <w:rsid w:val="004F68F8"/>
    <w:rsid w:val="00544F55"/>
    <w:rsid w:val="00576D82"/>
    <w:rsid w:val="006405C9"/>
    <w:rsid w:val="006A413B"/>
    <w:rsid w:val="006F0FE1"/>
    <w:rsid w:val="00702706"/>
    <w:rsid w:val="0074406D"/>
    <w:rsid w:val="00762D57"/>
    <w:rsid w:val="00763AA4"/>
    <w:rsid w:val="00787AB4"/>
    <w:rsid w:val="007B3F29"/>
    <w:rsid w:val="007C37B1"/>
    <w:rsid w:val="00830A4B"/>
    <w:rsid w:val="008C30DF"/>
    <w:rsid w:val="008D1695"/>
    <w:rsid w:val="00917A01"/>
    <w:rsid w:val="00937BD8"/>
    <w:rsid w:val="00952903"/>
    <w:rsid w:val="00982C65"/>
    <w:rsid w:val="00986D51"/>
    <w:rsid w:val="009C5189"/>
    <w:rsid w:val="009F6B90"/>
    <w:rsid w:val="00A228FC"/>
    <w:rsid w:val="00A32CCA"/>
    <w:rsid w:val="00B0041E"/>
    <w:rsid w:val="00BC7517"/>
    <w:rsid w:val="00BD2AD3"/>
    <w:rsid w:val="00C3258B"/>
    <w:rsid w:val="00C57B18"/>
    <w:rsid w:val="00C71875"/>
    <w:rsid w:val="00C71CDF"/>
    <w:rsid w:val="00C74A67"/>
    <w:rsid w:val="00CB4A82"/>
    <w:rsid w:val="00CF6953"/>
    <w:rsid w:val="00D5650D"/>
    <w:rsid w:val="00DD0CD1"/>
    <w:rsid w:val="00DF1C9F"/>
    <w:rsid w:val="00E271A0"/>
    <w:rsid w:val="00E51B56"/>
    <w:rsid w:val="00E97C8D"/>
    <w:rsid w:val="00EA1E2C"/>
    <w:rsid w:val="00EB24C5"/>
    <w:rsid w:val="00F313F5"/>
    <w:rsid w:val="00F3659F"/>
    <w:rsid w:val="00F44C04"/>
    <w:rsid w:val="00F7405A"/>
    <w:rsid w:val="00F757D9"/>
    <w:rsid w:val="00FA49AA"/>
    <w:rsid w:val="00FB29EC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6125-29F7-4644-A7B1-F9BE3CA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Sarapuu</dc:creator>
  <cp:keywords/>
  <dc:description/>
  <cp:lastModifiedBy>DA</cp:lastModifiedBy>
  <cp:revision>3</cp:revision>
  <cp:lastPrinted>2019-03-26T14:28:00Z</cp:lastPrinted>
  <dcterms:created xsi:type="dcterms:W3CDTF">2019-06-14T14:56:00Z</dcterms:created>
  <dcterms:modified xsi:type="dcterms:W3CDTF">2019-06-18T12:34:00Z</dcterms:modified>
</cp:coreProperties>
</file>