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AE84A7" w14:textId="75EF08F9" w:rsidR="00817DDD" w:rsidRPr="00817DDD" w:rsidRDefault="00817DDD" w:rsidP="00817DDD">
      <w:pPr>
        <w:spacing w:after="120"/>
        <w:ind w:right="14"/>
        <w:jc w:val="center"/>
        <w:rPr>
          <w:sz w:val="20"/>
          <w:szCs w:val="20"/>
          <w:rFonts w:ascii="Courier New" w:hAnsi="Courier New" w:cs="Courier New"/>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------IND- 2020 0468 F-- EL- ------ 20200729 --- --- PROJET</w:t>
      </w:r>
    </w:p>
    <w:tbl>
      <w:tblPr>
        <w:tblStyle w:val="1"/>
        <w:tblW w:w="3982" w:type="dxa"/>
        <w:tblInd w:w="0" w:type="dxa"/>
        <w:tblLayout w:type="fixed"/>
        <w:tblLook w:val="0000" w:firstRow="0" w:lastRow="0" w:firstColumn="0" w:lastColumn="0" w:noHBand="0" w:noVBand="0"/>
      </w:tblPr>
      <w:tblGrid>
        <w:gridCol w:w="1527"/>
        <w:gridCol w:w="967"/>
        <w:gridCol w:w="1488"/>
      </w:tblGrid>
      <w:tr w:rsidR="00EF7252" w14:paraId="000CF195" w14:textId="77777777" w:rsidTr="00817DDD">
        <w:tc>
          <w:tcPr>
            <w:tcW w:w="3982" w:type="dxa"/>
            <w:gridSpan w:val="3"/>
            <w:shd w:val="clear" w:color="auto" w:fill="auto"/>
          </w:tcPr>
          <w:p w14:paraId="00000004" w14:textId="77777777" w:rsidR="00EF7252" w:rsidRDefault="007C6B33" w:rsidP="00081B50">
            <w:pPr>
              <w:pBdr>
                <w:top w:val="nil"/>
                <w:left w:val="nil"/>
                <w:bottom w:val="nil"/>
                <w:right w:val="nil"/>
                <w:between w:val="nil"/>
              </w:pBdr>
              <w:jc w:val="center"/>
              <w:rPr>
                <w:b/>
                <w:color w:val="000000"/>
              </w:rPr>
            </w:pPr>
            <w:r>
              <w:rPr>
                <w:b/>
                <w:color w:val="000000"/>
              </w:rPr>
              <w:t xml:space="preserve">ΓΑΛΛΙΚΗ ΔΗΜΟΚΡΑΤΙΑ</w:t>
            </w:r>
          </w:p>
        </w:tc>
      </w:tr>
      <w:tr w:rsidR="00EF7252" w14:paraId="0B9C9F19" w14:textId="77777777" w:rsidTr="00817DDD">
        <w:tc>
          <w:tcPr>
            <w:tcW w:w="1527" w:type="dxa"/>
            <w:shd w:val="clear" w:color="auto" w:fill="auto"/>
          </w:tcPr>
          <w:p w14:paraId="00000007" w14:textId="77777777" w:rsidR="00EF7252" w:rsidRDefault="00EF7252" w:rsidP="00081B50"/>
        </w:tc>
        <w:tc>
          <w:tcPr>
            <w:tcW w:w="967" w:type="dxa"/>
            <w:shd w:val="clear" w:color="auto" w:fill="auto"/>
          </w:tcPr>
          <w:p w14:paraId="00000008" w14:textId="77777777" w:rsidR="00EF7252" w:rsidRDefault="00EF7252" w:rsidP="00081B50"/>
        </w:tc>
        <w:tc>
          <w:tcPr>
            <w:tcW w:w="1488" w:type="dxa"/>
            <w:shd w:val="clear" w:color="auto" w:fill="auto"/>
          </w:tcPr>
          <w:p w14:paraId="00000009" w14:textId="77777777" w:rsidR="00EF7252" w:rsidRDefault="00EF7252" w:rsidP="00081B50"/>
        </w:tc>
      </w:tr>
      <w:tr w:rsidR="00EF7252" w14:paraId="12903DE1" w14:textId="77777777" w:rsidTr="00817DDD">
        <w:tc>
          <w:tcPr>
            <w:tcW w:w="3982" w:type="dxa"/>
            <w:gridSpan w:val="3"/>
            <w:shd w:val="clear" w:color="auto" w:fill="auto"/>
          </w:tcPr>
          <w:p w14:paraId="0000000B" w14:textId="7F1B9FCF" w:rsidR="00EF7252" w:rsidRDefault="007C6B33" w:rsidP="00081B50">
            <w:pPr>
              <w:pBdr>
                <w:top w:val="nil"/>
                <w:left w:val="nil"/>
                <w:bottom w:val="nil"/>
                <w:right w:val="nil"/>
                <w:between w:val="nil"/>
              </w:pBdr>
              <w:spacing w:before="120"/>
              <w:jc w:val="center"/>
              <w:rPr>
                <w:color w:val="000000"/>
              </w:rPr>
            </w:pPr>
            <w:r>
              <w:rPr>
                <w:color w:val="000000"/>
              </w:rPr>
              <w:t xml:space="preserve">Υπουργείο Οικολογικής Μετάβασης Υπουργείο Οικονομίας και Οικονομικών</w:t>
            </w:r>
          </w:p>
        </w:tc>
      </w:tr>
      <w:tr w:rsidR="00EF7252" w14:paraId="42A29FEC" w14:textId="77777777" w:rsidTr="00817DDD">
        <w:tc>
          <w:tcPr>
            <w:tcW w:w="1527" w:type="dxa"/>
            <w:shd w:val="clear" w:color="auto" w:fill="auto"/>
          </w:tcPr>
          <w:p w14:paraId="0000000E" w14:textId="77777777" w:rsidR="00EF7252" w:rsidRDefault="00EF7252" w:rsidP="00081B50"/>
        </w:tc>
        <w:tc>
          <w:tcPr>
            <w:tcW w:w="967" w:type="dxa"/>
            <w:shd w:val="clear" w:color="auto" w:fill="auto"/>
          </w:tcPr>
          <w:p w14:paraId="0000000F" w14:textId="77777777" w:rsidR="00EF7252" w:rsidRDefault="00EF7252" w:rsidP="00081B50"/>
        </w:tc>
        <w:tc>
          <w:tcPr>
            <w:tcW w:w="1488" w:type="dxa"/>
            <w:shd w:val="clear" w:color="auto" w:fill="auto"/>
          </w:tcPr>
          <w:p w14:paraId="00000010" w14:textId="77777777" w:rsidR="00EF7252" w:rsidRDefault="00EF7252" w:rsidP="00081B50"/>
        </w:tc>
      </w:tr>
      <w:tr w:rsidR="00EF7252" w14:paraId="73DDF771" w14:textId="77777777" w:rsidTr="00817DDD">
        <w:tc>
          <w:tcPr>
            <w:tcW w:w="1527" w:type="dxa"/>
            <w:shd w:val="clear" w:color="auto" w:fill="auto"/>
          </w:tcPr>
          <w:p w14:paraId="00000011" w14:textId="77777777" w:rsidR="00EF7252" w:rsidRDefault="00EF7252" w:rsidP="00081B50"/>
        </w:tc>
        <w:tc>
          <w:tcPr>
            <w:tcW w:w="967" w:type="dxa"/>
            <w:shd w:val="clear" w:color="auto" w:fill="auto"/>
          </w:tcPr>
          <w:p w14:paraId="00000012" w14:textId="77777777" w:rsidR="00EF7252" w:rsidRDefault="00EF7252" w:rsidP="00081B50"/>
        </w:tc>
        <w:tc>
          <w:tcPr>
            <w:tcW w:w="1488" w:type="dxa"/>
            <w:shd w:val="clear" w:color="auto" w:fill="auto"/>
          </w:tcPr>
          <w:p w14:paraId="00000013" w14:textId="77777777" w:rsidR="00EF7252" w:rsidRDefault="00EF7252" w:rsidP="00081B50"/>
        </w:tc>
      </w:tr>
    </w:tbl>
    <w:p w14:paraId="00000014" w14:textId="655CC705" w:rsidR="00EF7252" w:rsidRDefault="007C6B33" w:rsidP="00081B50">
      <w:pPr>
        <w:pBdr>
          <w:top w:val="nil"/>
          <w:left w:val="nil"/>
          <w:bottom w:val="nil"/>
          <w:right w:val="nil"/>
          <w:between w:val="nil"/>
        </w:pBdr>
        <w:spacing w:before="720" w:after="120"/>
        <w:jc w:val="center"/>
        <w:rPr>
          <w:b/>
          <w:color w:val="000000"/>
        </w:rPr>
      </w:pPr>
      <w:r>
        <w:rPr>
          <w:b/>
          <w:color w:val="000000"/>
        </w:rPr>
        <w:t xml:space="preserve">Διάταγμα αριθ. 2020-xxx της xx xxx 2020</w:t>
      </w:r>
      <w:r>
        <w:rPr>
          <w:b/>
          <w:color w:val="000000"/>
        </w:rPr>
        <w:br/>
      </w:r>
      <w:r>
        <w:rPr>
          <w:b/>
          <w:color w:val="000000"/>
        </w:rPr>
        <w:t xml:space="preserve">σχετικά με τον δείκτη επισκευασιμότητας του ηλεκτρικού και ηλεκτρονικού εξοπλισμού</w:t>
      </w:r>
    </w:p>
    <w:p w14:paraId="00000015" w14:textId="3A2425A6" w:rsidR="00EF7252" w:rsidRDefault="00817DDD" w:rsidP="00081B50">
      <w:pPr>
        <w:pBdr>
          <w:top w:val="nil"/>
          <w:left w:val="nil"/>
          <w:bottom w:val="nil"/>
          <w:right w:val="nil"/>
          <w:between w:val="nil"/>
        </w:pBdr>
        <w:jc w:val="center"/>
        <w:rPr>
          <w:i/>
          <w:color w:val="000000"/>
        </w:rPr>
      </w:pPr>
      <w:r>
        <w:rPr>
          <w:color w:val="000000"/>
        </w:rPr>
        <w:t xml:space="preserve">ΑΡΙΘ. ΑΝΑΦΟΡΑΣ:</w:t>
      </w:r>
    </w:p>
    <w:p w14:paraId="00000016" w14:textId="334BF5BD" w:rsidR="00EF7252" w:rsidRDefault="007C6B33" w:rsidP="00081B50">
      <w:pPr>
        <w:pBdr>
          <w:top w:val="nil"/>
          <w:left w:val="nil"/>
          <w:bottom w:val="nil"/>
          <w:right w:val="nil"/>
          <w:between w:val="nil"/>
        </w:pBdr>
        <w:spacing w:before="720" w:after="240"/>
        <w:ind w:firstLine="720"/>
        <w:jc w:val="both"/>
        <w:rPr>
          <w:b/>
          <w:i/>
          <w:color w:val="000000"/>
        </w:rPr>
      </w:pPr>
      <w:r>
        <w:rPr>
          <w:i/>
          <w:color w:val="000000"/>
          <w:b/>
          <w:bCs/>
        </w:rPr>
        <w:t xml:space="preserve">Ενδιαφερόμενοι φορείς:</w:t>
      </w:r>
      <w:r>
        <w:rPr>
          <w:i/>
          <w:color w:val="000000"/>
        </w:rPr>
        <w:t xml:space="preserve"> οι παραγωγοί, εισαγωγείς, διανομείς ή άλλοι φορείς που διαθέτουν στην αγορά ηλεκτρικό και ηλεκτρονικό εξοπλισμό και οι πωλητές του εν λόγω εξοπλισμού, καθώς και όσοι χρησιμοποιούν ιστότοπο, πλατφόρμα ή άλλο επιγραμμικό δίαυλο διανομής στο πλαίσιο της εμπορικής τους δραστηριότητας στη Γαλλία.</w:t>
      </w:r>
      <w:r>
        <w:rPr>
          <w:i/>
          <w:color w:val="000000"/>
        </w:rPr>
        <w:t xml:space="preserve"> </w:t>
      </w:r>
    </w:p>
    <w:p w14:paraId="00000017" w14:textId="77777777" w:rsidR="00EF7252" w:rsidRDefault="007C6B33" w:rsidP="00081B50">
      <w:pPr>
        <w:pBdr>
          <w:top w:val="nil"/>
          <w:left w:val="nil"/>
          <w:bottom w:val="nil"/>
          <w:right w:val="nil"/>
          <w:between w:val="nil"/>
        </w:pBdr>
        <w:spacing w:before="120" w:after="240"/>
        <w:ind w:firstLine="720"/>
        <w:jc w:val="both"/>
        <w:rPr>
          <w:b/>
          <w:i/>
          <w:color w:val="000000"/>
        </w:rPr>
      </w:pPr>
      <w:r>
        <w:rPr>
          <w:i/>
          <w:color w:val="000000"/>
          <w:b/>
          <w:bCs/>
        </w:rPr>
        <w:t xml:space="preserve">Αντικείμενο:</w:t>
      </w:r>
      <w:r>
        <w:rPr>
          <w:i/>
          <w:color w:val="000000"/>
        </w:rPr>
        <w:t xml:space="preserve"> όροι εφαρμογής του δείκτη επισκευασιμότητας, όπως ορίζεται στο άρθρο L 541-9-2 του περιβαλλοντικού κώδικα</w:t>
      </w:r>
    </w:p>
    <w:p w14:paraId="00000018" w14:textId="77777777" w:rsidR="00EF7252" w:rsidRDefault="007C6B33" w:rsidP="00081B50">
      <w:pPr>
        <w:pBdr>
          <w:top w:val="nil"/>
          <w:left w:val="nil"/>
          <w:bottom w:val="nil"/>
          <w:right w:val="nil"/>
          <w:between w:val="nil"/>
        </w:pBdr>
        <w:spacing w:before="120" w:after="240"/>
        <w:ind w:firstLine="720"/>
        <w:rPr>
          <w:b/>
          <w:i/>
          <w:color w:val="000000"/>
        </w:rPr>
      </w:pPr>
      <w:r>
        <w:rPr>
          <w:i/>
          <w:color w:val="000000"/>
          <w:b/>
          <w:bCs/>
        </w:rPr>
        <w:t xml:space="preserve">Θέση σε ισχύ:</w:t>
      </w:r>
      <w:r>
        <w:rPr>
          <w:i/>
          <w:color w:val="000000"/>
        </w:rPr>
        <w:t xml:space="preserve"> το κείμενο τίθεται σε ισχύ την 1η Ιανουαρίου 2021.</w:t>
      </w:r>
    </w:p>
    <w:p w14:paraId="00000019" w14:textId="77777777" w:rsidR="00EF7252" w:rsidRDefault="007C6B33" w:rsidP="00081B50">
      <w:pPr>
        <w:pBdr>
          <w:top w:val="nil"/>
          <w:left w:val="nil"/>
          <w:bottom w:val="nil"/>
          <w:right w:val="nil"/>
          <w:between w:val="nil"/>
        </w:pBdr>
        <w:spacing w:before="120" w:after="240"/>
        <w:ind w:firstLine="720"/>
        <w:jc w:val="both"/>
        <w:rPr>
          <w:i/>
          <w:color w:val="000000"/>
        </w:rPr>
      </w:pPr>
      <w:r>
        <w:rPr>
          <w:i/>
          <w:color w:val="000000"/>
          <w:b/>
          <w:bCs/>
        </w:rPr>
        <w:t xml:space="preserve">Σημείωση:</w:t>
      </w:r>
      <w:r>
        <w:rPr>
          <w:i/>
          <w:color w:val="000000"/>
        </w:rPr>
        <w:t xml:space="preserve"> το παρόν διάταγμα ορίζει τους όρους εφαρμογής του άρθρου L 541-9-2 του περιβαλλοντικού κώδικα, που προβλέπει την εφαρμογή του δείκτη επισκευασιμότητας σε ορισμένες κατηγορίες ηλεκτρικού και ηλεκτρονικού εξοπλισμού.</w:t>
      </w:r>
      <w:r>
        <w:rPr>
          <w:i/>
          <w:color w:val="000000"/>
        </w:rPr>
        <w:t xml:space="preserve"> </w:t>
      </w:r>
      <w:r>
        <w:rPr>
          <w:i/>
          <w:color w:val="000000"/>
        </w:rPr>
        <w:t xml:space="preserve">Προσδιορίζει μεταξύ άλλων τα κριτήρια και τον τρόπο υπολογισμού που προβλέπονται για τον καθορισμό του εν λόγω δείκτη.</w:t>
      </w:r>
      <w:r>
        <w:rPr>
          <w:i/>
          <w:color w:val="000000"/>
        </w:rPr>
        <w:t xml:space="preserve"> </w:t>
      </w:r>
      <w:r>
        <w:rPr>
          <w:i/>
          <w:color w:val="000000"/>
        </w:rPr>
        <w:t xml:space="preserve">Οι παραγωγοί και οι εισαγωγείς του συναφούς εξοπλισμού κοινοποιούν χωρίς έξοδα στους διανομείς, καθώς και σε κάθε πρόσωπο που υποβάλει σχετικό αίτημα, τον δείκτη επισκευασιμότητας και τις παραμέτρους υπολογισμού του.</w:t>
      </w:r>
      <w:r>
        <w:rPr>
          <w:i/>
          <w:color w:val="000000"/>
        </w:rPr>
        <w:t xml:space="preserve"> </w:t>
      </w:r>
      <w:r>
        <w:rPr>
          <w:i/>
          <w:color w:val="000000"/>
        </w:rPr>
        <w:t xml:space="preserve">Οι διανομείς, συμπεριλαμβανομένων των διανομέων πώλησης εξ αποστάσεως, ενημερώνουν χωρίς έξοδα τον καταναλωτή, κατά την πραγματοποίηση της αγοράς, με τη μορφή επισήμανσης, ετικέτας, αναγραφής ή με άλλο πρόσφορο μέσο, για τον δείκτη επισκευασιμότητας του σχετικού εξοπλισμού.</w:t>
      </w:r>
    </w:p>
    <w:p w14:paraId="0000001A" w14:textId="77777777" w:rsidR="00EF7252" w:rsidRDefault="007C6B33" w:rsidP="00081B50">
      <w:pPr>
        <w:pBdr>
          <w:top w:val="nil"/>
          <w:left w:val="nil"/>
          <w:bottom w:val="nil"/>
          <w:right w:val="nil"/>
          <w:between w:val="nil"/>
        </w:pBdr>
        <w:spacing w:before="120" w:after="240"/>
        <w:ind w:firstLine="720"/>
        <w:jc w:val="both"/>
        <w:rPr>
          <w:b/>
          <w:color w:val="000000"/>
        </w:rPr>
      </w:pPr>
      <w:r>
        <w:rPr>
          <w:b/>
          <w:bCs/>
          <w:i/>
          <w:iCs/>
          <w:b/>
          <w:bCs/>
          <w:i/>
          <w:iCs/>
        </w:rPr>
        <w:t xml:space="preserve">Παραπομπές</w:t>
      </w:r>
      <w:r>
        <w:rPr>
          <w:b/>
          <w:bCs/>
          <w:i/>
          <w:iCs/>
        </w:rPr>
        <w:t xml:space="preserve">:</w:t>
      </w:r>
      <w:r>
        <w:rPr>
          <w:i/>
          <w:iCs/>
        </w:rPr>
        <w:t xml:space="preserve"> το παρόν διάταγμα διατίθεται στον ιστότοπο Légifrance (</w:t>
      </w:r>
      <w:hyperlink r:id="rId8">
        <w:r>
          <w:rPr>
            <w:i/>
            <w:color w:val="000000"/>
            <w:u w:val="single"/>
          </w:rPr>
          <w:t xml:space="preserve">htpp://www.legifrance.gouv.fr</w:t>
        </w:r>
      </w:hyperlink>
      <w:r>
        <w:rPr>
          <w:i/>
          <w:iCs/>
        </w:rPr>
        <w:t xml:space="preserve">).]</w:t>
      </w:r>
    </w:p>
    <w:p w14:paraId="0000001C" w14:textId="77777777" w:rsidR="00EF7252" w:rsidRDefault="007C6B33" w:rsidP="00081B50">
      <w:pPr>
        <w:pBdr>
          <w:top w:val="nil"/>
          <w:left w:val="nil"/>
          <w:bottom w:val="nil"/>
          <w:right w:val="nil"/>
          <w:between w:val="nil"/>
        </w:pBdr>
        <w:spacing w:before="720" w:after="240"/>
        <w:ind w:firstLine="720"/>
        <w:rPr>
          <w:b/>
          <w:color w:val="000000"/>
        </w:rPr>
      </w:pPr>
      <w:r>
        <w:rPr>
          <w:b/>
          <w:color w:val="000000"/>
        </w:rPr>
        <w:t xml:space="preserve">Ο Πρωθυπουργός,</w:t>
      </w:r>
    </w:p>
    <w:p w14:paraId="0000001D" w14:textId="1AE9E289"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Βάσει της έκθεσης της υπουργού Οικολογικής Μετάβασης και του υπουργού Οικονομίας και Οικονομικών,</w:t>
      </w:r>
    </w:p>
    <w:p w14:paraId="0000001E"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Έχοντας υπόψη την την οδηγία 2008/98/ΕΚ του Ευρωπαϊκού Κοινοβουλίου και του Συμβουλίου της 19ης Νοεμβρίου 2008, για τα απόβλητα και την κατάργηση ορισμένων οδηγιών, όπως τροποποιήθηκε,</w:t>
      </w:r>
    </w:p>
    <w:p w14:paraId="0000001F"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Έχοντας υπόψη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14:paraId="00000020" w14:textId="7BD1B620"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Έχοντας υπόψη τον κώδικα κατανάλωσης, ιδίως το εισαγωγικό του άρθρο που απορρέει από τον νόμο αριθ. 2017-203 της 21ης Φεβρουαρίου 2017 για την κύρωση των κανονιστικών διαταγμάτων αριθ. 2016-301 της 14ης Μαρτίου 2016 και αριθ. 2016-351 της 25ης Μαρτίου 2016,</w:t>
      </w:r>
      <w:r>
        <w:rPr>
          <w:color w:val="000000"/>
        </w:rPr>
        <w:t xml:space="preserve"> </w:t>
      </w:r>
    </w:p>
    <w:p w14:paraId="00000021"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Έχοντας υπόψη τον περιβαλλοντικό κώδικα, ιδίως το άρθρο L. 541-9-2 αυτού που απορρέει από το άρθρο 16 του νόμου αριθ. 2020-105 της 10ης Φεβρουαρίου 2020 σχετικά με την καταπολέμηση της σπατάλης και την κυκλική οικονομία,</w:t>
      </w:r>
    </w:p>
    <w:p w14:paraId="00000022"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Έχοντας υπόψη την κοινοποίηση αριθ. XXXX/XXXX/X προς την Ευρωπαϊκή Επιτροπή κατ’ εφαρμογή της οδηγίας (ΕΕ) 2015/1535,</w:t>
      </w:r>
    </w:p>
    <w:p w14:paraId="00000023"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Κατόπιν γνωμοδότησης του Συμβουλίου της Επικρατείας (τμήμα δημοσίων έργων),</w:t>
      </w:r>
    </w:p>
    <w:p w14:paraId="00000024" w14:textId="77777777" w:rsidR="00EF7252" w:rsidRDefault="007C6B33" w:rsidP="00081B50">
      <w:pPr>
        <w:pBdr>
          <w:top w:val="nil"/>
          <w:left w:val="nil"/>
          <w:bottom w:val="nil"/>
          <w:right w:val="nil"/>
          <w:between w:val="nil"/>
        </w:pBdr>
        <w:spacing w:before="480" w:after="360"/>
        <w:jc w:val="center"/>
        <w:rPr>
          <w:b/>
          <w:color w:val="000000"/>
        </w:rPr>
      </w:pPr>
      <w:r>
        <w:rPr>
          <w:b/>
          <w:color w:val="000000"/>
        </w:rPr>
        <w:t xml:space="preserve">Διατάσσει:</w:t>
      </w:r>
    </w:p>
    <w:p w14:paraId="00000025" w14:textId="77777777" w:rsidR="00EF7252" w:rsidRDefault="007C6B33" w:rsidP="00081B50">
      <w:pPr>
        <w:keepNext/>
        <w:keepLines/>
        <w:pBdr>
          <w:top w:val="nil"/>
          <w:left w:val="nil"/>
          <w:bottom w:val="nil"/>
          <w:right w:val="nil"/>
          <w:between w:val="nil"/>
        </w:pBdr>
        <w:spacing w:after="120"/>
        <w:jc w:val="center"/>
        <w:rPr>
          <w:b/>
          <w:color w:val="000000"/>
        </w:rPr>
      </w:pPr>
      <w:r>
        <w:rPr>
          <w:b/>
          <w:color w:val="000000"/>
        </w:rPr>
        <w:t xml:space="preserve">Άρθρο 1</w:t>
      </w:r>
    </w:p>
    <w:p w14:paraId="00000026" w14:textId="77777777" w:rsidR="00EF7252" w:rsidRDefault="007C6B33" w:rsidP="00081B50">
      <w:pPr>
        <w:pBdr>
          <w:top w:val="nil"/>
          <w:left w:val="nil"/>
          <w:bottom w:val="nil"/>
          <w:right w:val="nil"/>
          <w:between w:val="nil"/>
        </w:pBdr>
        <w:spacing w:after="120"/>
        <w:jc w:val="both"/>
        <w:rPr>
          <w:color w:val="000000"/>
        </w:rPr>
      </w:pPr>
      <w:r>
        <w:rPr>
          <w:color w:val="000000"/>
        </w:rPr>
        <w:t xml:space="preserve">Στον τίτλο IV του βιβλίου V του κανονιστικού μέρους του περιβαλλοντικού κώδικα, προστίθεται ένα κεφάλαιο IV και μια ενότητα 1 με την ακόλουθη διατύπωση:</w:t>
      </w:r>
    </w:p>
    <w:p w14:paraId="00000027" w14:textId="77777777" w:rsidR="00EF7252" w:rsidRDefault="007C6B33" w:rsidP="00081B50">
      <w:pPr>
        <w:pBdr>
          <w:top w:val="nil"/>
          <w:left w:val="nil"/>
          <w:bottom w:val="nil"/>
          <w:right w:val="nil"/>
          <w:between w:val="nil"/>
        </w:pBdr>
        <w:spacing w:after="120"/>
        <w:jc w:val="both"/>
        <w:rPr>
          <w:color w:val="000000"/>
        </w:rPr>
      </w:pPr>
      <w:r>
        <w:rPr>
          <w:color w:val="000000"/>
        </w:rPr>
        <w:t xml:space="preserve">«κεφάλαιο IV</w:t>
      </w:r>
    </w:p>
    <w:p w14:paraId="00000028" w14:textId="77777777" w:rsidR="00EF7252" w:rsidRDefault="007C6B33" w:rsidP="00081B50">
      <w:pPr>
        <w:pBdr>
          <w:top w:val="nil"/>
          <w:left w:val="nil"/>
          <w:bottom w:val="nil"/>
          <w:right w:val="nil"/>
          <w:between w:val="nil"/>
        </w:pBdr>
        <w:spacing w:after="120"/>
        <w:jc w:val="both"/>
        <w:rPr>
          <w:color w:val="000000"/>
        </w:rPr>
      </w:pPr>
      <w:r>
        <w:rPr>
          <w:color w:val="000000"/>
        </w:rPr>
        <w:t xml:space="preserve">«Πληροφορίες για το κοινό όσον αφορά τα προϊόντα έντασης αποβλήτων</w:t>
      </w:r>
    </w:p>
    <w:p w14:paraId="00000029" w14:textId="77777777" w:rsidR="00EF7252" w:rsidRDefault="007C6B33" w:rsidP="00081B50">
      <w:pPr>
        <w:pBdr>
          <w:top w:val="nil"/>
          <w:left w:val="nil"/>
          <w:bottom w:val="nil"/>
          <w:right w:val="nil"/>
          <w:between w:val="nil"/>
        </w:pBdr>
        <w:spacing w:after="120"/>
        <w:jc w:val="both"/>
        <w:rPr>
          <w:color w:val="000000"/>
        </w:rPr>
      </w:pPr>
      <w:r>
        <w:rPr>
          <w:color w:val="000000"/>
        </w:rPr>
        <w:t xml:space="preserve">«ενότητα 1</w:t>
      </w:r>
    </w:p>
    <w:p w14:paraId="0000002A" w14:textId="77777777" w:rsidR="00EF7252" w:rsidRDefault="007C6B33" w:rsidP="00081B50">
      <w:pPr>
        <w:pBdr>
          <w:top w:val="nil"/>
          <w:left w:val="nil"/>
          <w:bottom w:val="nil"/>
          <w:right w:val="nil"/>
          <w:between w:val="nil"/>
        </w:pBdr>
        <w:spacing w:after="120"/>
        <w:jc w:val="both"/>
        <w:rPr>
          <w:color w:val="000000"/>
        </w:rPr>
      </w:pPr>
      <w:r>
        <w:rPr>
          <w:color w:val="000000"/>
        </w:rPr>
        <w:t xml:space="preserve">«Απεικόνιση του δείκτη επισκευασιμότητας</w:t>
      </w:r>
    </w:p>
    <w:p w14:paraId="0000002B" w14:textId="77777777" w:rsidR="00EF7252" w:rsidRDefault="00EF7252" w:rsidP="00081B50">
      <w:pPr>
        <w:pBdr>
          <w:top w:val="nil"/>
          <w:left w:val="nil"/>
          <w:bottom w:val="nil"/>
          <w:right w:val="nil"/>
          <w:between w:val="nil"/>
        </w:pBdr>
        <w:spacing w:after="120"/>
        <w:jc w:val="both"/>
        <w:rPr>
          <w:color w:val="000000"/>
        </w:rPr>
      </w:pPr>
    </w:p>
    <w:p w14:paraId="0000002C" w14:textId="77777777" w:rsidR="00EF7252" w:rsidRDefault="007C6B33" w:rsidP="00081B50">
      <w:pPr>
        <w:pBdr>
          <w:top w:val="nil"/>
          <w:left w:val="nil"/>
          <w:bottom w:val="nil"/>
          <w:right w:val="nil"/>
          <w:between w:val="nil"/>
        </w:pBdr>
        <w:spacing w:after="120"/>
        <w:jc w:val="both"/>
        <w:rPr>
          <w:color w:val="000000"/>
        </w:rPr>
      </w:pPr>
      <w:bookmarkStart w:id="1" w:name="_heading=h.gjdgxs"/>
      <w:bookmarkEnd w:id="1"/>
      <w:r>
        <w:rPr>
          <w:color w:val="000000"/>
        </w:rPr>
        <w:t xml:space="preserve">«Άρθρο R 544-1.- Ο δείκτης επισκευασιμότητας του ηλεκτρικού και ηλεκτρονικού εξοπλισμού, όπως ορίζεται στο άρθρο L. 541-9-2 του περιβαλλοντικού κώδικα, συνίσταται σε βαθμολογία στα δέκα που γνωστοποιείται στους καταναλωτές κατά την αγορά καινούριου εξοπλισμού.</w:t>
      </w:r>
    </w:p>
    <w:p w14:paraId="0000002D" w14:textId="277E27B0" w:rsidR="00EF7252" w:rsidRDefault="007C6B33" w:rsidP="00081B50">
      <w:pPr>
        <w:pBdr>
          <w:top w:val="nil"/>
          <w:left w:val="nil"/>
          <w:bottom w:val="nil"/>
          <w:right w:val="nil"/>
          <w:between w:val="nil"/>
        </w:pBdr>
        <w:spacing w:after="120"/>
        <w:jc w:val="both"/>
        <w:rPr>
          <w:color w:val="000000"/>
        </w:rPr>
      </w:pPr>
      <w:r>
        <w:rPr>
          <w:color w:val="000000"/>
        </w:rPr>
        <w:t xml:space="preserve">«Ο εν λόγω δείκτης κάνει αναφορά σε κάθε μοντέλο του εν λόγω εξοπλισμού.</w:t>
      </w:r>
      <w:r>
        <w:rPr>
          <w:color w:val="000000"/>
        </w:rPr>
        <w:t xml:space="preserve"> </w:t>
      </w:r>
    </w:p>
    <w:p w14:paraId="0000002E" w14:textId="77777777" w:rsidR="00EF7252" w:rsidRDefault="00EF7252" w:rsidP="00081B50">
      <w:pPr>
        <w:pBdr>
          <w:top w:val="nil"/>
          <w:left w:val="nil"/>
          <w:bottom w:val="nil"/>
          <w:right w:val="nil"/>
          <w:between w:val="nil"/>
        </w:pBdr>
        <w:spacing w:after="120"/>
        <w:jc w:val="both"/>
        <w:rPr>
          <w:color w:val="000000"/>
        </w:rPr>
      </w:pPr>
    </w:p>
    <w:p w14:paraId="0000002F"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 xml:space="preserve">«Άρθρο R 544-2.- Για τους σκοπούς του παρόντος διατάγματος:</w:t>
      </w:r>
    </w:p>
    <w:p w14:paraId="00000030" w14:textId="77777777" w:rsidR="00EF7252" w:rsidRDefault="007C6B33" w:rsidP="00081B50">
      <w:pPr>
        <w:pBdr>
          <w:top w:val="nil"/>
          <w:left w:val="nil"/>
          <w:bottom w:val="nil"/>
          <w:right w:val="nil"/>
          <w:between w:val="nil"/>
        </w:pBdr>
        <w:spacing w:after="120"/>
        <w:jc w:val="both"/>
        <w:rPr>
          <w:color w:val="000000"/>
        </w:rPr>
      </w:pPr>
      <w:r>
        <w:rPr>
          <w:color w:val="000000"/>
        </w:rPr>
        <w:t xml:space="preserve">«1 ως «Διάθεση στην αγορά» νοείται κάθε προμήθεια, στο πλαίσιο εμπορικής δραστηριότητας, ηλεκτρικού ή ηλεκτρονικού εξοπλισμού προοριζόμενου για διανομή ή χρήση στην εθνική αγορά επί πληρωμή ή δωρεάν·</w:t>
      </w:r>
    </w:p>
    <w:p w14:paraId="00000031" w14:textId="77777777" w:rsidR="00EF7252" w:rsidRDefault="007C6B33" w:rsidP="00081B50">
      <w:pPr>
        <w:pBdr>
          <w:top w:val="nil"/>
          <w:left w:val="nil"/>
          <w:bottom w:val="nil"/>
          <w:right w:val="nil"/>
          <w:between w:val="nil"/>
        </w:pBdr>
        <w:spacing w:after="120"/>
        <w:jc w:val="both"/>
        <w:rPr>
          <w:color w:val="000000"/>
        </w:rPr>
      </w:pPr>
      <w:r>
        <w:rPr>
          <w:color w:val="000000"/>
        </w:rPr>
        <w:t xml:space="preserve">«2 ως «Κυκλοφορία στην αγορά» νοείται η πρώτη διάθεση ηλεκτρικού ή ηλεκτρονικού εξοπλισμού στην εθνική αγορά·</w:t>
      </w:r>
    </w:p>
    <w:p w14:paraId="00000032" w14:textId="77777777" w:rsidR="00EF7252" w:rsidRDefault="007C6B33" w:rsidP="00081B50">
      <w:pPr>
        <w:pBdr>
          <w:top w:val="nil"/>
          <w:left w:val="nil"/>
          <w:bottom w:val="nil"/>
          <w:right w:val="nil"/>
          <w:between w:val="nil"/>
        </w:pBdr>
        <w:spacing w:after="120"/>
        <w:jc w:val="both"/>
        <w:rPr>
          <w:color w:val="000000"/>
        </w:rPr>
      </w:pPr>
      <w:r>
        <w:rPr>
          <w:color w:val="000000"/>
        </w:rPr>
        <w:t xml:space="preserve">«3 ως «Παραγωγός» νοείται κάθε φυσικό ή νομικό πρόσωπο που κατασκευάζει ηλεκτρικό ή ηλεκτρονικό εξοπλισμό, ή μεριμνά για τον σχεδιασμό του, και τον εμπορεύεται υπό τη δική του επωνυμία ή το δικό του εμπορικό σήμα·</w:t>
      </w:r>
    </w:p>
    <w:p w14:paraId="00000033" w14:textId="19CACFEF" w:rsidR="00EF7252" w:rsidRDefault="007C6B33" w:rsidP="00081B50">
      <w:pPr>
        <w:pBdr>
          <w:top w:val="nil"/>
          <w:left w:val="nil"/>
          <w:bottom w:val="nil"/>
          <w:right w:val="nil"/>
          <w:between w:val="nil"/>
        </w:pBdr>
        <w:spacing w:after="120"/>
        <w:jc w:val="both"/>
        <w:rPr>
          <w:color w:val="000000"/>
        </w:rPr>
      </w:pPr>
      <w:r>
        <w:rPr>
          <w:color w:val="000000"/>
        </w:rPr>
        <w:t xml:space="preserve">«4 ως «Εισαγωγέας» νοείται κάθε φυσικό ή νομικό πρόσωπο που διαθέτει στην εθνική αγορά ηλεκτρικό ή ηλεκτρονικό εξοπλισμό προερχόμενο από κράτη μέλη της Ευρωπαϊκής Ένωσης ή τρίτη χώρα·</w:t>
      </w:r>
    </w:p>
    <w:p w14:paraId="00000034" w14:textId="08141F57" w:rsidR="00EF7252" w:rsidRDefault="007C6B33" w:rsidP="00081B50">
      <w:pPr>
        <w:pBdr>
          <w:top w:val="nil"/>
          <w:left w:val="nil"/>
          <w:bottom w:val="nil"/>
          <w:right w:val="nil"/>
          <w:between w:val="nil"/>
        </w:pBdr>
        <w:spacing w:after="120"/>
        <w:jc w:val="both"/>
        <w:rPr>
          <w:color w:val="000000"/>
        </w:rPr>
      </w:pPr>
      <w:r>
        <w:rPr>
          <w:color w:val="000000"/>
        </w:rPr>
        <w:t xml:space="preserve">«5 ως «Διανομέας» νοείται κάθε φυσικό ή νομικό πρόσωπο που αποτελεί μέρος της αλυσίδας εφοδιασμού, εκτός του παραγωγού ή του εισαγωγέα, που προτείνει προς πώληση ηλεκτρικό ή ηλεκτρονικό εξοπλισμό στην εθνική αγορά·</w:t>
      </w:r>
    </w:p>
    <w:p w14:paraId="00000035" w14:textId="77777777" w:rsidR="00EF7252" w:rsidRDefault="007C6B33" w:rsidP="00081B50">
      <w:pPr>
        <w:pBdr>
          <w:top w:val="nil"/>
          <w:left w:val="nil"/>
          <w:bottom w:val="nil"/>
          <w:right w:val="nil"/>
          <w:between w:val="nil"/>
        </w:pBdr>
        <w:spacing w:after="120"/>
        <w:jc w:val="both"/>
        <w:rPr>
          <w:color w:val="000000"/>
        </w:rPr>
      </w:pPr>
      <w:r>
        <w:rPr>
          <w:color w:val="000000"/>
        </w:rPr>
        <w:t xml:space="preserve">«6 ως «Πωλητής» νοείται κάθε φυσικό ή νομικό πρόσωπο το οποίο, στο πλαίσιο εμπορικής δραστηριότητας, διαθέτει στην αγορά πωλώντας, μεταξύ άλλων εξ αποστάσεως, ηλεκτρικό ή ηλεκτρονικό εξοπλισμό στους καταναλωτές·</w:t>
      </w:r>
      <w:r>
        <w:rPr>
          <w:color w:val="000000"/>
        </w:rPr>
        <w:t xml:space="preserve"> </w:t>
      </w:r>
    </w:p>
    <w:p w14:paraId="00000036" w14:textId="77777777" w:rsidR="00EF7252" w:rsidRDefault="007C6B33" w:rsidP="00081B50">
      <w:pPr>
        <w:pBdr>
          <w:top w:val="nil"/>
          <w:left w:val="nil"/>
          <w:bottom w:val="nil"/>
          <w:right w:val="nil"/>
          <w:between w:val="nil"/>
        </w:pBdr>
        <w:spacing w:after="120"/>
        <w:jc w:val="both"/>
        <w:rPr>
          <w:b/>
          <w:color w:val="000000"/>
        </w:rPr>
      </w:pPr>
      <w:r>
        <w:rPr>
          <w:color w:val="000000"/>
        </w:rPr>
        <w:t xml:space="preserve">«7 ως «Πώληση εξ αποστάσεως» νοείται σύμβαση που συνάπτεται μεταξύ επαγγελματία πωλητή και καταναλωτή, στο πλαίσιο οργανωμένου συστήματος πώλησης, χωρίς ταυτόχρονη φυσική παρουσία του επαγγελματία και του καταναλωτή, αποκλειστικά και μόνο με τη χρήση μίας ή περισσότερων τεχνικών επικοινωνίας εξ αποστάσεως μέχρι τη σύναψη της σύμβασης»·</w:t>
      </w:r>
    </w:p>
    <w:p w14:paraId="00000037" w14:textId="77777777" w:rsidR="00EF7252" w:rsidRDefault="007C6B33" w:rsidP="00081B50">
      <w:pPr>
        <w:pBdr>
          <w:top w:val="nil"/>
          <w:left w:val="nil"/>
          <w:bottom w:val="nil"/>
          <w:right w:val="nil"/>
          <w:between w:val="nil"/>
        </w:pBdr>
        <w:spacing w:after="120"/>
        <w:jc w:val="both"/>
        <w:rPr>
          <w:color w:val="000000"/>
        </w:rPr>
      </w:pPr>
      <w:r>
        <w:rPr>
          <w:color w:val="000000"/>
        </w:rPr>
        <w:t xml:space="preserve">«8 ως «Μοντέλο» νοείται μια έκδοση εξοπλισμού του οποίου όλα τα τεμάχια έχουν τα ίδια τεχνικά χαρακτηριστικά αναφορικά με τους σκοπούς του υπολογισμού του δείκτη επισκευασιμότητας.</w:t>
      </w:r>
    </w:p>
    <w:p w14:paraId="00000038" w14:textId="77777777" w:rsidR="00EF7252" w:rsidRDefault="00EF7252" w:rsidP="00081B50">
      <w:pPr>
        <w:pBdr>
          <w:top w:val="nil"/>
          <w:left w:val="nil"/>
          <w:bottom w:val="nil"/>
          <w:right w:val="nil"/>
          <w:between w:val="nil"/>
        </w:pBdr>
        <w:spacing w:after="120"/>
        <w:jc w:val="both"/>
        <w:rPr>
          <w:color w:val="000000"/>
        </w:rPr>
      </w:pPr>
    </w:p>
    <w:p w14:paraId="0000003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 xml:space="preserve">«Άρθρο 544-3.-</w:t>
      </w:r>
    </w:p>
    <w:p w14:paraId="23CD9B35" w14:textId="77777777" w:rsidR="00081B50" w:rsidRDefault="007C6B33" w:rsidP="00081B50">
      <w:pPr>
        <w:pBdr>
          <w:top w:val="nil"/>
          <w:left w:val="nil"/>
          <w:bottom w:val="nil"/>
          <w:right w:val="nil"/>
          <w:between w:val="nil"/>
        </w:pBdr>
        <w:spacing w:after="120"/>
        <w:jc w:val="both"/>
        <w:rPr>
          <w:color w:val="000000"/>
        </w:rPr>
      </w:pPr>
      <w:r>
        <w:rPr>
          <w:color w:val="000000"/>
        </w:rPr>
        <w:t xml:space="preserve">«I.- Οι παραγωγοί ή εισαγωγείς καταρτίζουν για τον ηλεκτρικό ή ηλεκτρονικό εξοπλισμό που διαθέτουν στην αγορά, τον δείκτη επισκευασιμότητας, καθώς και τις παραμέτρους που επέτρεψαν τον προσδιορισμό του σύμφωνα με τους όρους που προσδιορίζονται με διάταγμα.</w:t>
      </w:r>
    </w:p>
    <w:p w14:paraId="0000003C" w14:textId="02B801ED" w:rsidR="00EF7252" w:rsidRDefault="007C6B33" w:rsidP="00081B50">
      <w:pPr>
        <w:pBdr>
          <w:top w:val="nil"/>
          <w:left w:val="nil"/>
          <w:bottom w:val="nil"/>
          <w:right w:val="nil"/>
          <w:between w:val="nil"/>
        </w:pBdr>
        <w:spacing w:after="120"/>
        <w:jc w:val="both"/>
        <w:rPr>
          <w:color w:val="000000"/>
        </w:rPr>
      </w:pPr>
      <w:r>
        <w:rPr>
          <w:color w:val="000000"/>
        </w:rPr>
        <w:t xml:space="preserve">«II.- Οι παραγωγοί και οι εισαγωγείς κοινοποιούν χωρίς έξοδα και υπό άυλο μορφότυπο στους διανομείς ή τους πωλητές κατά την αντιστοίχιση και την παράδοση του ηλεκτρικού και ηλεκτρονικού εξοπλισμού για κάθε μοντέλο εξοπλισμού που κυκλοφορεί στην αγορά:</w:t>
      </w:r>
    </w:p>
    <w:p w14:paraId="0000003D" w14:textId="2E1C1C4A" w:rsidR="00EF7252" w:rsidRDefault="007C6B33" w:rsidP="00081B50">
      <w:pPr>
        <w:pBdr>
          <w:top w:val="nil"/>
          <w:left w:val="nil"/>
          <w:bottom w:val="nil"/>
          <w:right w:val="nil"/>
          <w:between w:val="nil"/>
        </w:pBdr>
        <w:spacing w:after="120"/>
        <w:jc w:val="both"/>
        <w:rPr>
          <w:color w:val="000000"/>
        </w:rPr>
      </w:pPr>
      <w:r>
        <w:rPr>
          <w:color w:val="000000"/>
        </w:rPr>
        <w:t xml:space="preserve">«α) τον δείκτη επισκευασιμότητας σύμφωνα με τους όρους και τη σήμανση που προβλέπονται δυνάμει διατάγματος.</w:t>
      </w:r>
    </w:p>
    <w:p w14:paraId="0000003E" w14:textId="433562A7" w:rsidR="00EF7252" w:rsidRDefault="00535D26" w:rsidP="00081B50">
      <w:pPr>
        <w:pBdr>
          <w:top w:val="nil"/>
          <w:left w:val="nil"/>
          <w:bottom w:val="nil"/>
          <w:right w:val="nil"/>
          <w:between w:val="nil"/>
        </w:pBdr>
        <w:spacing w:after="120"/>
        <w:jc w:val="both"/>
        <w:rPr>
          <w:color w:val="000000"/>
        </w:rPr>
      </w:pPr>
      <w:r>
        <w:rPr>
          <w:color w:val="000000"/>
        </w:rPr>
        <w:t xml:space="preserve">«β) τις παραμέτρους που κατάστησαν δυνατό τον καθορισμό του δείκτη επισκευασιμότητας, σύμφωνα με τον μορφότυπο που προβλέπεται δυνάμει διατάγματος.</w:t>
      </w:r>
      <w:r>
        <w:rPr>
          <w:color w:val="000000"/>
        </w:rPr>
        <w:t xml:space="preserve"> </w:t>
      </w:r>
    </w:p>
    <w:p w14:paraId="0000003F" w14:textId="77777777" w:rsidR="00EF7252" w:rsidRDefault="007C6B33" w:rsidP="00081B50">
      <w:pPr>
        <w:pBdr>
          <w:top w:val="nil"/>
          <w:left w:val="nil"/>
          <w:bottom w:val="nil"/>
          <w:right w:val="nil"/>
          <w:between w:val="nil"/>
        </w:pBdr>
        <w:spacing w:after="120"/>
        <w:jc w:val="both"/>
        <w:rPr>
          <w:color w:val="000000"/>
        </w:rPr>
      </w:pPr>
      <w:r>
        <w:rPr>
          <w:color w:val="000000"/>
        </w:rPr>
        <w:t xml:space="preserve">«III.- Όταν δεν ταυτίζεται με τον πωλητή, ο διανομέας κοινοποιεί χωρίς έξοδα με τις ίδιες προϋποθέσεις που αναφέρονται στα στοιχεία α) και β) τον δείκτη και τις παραμέτρους υπολογισμού του στον πωλητή κατά την αντιστοίχιση και την παράδοση του ηλεκτρικού και ηλεκτρονικού εξοπλισμού.</w:t>
      </w:r>
    </w:p>
    <w:p w14:paraId="00000040" w14:textId="5D5D04B5" w:rsidR="00EF7252" w:rsidRDefault="007C6B33" w:rsidP="00081B50">
      <w:pPr>
        <w:pBdr>
          <w:top w:val="nil"/>
          <w:left w:val="nil"/>
          <w:bottom w:val="nil"/>
          <w:right w:val="nil"/>
          <w:between w:val="nil"/>
        </w:pBdr>
        <w:spacing w:after="120"/>
        <w:jc w:val="both"/>
        <w:rPr>
          <w:color w:val="000000"/>
        </w:rPr>
      </w:pPr>
      <w:r>
        <w:rPr>
          <w:color w:val="000000"/>
        </w:rPr>
        <w:t xml:space="preserve">«IV.- Ο δείκτης μπορεί επιπροσθέτως να επικολλάται απευθείας σε κάθε μονάδα μοντέλου ή στη συσκευασία ως ετικέτα ή επισήμανση, τηρώντας την προβλεπόμενη με διάταγμα σήμανση.</w:t>
      </w:r>
    </w:p>
    <w:p w14:paraId="00000041" w14:textId="7B50DCAD" w:rsidR="00EF7252" w:rsidRDefault="00535D26" w:rsidP="00081B50">
      <w:pPr>
        <w:pBdr>
          <w:top w:val="nil"/>
          <w:left w:val="nil"/>
          <w:bottom w:val="nil"/>
          <w:right w:val="nil"/>
          <w:between w:val="nil"/>
        </w:pBdr>
        <w:spacing w:after="120"/>
        <w:jc w:val="both"/>
        <w:rPr>
          <w:color w:val="000000"/>
        </w:rPr>
      </w:pPr>
      <w:r>
        <w:rPr>
          <w:color w:val="000000"/>
        </w:rPr>
        <w:t xml:space="preserve">«V.- Οι πληροφορίες που αναφέρονται στην παράγραφο 2 κοινοποιούνται χωρίς έξοδα από τους παραγωγούς και τους εισαγωγείς, εντός προθεσμίας 15 ημερών, σε κάθε πρόσωπο που υποβάλει σχετικό αίτημα για περίοδο δύο ετών κατ’ ελάχιστον μετά την κυκλοφορία του τελευταίου τεμαχίου ενός μοντέλου εξοπλισμού στην αγορά.</w:t>
      </w:r>
    </w:p>
    <w:p w14:paraId="00000042" w14:textId="77777777" w:rsidR="00EF7252" w:rsidRDefault="00EF7252" w:rsidP="00081B50">
      <w:pPr>
        <w:pBdr>
          <w:top w:val="nil"/>
          <w:left w:val="nil"/>
          <w:bottom w:val="nil"/>
          <w:right w:val="nil"/>
          <w:between w:val="nil"/>
        </w:pBdr>
        <w:spacing w:after="120"/>
        <w:jc w:val="both"/>
        <w:rPr>
          <w:strike/>
          <w:color w:val="000000"/>
        </w:rPr>
      </w:pPr>
    </w:p>
    <w:p w14:paraId="00000043"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 xml:space="preserve">«Άρθρο 544-4.-</w:t>
      </w:r>
    </w:p>
    <w:p w14:paraId="00000044"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Όταν ο ηλεκτρικός ή ηλεκτρονικός εξοπλισμός προτείνεται για πώληση σε κατάστημα, ο πωλητής μεριμνά ώστε να εμφαίνεται, σύμφωνα με τους όρους και την προβλεπόμενη με διάταγμα σήμανση, ο δείκτης επισκευασιμότητας που παρέχεται από τον παραγωγό ή τον εισαγωγέα, σε περίοπτη θέση επί του προτεινόμενου εξοπλισμού ή σε άμεση γειτνίαση με αυτόν.</w:t>
      </w:r>
      <w:r>
        <w:rPr>
          <w:color w:val="000000"/>
        </w:rPr>
        <w:t xml:space="preserve"> </w:t>
      </w:r>
    </w:p>
    <w:p w14:paraId="00000045" w14:textId="5D2DF6CE" w:rsidR="00EF7252" w:rsidRDefault="007C6B33" w:rsidP="00081B50">
      <w:pPr>
        <w:pBdr>
          <w:top w:val="nil"/>
          <w:left w:val="nil"/>
          <w:bottom w:val="nil"/>
          <w:right w:val="nil"/>
          <w:between w:val="nil"/>
        </w:pBdr>
        <w:spacing w:after="120"/>
        <w:jc w:val="both"/>
        <w:rPr>
          <w:color w:val="000000"/>
        </w:rPr>
      </w:pPr>
      <w:r>
        <w:rPr>
          <w:color w:val="000000"/>
        </w:rPr>
        <w:t xml:space="preserve">«II.- Όταν ο ηλεκτρικός ή ηλεκτρονικός εξοπλισμός προτείνεται για πώληση στο πλαίσιο πώλησης εξ αποστάσεως, ο πωλητής τοποθετεί τον δείκτη επισκευασιμότητας σε περίοπτη θέση στην παρουσίαση του εξοπλισμού ή κοντά στην τιμή, σύμφωνα με τους όρους και την προβλεπόμενη με διάταγμα σήμανση.</w:t>
      </w:r>
    </w:p>
    <w:p w14:paraId="00000046" w14:textId="77777777" w:rsidR="00EF7252" w:rsidRDefault="007C6B33" w:rsidP="00081B50">
      <w:pPr>
        <w:pBdr>
          <w:top w:val="nil"/>
          <w:left w:val="nil"/>
          <w:bottom w:val="nil"/>
          <w:right w:val="nil"/>
          <w:between w:val="nil"/>
        </w:pBdr>
        <w:spacing w:after="120"/>
        <w:jc w:val="both"/>
        <w:rPr>
          <w:color w:val="000000"/>
        </w:rPr>
      </w:pPr>
      <w:r>
        <w:rPr>
          <w:color w:val="000000"/>
        </w:rPr>
        <w:t xml:space="preserve">«III.- Ο πωλητής θέτει εξίσου στη διάθεση των καταναλωτών τις παραμέτρους που επέτρεψαν τον καθορισμό του δείκτη επισκευασιμότητας του εξοπλισμού, σύμφωνα με τον προβλεπόμενο με διάταγμα μορφότυπο, με κάθε πρόσφορο τρόπο.</w:t>
      </w:r>
    </w:p>
    <w:p w14:paraId="773EA3DE" w14:textId="77777777" w:rsidR="00081B50" w:rsidRDefault="00081B50" w:rsidP="00081B50">
      <w:pPr>
        <w:pBdr>
          <w:top w:val="nil"/>
          <w:left w:val="nil"/>
          <w:bottom w:val="nil"/>
          <w:right w:val="nil"/>
          <w:between w:val="nil"/>
        </w:pBdr>
        <w:spacing w:after="120"/>
        <w:jc w:val="both"/>
        <w:rPr>
          <w:color w:val="000000"/>
        </w:rPr>
      </w:pPr>
    </w:p>
    <w:p w14:paraId="00000047" w14:textId="197437DE" w:rsidR="00EF7252" w:rsidRDefault="007C6B33" w:rsidP="00081B50">
      <w:pPr>
        <w:pBdr>
          <w:top w:val="nil"/>
          <w:left w:val="nil"/>
          <w:bottom w:val="nil"/>
          <w:right w:val="nil"/>
          <w:between w:val="nil"/>
        </w:pBdr>
        <w:spacing w:after="120"/>
        <w:jc w:val="both"/>
        <w:rPr>
          <w:strike/>
          <w:color w:val="000000"/>
        </w:rPr>
      </w:pPr>
      <w:r>
        <w:rPr>
          <w:color w:val="000000"/>
        </w:rPr>
        <w:t xml:space="preserve">«Άρθρο 544-5.- Ο δείκτης επισκευασιμότητας, καθώς και οι παράμετροι που κατέστησαν δυνατό τον καθορισμό του, τίθενται στη διάθεση του καταναλωτή από τους παραγωγούς ή τους εισαγωγείς για περίοδο τουλάχιστον δύο ετών από την κυκλοφορία στην αγορά του τελευταίου τεμαχίου ενός μοντέλου του σχετικού εξοπλισμού.</w:t>
      </w:r>
      <w:r>
        <w:rPr>
          <w:color w:val="000000"/>
        </w:rPr>
        <w:t xml:space="preserve"> </w:t>
      </w:r>
    </w:p>
    <w:p w14:paraId="00000048" w14:textId="77777777" w:rsidR="00EF7252" w:rsidRDefault="00EF7252" w:rsidP="00081B50">
      <w:pPr>
        <w:pBdr>
          <w:top w:val="nil"/>
          <w:left w:val="nil"/>
          <w:bottom w:val="nil"/>
          <w:right w:val="nil"/>
          <w:between w:val="nil"/>
        </w:pBdr>
        <w:spacing w:after="120"/>
        <w:jc w:val="both"/>
        <w:rPr>
          <w:strike/>
          <w:color w:val="000000"/>
        </w:rPr>
      </w:pPr>
    </w:p>
    <w:p w14:paraId="0000004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 xml:space="preserve">«Άρθρο 544-6.-</w:t>
      </w:r>
      <w:r>
        <w:rPr>
          <w:color w:val="000000"/>
        </w:rPr>
        <w:t xml:space="preserve"> </w:t>
      </w:r>
    </w:p>
    <w:p w14:paraId="0000004A" w14:textId="77777777" w:rsidR="00EF7252" w:rsidRDefault="007C6B33" w:rsidP="00081B50">
      <w:pPr>
        <w:pBdr>
          <w:top w:val="nil"/>
          <w:left w:val="nil"/>
          <w:bottom w:val="nil"/>
          <w:right w:val="nil"/>
          <w:between w:val="nil"/>
        </w:pBdr>
        <w:spacing w:after="120"/>
        <w:jc w:val="both"/>
        <w:rPr>
          <w:color w:val="000000"/>
        </w:rPr>
      </w:pPr>
      <w:r>
        <w:rPr>
          <w:color w:val="000000"/>
        </w:rPr>
        <w:t xml:space="preserve">«I-.Ο δείκτης επισκευασιμότητας υπολογίζεται βάσει των ακόλουθων παραμέτρων:</w:t>
      </w:r>
      <w:r>
        <w:rPr>
          <w:color w:val="000000"/>
        </w:rPr>
        <w:t xml:space="preserve"> </w:t>
      </w:r>
    </w:p>
    <w:p w14:paraId="0000004B" w14:textId="548716C4" w:rsidR="00EF7252" w:rsidRDefault="007C6B33" w:rsidP="00081B50">
      <w:pPr>
        <w:pBdr>
          <w:top w:val="nil"/>
          <w:left w:val="nil"/>
          <w:bottom w:val="nil"/>
          <w:right w:val="nil"/>
          <w:between w:val="nil"/>
        </w:pBdr>
        <w:spacing w:after="120"/>
        <w:jc w:val="both"/>
        <w:rPr>
          <w:color w:val="000000"/>
        </w:rPr>
      </w:pPr>
      <w:r>
        <w:rPr>
          <w:color w:val="000000"/>
        </w:rPr>
        <w:t xml:space="preserve">«α) Βαθμολογία στα είκοσι σχετική με τη διάρκεια διαθεσιμότητας της τεχνικής τεκμηρίωσης και τις συμβουλές χρήσης και συντήρησης προς τους παραγωγούς, τους επισκευαστές και τους καταναλωτές·</w:t>
      </w:r>
      <w:r>
        <w:rPr>
          <w:color w:val="000000"/>
        </w:rPr>
        <w:t xml:space="preserve"> </w:t>
      </w:r>
    </w:p>
    <w:p w14:paraId="0000004C" w14:textId="4296823E" w:rsidR="00EF7252" w:rsidRDefault="007C6B33" w:rsidP="00081B50">
      <w:pPr>
        <w:pBdr>
          <w:top w:val="nil"/>
          <w:left w:val="nil"/>
          <w:bottom w:val="nil"/>
          <w:right w:val="nil"/>
          <w:between w:val="nil"/>
        </w:pBdr>
        <w:spacing w:after="120"/>
        <w:jc w:val="both"/>
        <w:rPr>
          <w:color w:val="000000"/>
        </w:rPr>
      </w:pPr>
      <w:r>
        <w:rPr>
          <w:color w:val="000000"/>
        </w:rPr>
        <w:t xml:space="preserve">«β) Βαθμολογία στα είκοσι σχετική με τον βαθμό δυνατότητας αποσυναρμολόγησης του εξοπλισμού: αριθμός σταδίων αποσυναρμολόγησης για μοναδιαία προσπελασιμότητα των εξαρτημάτων, χαρακτηριστικά των απαραίτητων εργαλείων και των στηριγμάτων μεταξύ εξαρτημάτων·</w:t>
      </w:r>
    </w:p>
    <w:p w14:paraId="0000004D" w14:textId="74B0C666" w:rsidR="00EF7252" w:rsidRDefault="007C6B33" w:rsidP="00081B50">
      <w:pPr>
        <w:pBdr>
          <w:top w:val="nil"/>
          <w:left w:val="nil"/>
          <w:bottom w:val="nil"/>
          <w:right w:val="nil"/>
          <w:between w:val="nil"/>
        </w:pBdr>
        <w:spacing w:after="120"/>
        <w:jc w:val="both"/>
        <w:rPr>
          <w:color w:val="000000"/>
        </w:rPr>
      </w:pPr>
      <w:r>
        <w:rPr>
          <w:color w:val="000000"/>
        </w:rPr>
        <w:t xml:space="preserve">«γ) Βαθμολογία στα είκοσι σχετική με τους χρόνους διαθεσιμότητας στην αγορά των εξαρτημάτων και τις προθεσμίες παράδοσης στους παραγωγούς, τους διανομείς εξαρτημάτων, τους επισκευαστές και τους καταναλωτές·</w:t>
      </w:r>
    </w:p>
    <w:p w14:paraId="0000004E" w14:textId="20211C48" w:rsidR="00EF7252" w:rsidRDefault="007C6B33" w:rsidP="00081B50">
      <w:pPr>
        <w:pBdr>
          <w:top w:val="nil"/>
          <w:left w:val="nil"/>
          <w:bottom w:val="nil"/>
          <w:right w:val="nil"/>
          <w:between w:val="nil"/>
        </w:pBdr>
        <w:spacing w:after="120"/>
        <w:jc w:val="both"/>
        <w:rPr>
          <w:color w:val="000000"/>
        </w:rPr>
      </w:pPr>
      <w:r>
        <w:rPr>
          <w:color w:val="000000"/>
        </w:rPr>
        <w:t xml:space="preserve">δ) Βαθμολογία στα είκοσι σχετική με την σχέση μεταξύ της τιμής πώλησης των στοιχείων από τον κατασκευαστή ή τον εισαγωγέα και της τιμής πώλησης του εξοπλισμού από τον κατασκευαστή ή τον εισαγωγέα, υπολογιζόμενη σύμφωνα με τους όρους που προβλέπονται με διάταγμα·</w:t>
      </w:r>
    </w:p>
    <w:p w14:paraId="0000004F" w14:textId="695D1F87" w:rsidR="00EF7252" w:rsidRDefault="007C6B33" w:rsidP="00081B50">
      <w:pPr>
        <w:pBdr>
          <w:top w:val="nil"/>
          <w:left w:val="nil"/>
          <w:bottom w:val="nil"/>
          <w:right w:val="nil"/>
          <w:between w:val="nil"/>
        </w:pBdr>
        <w:spacing w:after="120"/>
        <w:jc w:val="both"/>
        <w:rPr>
          <w:color w:val="000000"/>
        </w:rPr>
      </w:pPr>
      <w:r>
        <w:rPr>
          <w:color w:val="000000"/>
        </w:rPr>
        <w:t xml:space="preserve">«ε) Βαθμολογία στα είκοσι σχετική με ειδικά κριτήρια που αφορούν τη σχετική κατηγορία εξοπλισμού.</w:t>
      </w:r>
    </w:p>
    <w:p w14:paraId="00000051" w14:textId="1A917FCE" w:rsidR="00EF7252" w:rsidRDefault="007C6B33" w:rsidP="00081B50">
      <w:pPr>
        <w:pBdr>
          <w:top w:val="nil"/>
          <w:left w:val="nil"/>
          <w:bottom w:val="nil"/>
          <w:right w:val="nil"/>
          <w:between w:val="nil"/>
        </w:pBdr>
        <w:spacing w:after="120"/>
        <w:jc w:val="both"/>
        <w:rPr>
          <w:color w:val="000000"/>
        </w:rPr>
      </w:pPr>
      <w:r>
        <w:rPr>
          <w:color w:val="000000"/>
        </w:rPr>
        <w:t xml:space="preserve">« II-.</w:t>
      </w:r>
      <w:r>
        <w:rPr>
          <w:color w:val="000000"/>
        </w:rPr>
        <w:t xml:space="preserve"> </w:t>
      </w:r>
      <w:r>
        <w:rPr>
          <w:color w:val="000000"/>
        </w:rPr>
        <w:t xml:space="preserve">Ο δείκτης επισκευασιμότητας λαμβάνεται προσθέτοντας τις πέντε βαθμολογίες που λαμβάνονται και κατόπιν διαιρώντας το άθροισμα δια δέκα, ώστε να ληφθεί συνοπτική βαθμολογία σε κλίμακα από 1 έως 10.</w:t>
      </w:r>
      <w:r>
        <w:rPr>
          <w:color w:val="000000"/>
        </w:rPr>
        <w:t xml:space="preserve"> </w:t>
      </w:r>
    </w:p>
    <w:p w14:paraId="00000053" w14:textId="64E269B9" w:rsidR="00EF7252" w:rsidRDefault="00276444" w:rsidP="00081B50">
      <w:pPr>
        <w:pBdr>
          <w:top w:val="nil"/>
          <w:left w:val="nil"/>
          <w:bottom w:val="nil"/>
          <w:right w:val="nil"/>
          <w:between w:val="nil"/>
        </w:pBdr>
        <w:spacing w:after="120"/>
        <w:jc w:val="both"/>
        <w:rPr>
          <w:color w:val="000000"/>
        </w:rPr>
      </w:pPr>
      <w:r>
        <w:rPr>
          <w:color w:val="000000"/>
        </w:rPr>
        <w:t xml:space="preserve"> </w:t>
      </w:r>
      <w:r>
        <w:rPr>
          <w:color w:val="000000"/>
        </w:rPr>
        <w:t xml:space="preserve">« III-.</w:t>
      </w:r>
      <w:r>
        <w:rPr>
          <w:color w:val="000000"/>
        </w:rPr>
        <w:t xml:space="preserve"> </w:t>
      </w:r>
      <w:r>
        <w:rPr>
          <w:color w:val="000000"/>
        </w:rPr>
        <w:t xml:space="preserve">Για κάθε κατηγορία ηλεκτρικού και ηλεκτρονικού εξοπλισμού, ένα διάταγμα του υπουργού Περιβάλλοντος και του υπουργού Οικονομίας και Οικονομικών προσδιορίζει το σύνολο των κριτηρίων και επιμέρους κριτηρίων, συμπεριλαμβανομένων των ειδικών κριτηρίων ανά κατηγορία, καθώς και τους τρόπους υπολογισμού του δείκτη.</w:t>
      </w:r>
      <w:r>
        <w:rPr>
          <w:color w:val="000000"/>
        </w:rPr>
        <w:t xml:space="preserve"> </w:t>
      </w:r>
    </w:p>
    <w:p w14:paraId="00000054" w14:textId="77777777" w:rsidR="00EF7252" w:rsidRDefault="00EF7252" w:rsidP="00081B50">
      <w:pPr>
        <w:pBdr>
          <w:top w:val="nil"/>
          <w:left w:val="nil"/>
          <w:bottom w:val="nil"/>
          <w:right w:val="nil"/>
          <w:between w:val="nil"/>
        </w:pBdr>
        <w:spacing w:after="120"/>
        <w:jc w:val="both"/>
        <w:rPr>
          <w:b/>
          <w:color w:val="000000"/>
        </w:rPr>
      </w:pPr>
    </w:p>
    <w:p w14:paraId="00000055" w14:textId="77777777" w:rsidR="00EF7252" w:rsidRDefault="007C6B33" w:rsidP="00081B50">
      <w:pPr>
        <w:pBdr>
          <w:top w:val="nil"/>
          <w:left w:val="nil"/>
          <w:bottom w:val="nil"/>
          <w:right w:val="nil"/>
          <w:between w:val="nil"/>
        </w:pBdr>
        <w:spacing w:after="120"/>
        <w:jc w:val="both"/>
        <w:rPr>
          <w:color w:val="000000"/>
        </w:rPr>
      </w:pPr>
      <w:r>
        <w:rPr>
          <w:color w:val="000000"/>
        </w:rPr>
        <w:t xml:space="preserve">«Άρθρο 544-7.- Από 1ης Ιανουαρίου 2024, ένας δείκτης συνολικής βιωσιμότητας θα συμπληρώνει ή θα αντικαταστήσει, για ορισμένες κατηγορίες εξοπλισμού, τον δείκτη επισκευασιμότητας, συμπεριλαμβάνοντας νέα κριτήρια, μεταξύ άλλων την αξιοπιστία και την ανθεκτικότητα του εξοπλισμού.</w:t>
      </w:r>
      <w:r>
        <w:rPr>
          <w:color w:val="000000"/>
        </w:rPr>
        <w:t xml:space="preserve"> </w:t>
      </w:r>
    </w:p>
    <w:p w14:paraId="00000057" w14:textId="77777777"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 xml:space="preserve">Άρθρο 2</w:t>
      </w:r>
    </w:p>
    <w:p w14:paraId="00000058" w14:textId="77777777" w:rsidR="00EF7252" w:rsidRDefault="007C6B33" w:rsidP="00081B50">
      <w:pPr>
        <w:pBdr>
          <w:top w:val="nil"/>
          <w:left w:val="nil"/>
          <w:bottom w:val="nil"/>
          <w:right w:val="nil"/>
          <w:between w:val="nil"/>
        </w:pBdr>
        <w:spacing w:after="120"/>
        <w:jc w:val="both"/>
        <w:rPr>
          <w:color w:val="000000"/>
        </w:rPr>
      </w:pPr>
      <w:r>
        <w:rPr>
          <w:color w:val="000000"/>
        </w:rPr>
        <w:t xml:space="preserve">Οι διατάξεις του παρόντος διατάγματος τίθενται σε ισχύ από 1ης Ιανουαρίου 2021.</w:t>
      </w:r>
    </w:p>
    <w:p w14:paraId="0000005A" w14:textId="77777777"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 xml:space="preserve">Άρθρο 3</w:t>
      </w:r>
    </w:p>
    <w:p w14:paraId="0000005B" w14:textId="35995E0E" w:rsidR="00EF7252" w:rsidRDefault="007C6B33" w:rsidP="00081B50">
      <w:pPr>
        <w:pBdr>
          <w:top w:val="nil"/>
          <w:left w:val="nil"/>
          <w:bottom w:val="nil"/>
          <w:right w:val="nil"/>
          <w:between w:val="nil"/>
        </w:pBdr>
        <w:spacing w:before="240" w:after="240"/>
        <w:jc w:val="both"/>
        <w:rPr>
          <w:color w:val="000000"/>
        </w:rPr>
      </w:pPr>
      <w:r>
        <w:rPr>
          <w:color w:val="000000"/>
        </w:rPr>
        <w:t xml:space="preserve">Η υπουργός Οικολογικής Μετάβασης και ο υπουργός Οικονομίας και Οικονομικών είναι επιφορτισμένοι, ο καθένας στον τομέα της αρμοδιότητάς του, με την εκτέλεση του παρόντος διατάγματος το οποίο θα δημοσιευτεί στην </w:t>
      </w:r>
      <w:r>
        <w:rPr>
          <w:color w:val="000000"/>
          <w:i/>
          <w:iCs/>
        </w:rPr>
        <w:t xml:space="preserve">Επίσημη Εφημερίδα</w:t>
      </w:r>
      <w:r>
        <w:rPr>
          <w:color w:val="000000"/>
        </w:rPr>
        <w:t xml:space="preserve"> της Γαλλικής Δημοκρατίας.</w:t>
      </w:r>
      <w:r>
        <w:rPr>
          <w:color w:val="000000"/>
        </w:rPr>
        <w:t xml:space="preserve"> </w:t>
      </w:r>
    </w:p>
    <w:p w14:paraId="0000005D" w14:textId="77777777" w:rsidR="00EF7252" w:rsidRDefault="007C6B33" w:rsidP="00081B50">
      <w:pPr>
        <w:pBdr>
          <w:top w:val="nil"/>
          <w:left w:val="nil"/>
          <w:bottom w:val="nil"/>
          <w:right w:val="nil"/>
          <w:between w:val="nil"/>
        </w:pBdr>
        <w:spacing w:before="280" w:after="280"/>
        <w:ind w:firstLine="720"/>
        <w:jc w:val="both"/>
        <w:rPr>
          <w:color w:val="000000"/>
        </w:rPr>
      </w:pPr>
      <w:r>
        <w:rPr>
          <w:color w:val="000000"/>
        </w:rPr>
        <w:t xml:space="preserve">Συντάχθηκε την xx xx 2020</w:t>
      </w:r>
    </w:p>
    <w:p w14:paraId="6DD4078F" w14:textId="77777777" w:rsidR="00081B50" w:rsidRDefault="007C6B33" w:rsidP="00081B50">
      <w:pPr>
        <w:keepNext/>
        <w:keepLines/>
        <w:pBdr>
          <w:top w:val="nil"/>
          <w:left w:val="nil"/>
          <w:bottom w:val="nil"/>
          <w:right w:val="nil"/>
          <w:between w:val="nil"/>
        </w:pBdr>
        <w:spacing w:before="480"/>
        <w:ind w:left="720"/>
        <w:rPr>
          <w:color w:val="000000"/>
        </w:rPr>
      </w:pPr>
      <w:bookmarkStart w:id="2" w:name="_heading=h.30j0zll"/>
      <w:bookmarkEnd w:id="2"/>
      <w:r>
        <w:rPr>
          <w:color w:val="000000"/>
        </w:rPr>
        <w:t xml:space="preserve">Για τον Πρωθυπουργό:</w:t>
      </w:r>
    </w:p>
    <w:p w14:paraId="039D5CE4" w14:textId="0EC6F35A" w:rsidR="00081B50" w:rsidRDefault="007C6B33" w:rsidP="00081B50">
      <w:pPr>
        <w:pBdr>
          <w:top w:val="nil"/>
          <w:left w:val="nil"/>
          <w:bottom w:val="nil"/>
          <w:right w:val="nil"/>
          <w:between w:val="nil"/>
        </w:pBdr>
        <w:ind w:left="720"/>
        <w:rPr>
          <w:color w:val="000000"/>
        </w:rPr>
      </w:pPr>
      <w:r>
        <w:rPr>
          <w:color w:val="000000"/>
        </w:rPr>
        <w:t xml:space="preserve">Jean CASTEX</w:t>
      </w:r>
    </w:p>
    <w:p w14:paraId="01727CB8"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 xml:space="preserve">Η υπουργός Οικολογικής Μετάβασης</w:t>
      </w:r>
    </w:p>
    <w:p w14:paraId="60ACC114" w14:textId="20DE3655" w:rsidR="00081B50" w:rsidRDefault="007C6B33" w:rsidP="00081B50">
      <w:pPr>
        <w:pBdr>
          <w:top w:val="nil"/>
          <w:left w:val="nil"/>
          <w:bottom w:val="nil"/>
          <w:right w:val="nil"/>
          <w:between w:val="nil"/>
        </w:pBdr>
        <w:ind w:left="720"/>
        <w:rPr>
          <w:color w:val="000000"/>
        </w:rPr>
      </w:pPr>
      <w:r>
        <w:rPr>
          <w:color w:val="000000"/>
        </w:rPr>
        <w:t xml:space="preserve">Barbara POMPILI</w:t>
      </w:r>
    </w:p>
    <w:p w14:paraId="679F4E3A"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 xml:space="preserve">Ο υπουργός Οικονομίας και Οικονομικών,</w:t>
      </w:r>
    </w:p>
    <w:p w14:paraId="0000005E" w14:textId="52901521" w:rsidR="00EF7252" w:rsidRDefault="007C6B33" w:rsidP="00081B50">
      <w:pPr>
        <w:pBdr>
          <w:top w:val="nil"/>
          <w:left w:val="nil"/>
          <w:bottom w:val="nil"/>
          <w:right w:val="nil"/>
          <w:between w:val="nil"/>
        </w:pBdr>
        <w:ind w:left="720"/>
        <w:rPr>
          <w:color w:val="000000"/>
        </w:rPr>
      </w:pPr>
      <w:r>
        <w:rPr>
          <w:color w:val="000000"/>
        </w:rPr>
        <w:t xml:space="preserve">Bruno LE MAIRE</w:t>
      </w:r>
    </w:p>
    <w:sectPr w:rsidR="00EF7252">
      <w:headerReference w:type="default" r:id="rId9"/>
      <w:footerReference w:type="default" r:id="rId10"/>
      <w:pgSz w:w="11906" w:h="16838"/>
      <w:pgMar w:top="1134" w:right="1418" w:bottom="1418" w:left="1134" w:header="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CE4F1" w14:textId="77777777" w:rsidR="00115349" w:rsidRDefault="00115349">
      <w:r>
        <w:separator/>
      </w:r>
    </w:p>
  </w:endnote>
  <w:endnote w:type="continuationSeparator" w:id="0">
    <w:p w14:paraId="15040677" w14:textId="77777777" w:rsidR="00115349" w:rsidRDefault="0011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ingFang S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5" w14:textId="452CF919" w:rsidR="00EF7252" w:rsidRDefault="00EF725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A9C49" w14:textId="77777777" w:rsidR="00115349" w:rsidRDefault="00115349">
      <w:r>
        <w:separator/>
      </w:r>
    </w:p>
  </w:footnote>
  <w:footnote w:type="continuationSeparator" w:id="0">
    <w:p w14:paraId="1505A8CD" w14:textId="77777777" w:rsidR="00115349" w:rsidRDefault="00115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4" w14:textId="77777777" w:rsidR="00EF7252" w:rsidRDefault="00EF725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46FB"/>
    <w:multiLevelType w:val="multilevel"/>
    <w:tmpl w:val="87AAF7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dirty"/>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52"/>
    <w:rsid w:val="00081B50"/>
    <w:rsid w:val="00106E77"/>
    <w:rsid w:val="00115349"/>
    <w:rsid w:val="00276444"/>
    <w:rsid w:val="003B1438"/>
    <w:rsid w:val="00535D26"/>
    <w:rsid w:val="0066778A"/>
    <w:rsid w:val="007C6B33"/>
    <w:rsid w:val="00817DDD"/>
    <w:rsid w:val="00956AEB"/>
    <w:rsid w:val="00A751E7"/>
    <w:rsid w:val="00EF7252"/>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A7B22"/>
  <w15:docId w15:val="{08CA6458-BF09-46FF-9804-11B34299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l-G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paragraph" w:styleId="Heading1">
    <w:name w:val="heading 1"/>
    <w:basedOn w:val="Normal"/>
    <w:next w:val="Normal"/>
    <w:qFormat/>
    <w:pPr>
      <w:keepNext/>
      <w:numPr>
        <w:numId w:val="1"/>
      </w:numPr>
      <w:spacing w:before="240"/>
      <w:jc w:val="center"/>
      <w:outlineLvl w:val="0"/>
    </w:pPr>
    <w:rPr>
      <w:b/>
      <w:bCs/>
      <w:caps/>
      <w:lang w:val="el-GR"/>
    </w:rPr>
  </w:style>
  <w:style w:type="paragraph" w:styleId="Heading2">
    <w:name w:val="heading 2"/>
    <w:basedOn w:val="Normal"/>
    <w:next w:val="Normal"/>
    <w:qFormat/>
    <w:pPr>
      <w:keepNext/>
      <w:numPr>
        <w:ilvl w:val="1"/>
        <w:numId w:val="1"/>
      </w:numPr>
      <w:spacing w:before="360"/>
      <w:jc w:val="center"/>
      <w:outlineLvl w:val="1"/>
    </w:pPr>
    <w:rPr>
      <w:b/>
      <w:bCs/>
      <w:iCs/>
      <w:smallCaps/>
      <w:lang w:val="el-GR"/>
    </w:rPr>
  </w:style>
  <w:style w:type="paragraph" w:styleId="Heading3">
    <w:name w:val="heading 3"/>
    <w:basedOn w:val="Normal"/>
    <w:next w:val="Normal"/>
    <w:qFormat/>
    <w:pPr>
      <w:keepNext/>
      <w:numPr>
        <w:ilvl w:val="2"/>
        <w:numId w:val="1"/>
      </w:numPr>
      <w:spacing w:before="360"/>
      <w:jc w:val="center"/>
      <w:outlineLvl w:val="2"/>
    </w:pPr>
    <w:rPr>
      <w:b/>
      <w:szCs w:val="26"/>
      <w:lang w:val="el-GR"/>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ans" w:hAnsi="Liberation Sans" w:cs="Liberation Sans"/>
    </w:rPr>
  </w:style>
  <w:style w:type="character" w:customStyle="1" w:styleId="WW8Num3z0">
    <w:name w:val="WW8Num3z0"/>
    <w:qFormat/>
    <w:rPr>
      <w:rFonts w:ascii="Liberation Sans" w:hAnsi="Liberation Sans" w:cs="Liberation Sans"/>
    </w:rPr>
  </w:style>
  <w:style w:type="character" w:customStyle="1" w:styleId="Policepardfaut5">
    <w:name w:val="Police par défaut5"/>
    <w:qFormat/>
  </w:style>
  <w:style w:type="character" w:customStyle="1" w:styleId="Policepardfaut4">
    <w:name w:val="Police par défaut4"/>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Policepardfaut3">
    <w:name w:val="Police par défaut3"/>
    <w:qFormat/>
  </w:style>
  <w:style w:type="character" w:customStyle="1" w:styleId="Policepardfaut2">
    <w:name w:val="Police par défaut2"/>
    <w:qFormat/>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Arial Unicode MS" w:hAnsi="Times New Roman" w:cs="Times New Roman"/>
      <w:color w:val="FF000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Courier New" w:hAnsi="Courier New" w:cs="Courier New"/>
      <w:sz w:val="2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Times New Roman"/>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el-GR" w:bidi="ar-SA"/>
    </w:rPr>
  </w:style>
  <w:style w:type="character" w:customStyle="1" w:styleId="SNDateCar">
    <w:name w:val="SNDate Car"/>
    <w:qFormat/>
    <w:rPr>
      <w:sz w:val="24"/>
      <w:szCs w:val="24"/>
      <w:lang w:val="el-GR" w:bidi="ar-SA"/>
    </w:rPr>
  </w:style>
  <w:style w:type="character" w:customStyle="1" w:styleId="SNArticleCar">
    <w:name w:val="SNArticle Car"/>
    <w:qFormat/>
    <w:rPr>
      <w:b/>
      <w:bCs/>
      <w:sz w:val="24"/>
      <w:szCs w:val="24"/>
      <w:lang w:val="el-GR"/>
    </w:rPr>
  </w:style>
  <w:style w:type="character" w:customStyle="1" w:styleId="SNenProjet">
    <w:name w:val="SNenProjet"/>
    <w:basedOn w:val="Policepardfaut1"/>
    <w:qFormat/>
  </w:style>
  <w:style w:type="character" w:customStyle="1" w:styleId="CarCar5">
    <w:name w:val="Car Car5"/>
    <w:qFormat/>
    <w:rPr>
      <w:b/>
      <w:sz w:val="24"/>
      <w:szCs w:val="26"/>
      <w:lang w:val="el-GR"/>
    </w:rPr>
  </w:style>
  <w:style w:type="character" w:customStyle="1" w:styleId="Marquedecommentaire1">
    <w:name w:val="Marque de commentaire1"/>
    <w:qFormat/>
    <w:rPr>
      <w:sz w:val="16"/>
      <w:szCs w:val="16"/>
    </w:rPr>
  </w:style>
  <w:style w:type="character" w:customStyle="1" w:styleId="CarCar3">
    <w:name w:val="Car Car3"/>
    <w:basedOn w:val="Policepardfaut1"/>
    <w:qFormat/>
  </w:style>
  <w:style w:type="character" w:customStyle="1" w:styleId="CarCar2">
    <w:name w:val="Car Car2"/>
    <w:qFormat/>
    <w:rPr>
      <w:b/>
      <w:bCs/>
    </w:rPr>
  </w:style>
  <w:style w:type="character" w:customStyle="1" w:styleId="CarCar4">
    <w:name w:val="Car Car4"/>
    <w:qFormat/>
    <w:rPr>
      <w:sz w:val="24"/>
      <w:szCs w:val="24"/>
    </w:rPr>
  </w:style>
  <w:style w:type="character" w:customStyle="1" w:styleId="CarCar7">
    <w:name w:val="Car Car7"/>
    <w:qFormat/>
    <w:rPr>
      <w:rFonts w:cs="Arial"/>
      <w:b/>
      <w:bCs/>
      <w:caps/>
      <w:sz w:val="24"/>
      <w:szCs w:val="24"/>
    </w:rPr>
  </w:style>
  <w:style w:type="character" w:customStyle="1" w:styleId="CarCar6">
    <w:name w:val="Car Car6"/>
    <w:qFormat/>
    <w:rPr>
      <w:b/>
      <w:bCs/>
      <w:iCs/>
      <w:smallCaps/>
      <w:sz w:val="24"/>
      <w:szCs w:val="24"/>
      <w:lang w:val="el-GR"/>
    </w:rPr>
  </w:style>
  <w:style w:type="character" w:customStyle="1" w:styleId="CarCar1">
    <w:name w:val="Car Car1"/>
    <w:qFormat/>
    <w:rPr>
      <w:sz w:val="24"/>
      <w:szCs w:val="24"/>
    </w:rPr>
  </w:style>
  <w:style w:type="character" w:customStyle="1" w:styleId="CarCar">
    <w:name w:val="Car Car"/>
    <w:qFormat/>
    <w:rPr>
      <w:sz w:val="24"/>
      <w:szCs w:val="24"/>
    </w:rPr>
  </w:style>
  <w:style w:type="character" w:customStyle="1" w:styleId="LienInternet">
    <w:name w:val="Lien Internet"/>
    <w:qFormat/>
    <w:rPr>
      <w:color w:val="0000FF"/>
      <w:u w:val="single"/>
    </w:rPr>
  </w:style>
  <w:style w:type="character" w:customStyle="1" w:styleId="surlignage">
    <w:name w:val="surlignage"/>
    <w:qFormat/>
  </w:style>
  <w:style w:type="character" w:styleId="FollowedHyperlink">
    <w:name w:val="FollowedHyperlink"/>
    <w:qFormat/>
    <w:rPr>
      <w:color w:val="800080"/>
      <w:u w:val="single"/>
    </w:rPr>
  </w:style>
  <w:style w:type="character" w:styleId="Strong">
    <w:name w:val="Strong"/>
    <w:qFormat/>
    <w:rPr>
      <w:b/>
      <w:bCs/>
    </w:rPr>
  </w:style>
  <w:style w:type="character" w:customStyle="1" w:styleId="tm2code">
    <w:name w:val="tm2code"/>
    <w:basedOn w:val="Policepardfaut1"/>
    <w:qFormat/>
  </w:style>
  <w:style w:type="character" w:customStyle="1" w:styleId="tm3code">
    <w:name w:val="tm3code"/>
    <w:basedOn w:val="Policepardfaut1"/>
    <w:qFormat/>
  </w:style>
  <w:style w:type="character" w:customStyle="1" w:styleId="tm4code">
    <w:name w:val="tm4code"/>
    <w:basedOn w:val="Policepardfaut1"/>
    <w:qFormat/>
  </w:style>
  <w:style w:type="character" w:customStyle="1" w:styleId="citation">
    <w:name w:val="citation"/>
    <w:basedOn w:val="Policepardfaut1"/>
    <w:qFormat/>
  </w:style>
  <w:style w:type="character" w:customStyle="1" w:styleId="WW8Num11z5">
    <w:name w:val="WW8Num11z5"/>
    <w:qFormat/>
  </w:style>
  <w:style w:type="character" w:customStyle="1" w:styleId="Caractresdenotedebasdepage">
    <w:name w:val="Caractères de note de bas de page"/>
    <w:qFormat/>
    <w:rPr>
      <w:vertAlign w:val="superscript"/>
    </w:rPr>
  </w:style>
  <w:style w:type="character" w:styleId="Emphasis">
    <w:name w:val="Emphasis"/>
    <w:qFormat/>
    <w:rPr>
      <w:i/>
      <w:iCs/>
    </w:rPr>
  </w:style>
  <w:style w:type="character" w:customStyle="1" w:styleId="Marquedecommentaire2">
    <w:name w:val="Marque de commentaire2"/>
    <w:qFormat/>
    <w:rPr>
      <w:sz w:val="16"/>
      <w:szCs w:val="16"/>
    </w:rPr>
  </w:style>
  <w:style w:type="character" w:customStyle="1" w:styleId="CommentaireCar">
    <w:name w:val="Commentaire Car"/>
    <w:qFormat/>
    <w:rPr>
      <w:lang w:eastAsia="zh-CN"/>
    </w:rPr>
  </w:style>
  <w:style w:type="character" w:customStyle="1" w:styleId="tm5code">
    <w:name w:val="tm5code"/>
    <w:qFormat/>
  </w:style>
  <w:style w:type="character" w:customStyle="1" w:styleId="Marquedecommentaire3">
    <w:name w:val="Marque de commentaire3"/>
    <w:qFormat/>
    <w:rPr>
      <w:sz w:val="16"/>
      <w:szCs w:val="16"/>
    </w:rPr>
  </w:style>
  <w:style w:type="character" w:customStyle="1" w:styleId="stddocNumber">
    <w:name w:val="std_docNumber"/>
    <w:qFormat/>
    <w:rsid w:val="00C16C8D"/>
    <w:rPr>
      <w:rFonts w:ascii="Arial" w:hAnsi="Arial"/>
      <w:shd w:val="clear" w:color="auto" w:fill="F2DBDB"/>
    </w:rPr>
  </w:style>
  <w:style w:type="character" w:customStyle="1" w:styleId="stdpublisher">
    <w:name w:val="std_publisher"/>
    <w:qFormat/>
    <w:rsid w:val="00C16C8D"/>
    <w:rPr>
      <w:rFonts w:ascii="Arial" w:hAnsi="Arial"/>
      <w:shd w:val="clear" w:color="auto" w:fill="C6D9F1"/>
    </w:rPr>
  </w:style>
  <w:style w:type="character" w:customStyle="1" w:styleId="TabletitleChar">
    <w:name w:val="Table title Char"/>
    <w:link w:val="Tabletitle"/>
    <w:qFormat/>
    <w:rsid w:val="00C16C8D"/>
    <w:rPr>
      <w:rFonts w:ascii="Arial" w:eastAsia="Calibri" w:hAnsi="Arial"/>
      <w:b/>
      <w:szCs w:val="24"/>
      <w:lang w:val="el-GR" w:eastAsia="en-US"/>
    </w:rPr>
  </w:style>
  <w:style w:type="character" w:customStyle="1" w:styleId="TablebodyChar">
    <w:name w:val="Table body Char"/>
    <w:link w:val="Tablebody"/>
    <w:qFormat/>
    <w:rsid w:val="00C16C8D"/>
    <w:rPr>
      <w:rFonts w:ascii="Arial" w:eastAsia="Calibri" w:hAnsi="Arial"/>
      <w:szCs w:val="22"/>
      <w:lang w:val="el-GR" w:eastAsia="en-US"/>
    </w:rPr>
  </w:style>
  <w:style w:type="character" w:customStyle="1" w:styleId="TableheaderChar">
    <w:name w:val="Table header Char"/>
    <w:link w:val="Tableheader"/>
    <w:qFormat/>
    <w:rsid w:val="00C16C8D"/>
    <w:rPr>
      <w:rFonts w:ascii="Arial" w:eastAsia="Calibri" w:hAnsi="Arial"/>
      <w:szCs w:val="22"/>
      <w:lang w:val="el-GR" w:eastAsia="en-US"/>
    </w:rPr>
  </w:style>
  <w:style w:type="character" w:styleId="CommentReference">
    <w:name w:val="annotation reference"/>
    <w:basedOn w:val="DefaultParagraphFont"/>
    <w:uiPriority w:val="99"/>
    <w:semiHidden/>
    <w:unhideWhenUsed/>
    <w:qFormat/>
    <w:rsid w:val="00A80B02"/>
    <w:rPr>
      <w:sz w:val="16"/>
      <w:szCs w:val="16"/>
    </w:rPr>
  </w:style>
  <w:style w:type="character" w:customStyle="1" w:styleId="CommentTextChar">
    <w:name w:val="Comment Text Char"/>
    <w:basedOn w:val="DefaultParagraphFont"/>
    <w:link w:val="CommentText"/>
    <w:uiPriority w:val="99"/>
    <w:qFormat/>
    <w:rsid w:val="00A80B02"/>
    <w:rPr>
      <w:lang w:eastAsia="zh-CN"/>
    </w:rPr>
  </w:style>
  <w:style w:type="character" w:customStyle="1" w:styleId="highlight">
    <w:name w:val="highlight"/>
    <w:basedOn w:val="DefaultParagraphFont"/>
    <w:qFormat/>
    <w:rsid w:val="00EB71C2"/>
  </w:style>
  <w:style w:type="character" w:customStyle="1" w:styleId="En-tteCar">
    <w:name w:val="En-tête Car"/>
    <w:basedOn w:val="DefaultParagraphFont"/>
    <w:qFormat/>
    <w:rsid w:val="002D37A3"/>
    <w:rPr>
      <w:sz w:val="24"/>
      <w:szCs w:val="24"/>
      <w:lang w:val="el-GR" w:eastAsia="zh-CN"/>
    </w:rPr>
  </w:style>
  <w:style w:type="character" w:customStyle="1" w:styleId="PlainTextChar">
    <w:name w:val="Plain Text Char"/>
    <w:basedOn w:val="DefaultParagraphFont"/>
    <w:link w:val="PlainText"/>
    <w:uiPriority w:val="99"/>
    <w:qFormat/>
    <w:rsid w:val="000F71B4"/>
    <w:rPr>
      <w:rFonts w:ascii="Calibri" w:eastAsiaTheme="minorHAnsi" w:hAnsi="Calibri" w:cstheme="minorBidi"/>
      <w:sz w:val="22"/>
      <w:szCs w:val="21"/>
      <w:lang w:eastAsia="en-US"/>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20"/>
      <w:jc w:val="both"/>
    </w:pPr>
    <w:rPr>
      <w:lang w:val="el-GR"/>
    </w:rPr>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5">
    <w:name w:val="Titre5"/>
    <w:basedOn w:val="Normal"/>
    <w:qFormat/>
    <w:pPr>
      <w:keepNext/>
      <w:spacing w:before="240" w:after="120"/>
    </w:pPr>
    <w:rPr>
      <w:rFonts w:ascii="Garamond" w:eastAsia="Microsoft YaHei" w:hAnsi="Garamond" w:cs="Mangal"/>
      <w:sz w:val="28"/>
      <w:szCs w:val="28"/>
    </w:rPr>
  </w:style>
  <w:style w:type="paragraph" w:customStyle="1" w:styleId="Titre4">
    <w:name w:val="Titre4"/>
    <w:basedOn w:val="Normal"/>
    <w:qFormat/>
    <w:pPr>
      <w:keepNext/>
      <w:spacing w:before="240" w:after="120"/>
    </w:pPr>
    <w:rPr>
      <w:rFonts w:ascii="Liberation Sans" w:eastAsia="Microsoft YaHei" w:hAnsi="Liberation Sans" w:cs="Mangal"/>
      <w:sz w:val="28"/>
      <w:szCs w:val="28"/>
    </w:rPr>
  </w:style>
  <w:style w:type="paragraph" w:customStyle="1" w:styleId="Titre3">
    <w:name w:val="Titre3"/>
    <w:basedOn w:val="Normal"/>
    <w:qFormat/>
    <w:pPr>
      <w:keepNext/>
      <w:spacing w:before="240" w:after="120"/>
    </w:pPr>
    <w:rPr>
      <w:rFonts w:ascii="Liberation Sans" w:eastAsia="Microsoft YaHei" w:hAnsi="Liberation Sans" w:cs="Mangal"/>
      <w:sz w:val="28"/>
      <w:szCs w:val="28"/>
    </w:rPr>
  </w:style>
  <w:style w:type="paragraph" w:customStyle="1" w:styleId="Titre2">
    <w:name w:val="Titre2"/>
    <w:basedOn w:val="Normal"/>
    <w:qFormat/>
    <w:pPr>
      <w:keepNext/>
      <w:spacing w:before="240" w:after="120"/>
    </w:pPr>
    <w:rPr>
      <w:rFonts w:ascii="Garamond" w:eastAsia="Microsoft YaHei" w:hAnsi="Garamond" w:cs="Mangal"/>
      <w:sz w:val="28"/>
      <w:szCs w:val="28"/>
    </w:rPr>
  </w:style>
  <w:style w:type="paragraph" w:customStyle="1" w:styleId="Titre1">
    <w:name w:val="Titre1"/>
    <w:basedOn w:val="Normal"/>
    <w:qFormat/>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qFormat/>
    <w:pPr>
      <w:widowControl w:val="0"/>
      <w:suppressLineNumbers/>
      <w:spacing w:before="720" w:after="120"/>
      <w:jc w:val="center"/>
    </w:pPr>
    <w:rPr>
      <w:rFonts w:eastAsia="Lucida Sans Unicode"/>
      <w:b/>
      <w:bCs/>
    </w:rPr>
  </w:style>
  <w:style w:type="paragraph" w:customStyle="1" w:styleId="SNtitre">
    <w:name w:val="SNtitre"/>
    <w:basedOn w:val="Normal"/>
    <w:qFormat/>
    <w:pPr>
      <w:widowControl w:val="0"/>
      <w:suppressLineNumbers/>
      <w:spacing w:after="360"/>
      <w:jc w:val="center"/>
    </w:pPr>
    <w:rPr>
      <w:rFonts w:eastAsia="Lucida Sans Unicode"/>
      <w:b/>
    </w:rPr>
  </w:style>
  <w:style w:type="paragraph" w:customStyle="1" w:styleId="SNNORCentr">
    <w:name w:val="SNNOR+Centré"/>
    <w:qFormat/>
    <w:pPr>
      <w:jc w:val="center"/>
    </w:pPr>
    <w:rPr>
      <w:bCs/>
      <w:lang w:eastAsia="zh-CN"/>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qFormat/>
    <w:pPr>
      <w:spacing w:before="120" w:after="1680"/>
      <w:ind w:left="5040"/>
      <w:jc w:val="right"/>
    </w:pPr>
    <w:rPr>
      <w:color w:val="000000"/>
    </w:rPr>
  </w:style>
  <w:style w:type="paragraph" w:customStyle="1" w:styleId="SNSignatureprnomnomDroite">
    <w:name w:val="SNSignature prénom+nom Droite"/>
    <w:basedOn w:val="SNSignatureDroite"/>
    <w:qFormat/>
    <w:pPr>
      <w:spacing w:after="120"/>
      <w:ind w:left="5041"/>
    </w:pPr>
  </w:style>
  <w:style w:type="paragraph" w:customStyle="1" w:styleId="SNSignatureGauche">
    <w:name w:val="SNSignatureGauche"/>
    <w:basedOn w:val="Normal"/>
    <w:qFormat/>
    <w:pPr>
      <w:spacing w:before="120" w:after="1680"/>
      <w:ind w:left="720" w:right="-6" w:firstLine="1080"/>
      <w:jc w:val="right"/>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qFormat/>
    <w:pPr>
      <w:spacing w:before="280" w:after="280"/>
      <w:ind w:firstLine="720"/>
      <w:jc w:val="both"/>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360" w:after="240"/>
      <w:jc w:val="center"/>
    </w:pPr>
    <w:rPr>
      <w:b/>
      <w:bCs/>
      <w:lang w:val="el-GR"/>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val="0"/>
    </w:rPr>
  </w:style>
  <w:style w:type="paragraph" w:customStyle="1" w:styleId="Titre2objet">
    <w:name w:val="Titre 2 objet"/>
    <w:basedOn w:val="Heading2"/>
    <w:next w:val="Normal"/>
    <w:qFormat/>
    <w:pPr>
      <w:numPr>
        <w:ilvl w:val="0"/>
        <w:numId w:val="0"/>
      </w:numPr>
      <w:spacing w:before="0" w:after="120"/>
    </w:pPr>
    <w:rPr>
      <w:b w:val="0"/>
    </w:rPr>
  </w:style>
  <w:style w:type="paragraph" w:customStyle="1" w:styleId="titre3objet">
    <w:name w:val="titre 3 objet"/>
    <w:basedOn w:val="Heading3"/>
    <w:next w:val="Normal"/>
    <w:qFormat/>
    <w:pPr>
      <w:numPr>
        <w:ilvl w:val="0"/>
        <w:numId w:val="0"/>
      </w:numPr>
      <w:spacing w:before="0" w:after="120"/>
    </w:pPr>
    <w:rPr>
      <w:b w:val="0"/>
    </w:rPr>
  </w:style>
  <w:style w:type="paragraph" w:styleId="NormalWeb">
    <w:name w:val="Normal (Web)"/>
    <w:basedOn w:val="Normal"/>
    <w:uiPriority w:val="99"/>
    <w:qFormat/>
    <w:pPr>
      <w:spacing w:before="280" w:after="280"/>
    </w:p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lang w:val="el-GR"/>
    </w:rPr>
  </w:style>
  <w:style w:type="paragraph" w:customStyle="1" w:styleId="HeaderandFooter">
    <w:name w:val="Header and Footer"/>
    <w:basedOn w:val="Normal"/>
    <w:qFormat/>
  </w:style>
  <w:style w:type="paragraph" w:styleId="Header">
    <w:name w:val="header"/>
    <w:basedOn w:val="Normal"/>
    <w:pPr>
      <w:tabs>
        <w:tab w:val="center" w:pos="4536"/>
        <w:tab w:val="right" w:pos="9072"/>
      </w:tabs>
    </w:pPr>
    <w:rPr>
      <w:lang w:val="el-GR"/>
    </w:rPr>
  </w:style>
  <w:style w:type="paragraph" w:styleId="Footer">
    <w:name w:val="footer"/>
    <w:basedOn w:val="Normal"/>
    <w:pPr>
      <w:tabs>
        <w:tab w:val="center" w:pos="4536"/>
        <w:tab w:val="right" w:pos="9072"/>
      </w:tabs>
    </w:pPr>
    <w:rPr>
      <w:lang w:val="el-GR"/>
    </w:rPr>
  </w:style>
  <w:style w:type="paragraph" w:customStyle="1" w:styleId="PointDouble2">
    <w:name w:val="PointDouble 2"/>
    <w:basedOn w:val="Normal"/>
    <w:qFormat/>
    <w:pPr>
      <w:tabs>
        <w:tab w:val="left" w:pos="1984"/>
      </w:tabs>
      <w:spacing w:before="120" w:after="120" w:line="360" w:lineRule="auto"/>
      <w:ind w:left="2551" w:hanging="1134"/>
    </w:pPr>
  </w:style>
  <w:style w:type="paragraph" w:customStyle="1" w:styleId="Tiret0">
    <w:name w:val="Tiret 0"/>
    <w:basedOn w:val="Normal"/>
    <w:qFormat/>
    <w:pPr>
      <w:spacing w:before="120" w:after="120" w:line="360" w:lineRule="auto"/>
    </w:pPr>
  </w:style>
  <w:style w:type="paragraph" w:customStyle="1" w:styleId="Tiret1">
    <w:name w:val="Tiret 1"/>
    <w:basedOn w:val="Normal"/>
    <w:qFormat/>
    <w:pPr>
      <w:spacing w:before="120" w:after="120" w:line="360" w:lineRule="auto"/>
    </w:pPr>
  </w:style>
  <w:style w:type="paragraph" w:customStyle="1" w:styleId="Text1">
    <w:name w:val="Text 1"/>
    <w:basedOn w:val="Normal"/>
    <w:qFormat/>
    <w:pPr>
      <w:spacing w:before="120" w:after="120" w:line="360" w:lineRule="auto"/>
      <w:ind w:left="850"/>
    </w:pPr>
  </w:style>
  <w:style w:type="paragraph" w:customStyle="1" w:styleId="Point0">
    <w:name w:val="Point 0"/>
    <w:basedOn w:val="Normal"/>
    <w:qFormat/>
    <w:pPr>
      <w:spacing w:before="120" w:after="120" w:line="360" w:lineRule="auto"/>
      <w:ind w:left="850" w:hanging="850"/>
    </w:pPr>
  </w:style>
  <w:style w:type="paragraph" w:customStyle="1" w:styleId="Point1">
    <w:name w:val="Point 1"/>
    <w:basedOn w:val="Normal"/>
    <w:qFormat/>
    <w:pPr>
      <w:spacing w:before="120" w:after="120" w:line="360" w:lineRule="auto"/>
      <w:ind w:left="1417" w:hanging="567"/>
    </w:pPr>
  </w:style>
  <w:style w:type="paragraph" w:customStyle="1" w:styleId="ManualNumPar1">
    <w:name w:val="Manual NumPar 1"/>
    <w:basedOn w:val="Normal"/>
    <w:qFormat/>
    <w:pPr>
      <w:spacing w:before="120" w:after="120" w:line="360" w:lineRule="auto"/>
      <w:ind w:left="850" w:hanging="850"/>
    </w:pPr>
  </w:style>
  <w:style w:type="paragraph" w:styleId="Revision">
    <w:name w:val="Revision"/>
    <w:qFormat/>
    <w:rPr>
      <w:lang w:eastAsia="zh-CN"/>
    </w:rPr>
  </w:style>
  <w:style w:type="paragraph" w:customStyle="1" w:styleId="Default">
    <w:name w:val="Default"/>
    <w:qFormat/>
    <w:rPr>
      <w:color w:val="000000"/>
      <w:lang w:eastAsia="zh-CN"/>
    </w:rPr>
  </w:style>
  <w:style w:type="paragraph" w:styleId="FootnoteText">
    <w:name w:val="footnote text"/>
    <w:basedOn w:val="Normal"/>
    <w:qFormat/>
    <w:rPr>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mmentaire2">
    <w:name w:val="Commentaire2"/>
    <w:basedOn w:val="Normal"/>
    <w:qFormat/>
    <w:rPr>
      <w:sz w:val="20"/>
      <w:szCs w:val="20"/>
    </w:rPr>
  </w:style>
  <w:style w:type="paragraph" w:customStyle="1" w:styleId="western">
    <w:name w:val="western"/>
    <w:basedOn w:val="Normal"/>
    <w:qFormat/>
    <w:pPr>
      <w:spacing w:before="280" w:after="119"/>
      <w:jc w:val="both"/>
    </w:pPr>
    <w:rPr>
      <w:color w:val="000000"/>
    </w:rPr>
  </w:style>
  <w:style w:type="paragraph" w:customStyle="1" w:styleId="Commentaire3">
    <w:name w:val="Commentaire3"/>
    <w:basedOn w:val="Normal"/>
    <w:qFormat/>
    <w:rPr>
      <w:sz w:val="20"/>
      <w:szCs w:val="20"/>
    </w:rPr>
  </w:style>
  <w:style w:type="paragraph" w:styleId="ListParagraph">
    <w:name w:val="List Paragraph"/>
    <w:basedOn w:val="Normal"/>
    <w:uiPriority w:val="34"/>
    <w:qFormat/>
    <w:rsid w:val="0011775C"/>
    <w:pPr>
      <w:ind w:left="720"/>
      <w:contextualSpacing/>
    </w:pPr>
  </w:style>
  <w:style w:type="paragraph" w:customStyle="1" w:styleId="Tabletitle">
    <w:name w:val="Table title"/>
    <w:basedOn w:val="Normal"/>
    <w:link w:val="TabletitleChar"/>
    <w:qFormat/>
    <w:rsid w:val="00C16C8D"/>
    <w:pPr>
      <w:keepNext/>
      <w:spacing w:before="120" w:after="120" w:line="240" w:lineRule="atLeast"/>
      <w:jc w:val="center"/>
      <w:outlineLvl w:val="0"/>
    </w:pPr>
    <w:rPr>
      <w:rFonts w:ascii="Arial" w:eastAsia="Calibri" w:hAnsi="Arial"/>
      <w:b/>
      <w:sz w:val="20"/>
      <w:lang w:val="el-GR" w:eastAsia="en-US"/>
    </w:rPr>
  </w:style>
  <w:style w:type="paragraph" w:customStyle="1" w:styleId="Tablebody">
    <w:name w:val="Table body"/>
    <w:basedOn w:val="Normal"/>
    <w:link w:val="TablebodyChar"/>
    <w:qFormat/>
    <w:rsid w:val="00C16C8D"/>
    <w:pPr>
      <w:spacing w:before="60" w:after="60" w:line="210" w:lineRule="atLeast"/>
    </w:pPr>
    <w:rPr>
      <w:rFonts w:ascii="Arial" w:eastAsia="Calibri" w:hAnsi="Arial"/>
      <w:sz w:val="20"/>
      <w:szCs w:val="22"/>
      <w:lang w:val="el-GR" w:eastAsia="en-US"/>
    </w:rPr>
  </w:style>
  <w:style w:type="paragraph" w:customStyle="1" w:styleId="Tableheader">
    <w:name w:val="Table header"/>
    <w:basedOn w:val="Tablebody"/>
    <w:link w:val="TableheaderChar"/>
    <w:qFormat/>
    <w:rsid w:val="00C16C8D"/>
  </w:style>
  <w:style w:type="paragraph" w:customStyle="1" w:styleId="CM1">
    <w:name w:val="CM1"/>
    <w:basedOn w:val="Default"/>
    <w:next w:val="Default"/>
    <w:uiPriority w:val="99"/>
    <w:qFormat/>
    <w:rsid w:val="009A03FA"/>
    <w:rPr>
      <w:rFonts w:ascii="EUAlbertina" w:hAnsi="EUAlbertina"/>
      <w:color w:val="00000A"/>
      <w:lang w:eastAsia="fr-FR"/>
    </w:rPr>
  </w:style>
  <w:style w:type="paragraph" w:customStyle="1" w:styleId="CM3">
    <w:name w:val="CM3"/>
    <w:basedOn w:val="Default"/>
    <w:next w:val="Default"/>
    <w:uiPriority w:val="99"/>
    <w:qFormat/>
    <w:rsid w:val="009A03FA"/>
    <w:rPr>
      <w:rFonts w:ascii="EUAlbertina" w:hAnsi="EUAlbertina"/>
      <w:color w:val="00000A"/>
      <w:lang w:eastAsia="fr-FR"/>
    </w:rPr>
  </w:style>
  <w:style w:type="paragraph" w:customStyle="1" w:styleId="CM4">
    <w:name w:val="CM4"/>
    <w:basedOn w:val="Default"/>
    <w:next w:val="Default"/>
    <w:uiPriority w:val="99"/>
    <w:qFormat/>
    <w:rsid w:val="009A03FA"/>
    <w:rPr>
      <w:rFonts w:ascii="EUAlbertina" w:hAnsi="EUAlbertina"/>
      <w:color w:val="00000A"/>
      <w:lang w:eastAsia="fr-FR"/>
    </w:rPr>
  </w:style>
  <w:style w:type="paragraph" w:styleId="CommentText">
    <w:name w:val="annotation text"/>
    <w:basedOn w:val="Normal"/>
    <w:link w:val="CommentTextChar"/>
    <w:uiPriority w:val="99"/>
    <w:unhideWhenUsed/>
    <w:qFormat/>
    <w:rsid w:val="00A80B02"/>
    <w:rPr>
      <w:sz w:val="20"/>
      <w:szCs w:val="20"/>
    </w:rPr>
  </w:style>
  <w:style w:type="paragraph" w:styleId="PlainText">
    <w:name w:val="Plain Text"/>
    <w:basedOn w:val="Normal"/>
    <w:link w:val="PlainTextChar"/>
    <w:uiPriority w:val="99"/>
    <w:unhideWhenUsed/>
    <w:qFormat/>
    <w:rsid w:val="000F71B4"/>
    <w:rPr>
      <w:rFonts w:ascii="Calibri" w:eastAsiaTheme="minorHAnsi" w:hAnsi="Calibri" w:cstheme="minorBidi"/>
      <w:sz w:val="22"/>
      <w:szCs w:val="21"/>
      <w:lang w:eastAsia="en-US"/>
    </w:rPr>
  </w:style>
  <w:style w:type="character" w:customStyle="1" w:styleId="ListLabel8">
    <w:name w:val="ListLabel 8"/>
    <w:qFormat/>
    <w:rsid w:val="00382738"/>
    <w:rPr>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9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RlpeGrJh6cXEqXDWDreKoc8vQ==">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1548</Words>
  <Characters>8824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Ke, Tingting</cp:lastModifiedBy>
  <cp:revision>2</cp:revision>
  <dcterms:created xsi:type="dcterms:W3CDTF">2020-07-08T10:11:00Z</dcterms:created>
  <dcterms:modified xsi:type="dcterms:W3CDTF">2020-07-22T04:01:00Z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