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5247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Uredba br. 2020-1757 od 29. prosinca 2020. o indeksu popravljivosti električne i elektroničke opreme</w:t>
      </w:r>
    </w:p>
    <w:p w14:paraId="122A44DD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Prvobitna verzija </w:t>
      </w:r>
    </w:p>
    <w:p w14:paraId="7AA0884E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Ciljne skupine: proizvođači, uvoznici, distributeri ili drugi opskrbljivači električne i elektroničke opreme, prodavači te iste opreme, kao i svi oni koji koriste internetske stranice, platforme ili bilo koji drugi distribucijski kanal na internetu u okviru svoje poslovne djelatnosti u Francuskoj. </w:t>
      </w:r>
      <w:r>
        <w:rPr>
          <w:rFonts w:ascii="Times New Roman" w:hAnsi="Times New Roman"/>
          <w:sz w:val="24"/>
        </w:rPr>
        <w:br/>
        <w:t xml:space="preserve">Predmet: implementacija pravila indeksa popravljivosti iz članka L541-9-2. Zakonika o okolišu. </w:t>
      </w:r>
      <w:r>
        <w:rPr>
          <w:rFonts w:ascii="Times New Roman" w:hAnsi="Times New Roman"/>
          <w:sz w:val="24"/>
        </w:rPr>
        <w:br/>
        <w:t xml:space="preserve">Stupanje na snagu: tekst stupa na snagu 1. siječnja 2021. </w:t>
      </w:r>
      <w:r>
        <w:rPr>
          <w:rFonts w:ascii="Times New Roman" w:hAnsi="Times New Roman"/>
          <w:sz w:val="24"/>
        </w:rPr>
        <w:br/>
        <w:t xml:space="preserve">Sažetak: ovom se Uredbom utvrđuju načini provedbe članka L. 541-9-2. Zakonika o okolišu, kojim se predviđa uvođenje indeksa popravljivosti za određene kategorije električne i elektroničke opreme. U njemu će se posebno navesti kriteriji i parametri izračuna upotrijebljeni za utvrđivanje tog indeksa, kao i opći okvir obveza povezanih s njegovom komunikacijom i prikazivanjem. </w:t>
      </w:r>
      <w:r>
        <w:rPr>
          <w:rFonts w:ascii="Times New Roman" w:hAnsi="Times New Roman"/>
          <w:sz w:val="24"/>
        </w:rPr>
        <w:br/>
        <w:t xml:space="preserve">Upućivanja: ova se Uredba može pronaći na mrežnoj stranici Légifrance (http://www.legifrance.gouv.fr). </w:t>
      </w:r>
    </w:p>
    <w:p w14:paraId="09C3F7EC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Predsjednik Vlade,</w:t>
      </w:r>
    </w:p>
    <w:p w14:paraId="40611F90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temelju izvješća ministra ekološke tranzicije i ministra gospodarstva, financija i oporavka,</w:t>
      </w:r>
    </w:p>
    <w:p w14:paraId="1A81B9F1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uzimajući u obzir Direktivu br. 2008/98/EZ Europskog parlamenta i Vijeća od 19. studenog 2008. o otpadu i stavljanju izvan snage određenih direktiva, koja je posljednji put izmijenjena i dopunjena Direktivom (EU) 2018/851 od 30. svibnja 2018.,</w:t>
      </w:r>
    </w:p>
    <w:p w14:paraId="581D6C66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uzimajući u obzir Direktivu (EU) 2015/1535 Europskog parlamenta i Vijeća od 9. rujna 2015. o utvrđivanju postupka pružanja informacija u području tehničkih propisa i pravila o uslugama informacijskog društva; zajedno s obavijesti poslanom Europskoj komisiji 21. srpnja 2020.,</w:t>
      </w:r>
    </w:p>
    <w:p w14:paraId="546BA7DD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uzimajući u obzir Zakonik o okolišu, osobito njegov članak 541-9-2. koji je izmijenjen člankom 16. Zakona br. 2020-105 od 10. veljače 2020. o borbi protiv otpada i kružnom gospodarstvu;,</w:t>
      </w:r>
    </w:p>
    <w:p w14:paraId="09557C55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uzimajući u obzir Zakon br. 2020 – 105 o borbi protiv otpada i kružnom gospodarstvu, a posebice njegove članke 16., 29. i 130.,</w:t>
      </w:r>
    </w:p>
    <w:p w14:paraId="48736AEC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uzimajući u obzir primjedbe iznesene tijekom javnog savjetovanja održanog od 21. srpnja 2020. do 17. kolovoza 2020. na temelju članka L123-19-1. – 1. Zakonika o okolišu,</w:t>
      </w:r>
    </w:p>
    <w:p w14:paraId="514A1D37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nakon savjetovanja s Državnim vijećem (odjelom za javne radove),</w:t>
      </w:r>
    </w:p>
    <w:p w14:paraId="7B9A171C" w14:textId="529FA357" w:rsidR="004F7E45" w:rsidRPr="004F7E45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donosi:</w:t>
      </w:r>
    </w:p>
    <w:p w14:paraId="61759A4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1.</w:t>
      </w:r>
    </w:p>
    <w:p w14:paraId="77ABD76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Poglavlje I. glave IV. knjige V. regulatornog dijela Zakonika o okolišu dopunjuje se odjeljkom 9. koji glasi kako slijedi:</w:t>
      </w:r>
    </w:p>
    <w:p w14:paraId="16727251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„Odjeljak 9.</w:t>
      </w:r>
      <w:r>
        <w:rPr>
          <w:rFonts w:ascii="Times New Roman" w:hAnsi="Times New Roman"/>
          <w:sz w:val="24"/>
        </w:rPr>
        <w:br/>
        <w:t>„Izvještavanje javnosti o proizvodima od kojih nastaje otpad</w:t>
      </w:r>
    </w:p>
    <w:p w14:paraId="3F984B64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„Pododjeljak 1.</w:t>
      </w:r>
      <w:r>
        <w:rPr>
          <w:rFonts w:ascii="Times New Roman" w:hAnsi="Times New Roman"/>
          <w:sz w:val="24"/>
        </w:rPr>
        <w:br/>
        <w:t>„Prikazivanje indeksa popravljivosti</w:t>
      </w:r>
    </w:p>
    <w:p w14:paraId="50911D7C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„Članak R541 – 210. – Indeks popravljivosti električne i elektroničke opreme definirane u članku L541 – 9 – 2. sastoji se od ocjene na ljestvici od jedan do deset, o kojoj potrošače treba informirati prilikom kupovine nove opreme.</w:t>
      </w:r>
      <w:r>
        <w:rPr>
          <w:rFonts w:ascii="Times New Roman" w:hAnsi="Times New Roman"/>
          <w:sz w:val="24"/>
        </w:rPr>
        <w:br/>
        <w:t>„Ovaj se indeks odnosi na svaki model ove opreme.</w:t>
      </w:r>
    </w:p>
    <w:p w14:paraId="377464DC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„Članak R541 – 211. - Za potrebe ovog odjeljka primjenjuju se sljedeće definicije:</w:t>
      </w:r>
      <w:r>
        <w:rPr>
          <w:rFonts w:ascii="Times New Roman" w:hAnsi="Times New Roman"/>
          <w:sz w:val="24"/>
        </w:rPr>
        <w:br/>
        <w:t>„1. „Stavljanje na raspolaganje na tržištu”: bilo koja isporuka električne ili elektroničke opreme namijenjene za distribuciju ili uporabu na nacionalnom tržištu u okviru trgovačke djelatnosti, uz plaćanje ili besplatno;</w:t>
      </w:r>
    </w:p>
    <w:p w14:paraId="712B5E64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„2. ‚stavljanje na tržište’: prvo stavljanje električne ili elektroničke opreme na nacionalno tržište;</w:t>
      </w:r>
    </w:p>
    <w:p w14:paraId="38196A95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„3. ‚uvoznik’: svaka fizička ili pravna osoba koja na nacionalno tržište stavlja električnu ili elektroničku opremu iz država članica Europske unije ili trećih zemalja;</w:t>
      </w:r>
    </w:p>
    <w:p w14:paraId="3814DEE0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„4. „prodavač„: svaka fizička ili pravna osoba koja, u okviru trgovačke djelatnosti, stavlja na raspolaganje na tržište prodajom, uključujući i prodaju na daljinu, električnu ili elektroničku opremu potrošačima;</w:t>
      </w:r>
    </w:p>
    <w:p w14:paraId="596FE06B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„5. „prodaja na daljinu”: ugovor sklopljen na daljinu između profesionalnog prodavača i potrošača, u okviru organiziranog sustava prodaje, bez istodobne fizičke prisutnosti profesionalnog prodavača i potrošača, uz isključivu uporabu jedne ili više tehnika komunikacije na daljinu sve do sklapanja ugovora;</w:t>
      </w:r>
    </w:p>
    <w:p w14:paraId="76DB3484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„6. „model”: verzija opreme čije sve jedinice imaju iste tehničke značajke relevantne za izračun indeksa popravljivosti.</w:t>
      </w:r>
    </w:p>
    <w:p w14:paraId="6A24F5EF" w14:textId="2E831C23" w:rsidR="004F7E45" w:rsidRPr="004F7E45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„Drugi pojmovi tumače se u skladu s odredbama članka R543 – 171 – 2, „proizvođač”, odnosno „tvorničar” u smislu ovog članka.</w:t>
      </w:r>
    </w:p>
    <w:p w14:paraId="26FBD48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„Članak R541 – 212. - I.- Za električnu ili elektroničku opremu koju stavljaju na tržište proizvođači ili uvoznici utvrđuju indeks popravljivosti, kao i parametre na temelju kojih se indeks utvrđuje, na načine propisane u Nalogu iz članka R541 – 214. stavka III.</w:t>
      </w:r>
      <w:r>
        <w:rPr>
          <w:rFonts w:ascii="Times New Roman" w:hAnsi="Times New Roman"/>
          <w:sz w:val="24"/>
        </w:rPr>
        <w:br/>
        <w:t>„II. - Proizvođači i uvoznici besplatno i u nematerijalnom obliku obavještavaju distributere ili prodavače u trenutku indeksiranja i isporuke električne i elektroničke opreme za svaki model opreme koji se stavlja na tržište:</w:t>
      </w:r>
      <w:r>
        <w:rPr>
          <w:rFonts w:ascii="Times New Roman" w:hAnsi="Times New Roman"/>
          <w:sz w:val="24"/>
        </w:rPr>
        <w:br/>
        <w:t>„1. Indeks popravljivosti u skladu s uvjetima i znakovima predviđenim u Nalogu iz članka R541 – 213 (I);</w:t>
      </w:r>
      <w:r>
        <w:rPr>
          <w:rFonts w:ascii="Times New Roman" w:hAnsi="Times New Roman"/>
          <w:sz w:val="24"/>
        </w:rPr>
        <w:br/>
        <w:t>„2. Parametri koji su omogućili utvrđivanje indeksa popravljivosti u skladu s formatom predviđenim u Nalogu iz članka R541 – 213. stavka I.</w:t>
      </w:r>
      <w:r>
        <w:rPr>
          <w:rFonts w:ascii="Times New Roman" w:hAnsi="Times New Roman"/>
          <w:sz w:val="24"/>
        </w:rPr>
        <w:br/>
        <w:t>„III. - Ako distributer i prodavatelj nisu isti, distributer je dužan besplatno i pod istim uvjetima iz točke II obavijestiti prodavatelja o indeksu i parametrima izračuna u trenutku indeksiranja i isporuke električne i elektroničke opreme.</w:t>
      </w:r>
      <w:r>
        <w:rPr>
          <w:rFonts w:ascii="Times New Roman" w:hAnsi="Times New Roman"/>
          <w:sz w:val="24"/>
        </w:rPr>
        <w:br/>
        <w:t xml:space="preserve">„IV. – Uz to, indeks se može staviti izravno na svaku opremu ili na pakiranje </w:t>
      </w:r>
      <w:r>
        <w:rPr>
          <w:rFonts w:ascii="Times New Roman" w:hAnsi="Times New Roman"/>
          <w:sz w:val="24"/>
        </w:rPr>
        <w:lastRenderedPageBreak/>
        <w:t>označivanjem ili stavljanjem naljepnice, u skladu s znakovima predviđenim u Nalogu iz članka R541 – 213. stavka I.</w:t>
      </w:r>
      <w:r>
        <w:rPr>
          <w:rFonts w:ascii="Times New Roman" w:hAnsi="Times New Roman"/>
          <w:sz w:val="24"/>
        </w:rPr>
        <w:br/>
        <w:t>„V.- Informacije navedene pod točkom II. proizvođač i uvoznik, bez naknade i u roku od 15 dana, dostavljaju svakome tko to zatraži u razdoblju od najmanje dvije godine nakon što je zadnja jedinica modela opreme stavljena na tržište.</w:t>
      </w:r>
    </w:p>
    <w:p w14:paraId="261403F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„Članak R541 – 213. - I.- Ako se električna ili elektronička oprema nudi za prodaju u trgovinama, prodavač je dužan na svakom dijelu opreme ili u neposrednoj blizini, u skladu s postupcima i znakovima propisanima Nalogom ministra odgovornog za okoliš i gospodarstvo, jasno navesti indeks popravljivosti koji je dostavio proizvođač ili uvoznik.</w:t>
      </w:r>
      <w:r>
        <w:rPr>
          <w:rFonts w:ascii="Times New Roman" w:hAnsi="Times New Roman"/>
          <w:sz w:val="24"/>
        </w:rPr>
        <w:br/>
        <w:t>„II. – Ako se električna ili elektronička oprema nudi na prodaju na daljinu, prodavatelj prikazuje indeks popravljivosti na vidljiv način u okviru prezentacije same opreme i u blizini cijene za istu, u skladu s odredbama i uvjetima utvrđenim u Nalogu spomenutim u točki I. „III. – Prodavač stavlja na raspolaganje potrošačima i parametre na temelju kojih je moguće utvrditi indeks popravljivosti opreme, bilo kojim prikladnim postupkom.</w:t>
      </w:r>
    </w:p>
    <w:p w14:paraId="09FA1FE2" w14:textId="409E689A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„Članak R541 – 214. I. – Indeks popravljivosti izračunava se primjenom sljedećih parametara:</w:t>
      </w:r>
      <w:r>
        <w:rPr>
          <w:rFonts w:ascii="Times New Roman" w:hAnsi="Times New Roman"/>
          <w:sz w:val="24"/>
        </w:rPr>
        <w:br/>
        <w:t>„1.</w:t>
      </w:r>
      <w:r w:rsidR="00AE27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ocjene jedan od dvadeset koja se odnosi na trajanje dostupnosti tehničke dokumentacije i dokumentacije sa savjetima za uporabu i održavanje kod proizvođača, servisera i potrošača;</w:t>
      </w:r>
    </w:p>
    <w:p w14:paraId="2403791F" w14:textId="125FDF46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„2.</w:t>
      </w:r>
      <w:r w:rsidR="00AE27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ocjene jedan od dvadeset koja se odnosi na mogućnost rastavljanja opreme: broj faza rastavljanja za jedinstveni pristup dijelovima, svojstva potrebnog alata i učvršćenja između dijelova;</w:t>
      </w:r>
    </w:p>
    <w:p w14:paraId="681FCAC1" w14:textId="7B2EEB3B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„3.</w:t>
      </w:r>
      <w:r w:rsidR="00AE27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ocjene jedan od dvadeset koja se odnosi na vremensko razdoblje tijekom kojeg su na tržištu dostupni rezervni dijelovi i na rokove isporuke kod proizvođača, distributera rezervnih dijelova, servisera i potrošača;</w:t>
      </w:r>
    </w:p>
    <w:p w14:paraId="4133FD83" w14:textId="61E381FD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„4.</w:t>
      </w:r>
      <w:r w:rsidR="00AE27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ocjene jedan od dvadeset koja se odnosi na omjer prodajne cijene dijelova koju određuje proizvođač ili uvoznik i prodajne cijene opreme koje utvrđuje proizvođač ili uvoznik, a koja se izračunava na načine predviđene odlukom.</w:t>
      </w:r>
    </w:p>
    <w:p w14:paraId="68E845C2" w14:textId="166C974C" w:rsidR="004F7E45" w:rsidRPr="004F7E45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„5.</w:t>
      </w:r>
      <w:r w:rsidR="00AE27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ocjene jedan od dvadeset koja se odnosi na posebne kriterije za predmetnu kategoriju opreme.</w:t>
      </w:r>
      <w:r>
        <w:rPr>
          <w:rFonts w:ascii="Times New Roman" w:hAnsi="Times New Roman"/>
          <w:sz w:val="24"/>
        </w:rPr>
        <w:br/>
        <w:t>„II. – Indeks popravljivosti dobiva se zbrajanjem pet dobivenih ocjena, a taj se zbroj zatim dijeli s brojem deset kako bi se dobila ukupna ocjena na ljestvici od 1 do 10.</w:t>
      </w:r>
      <w:r>
        <w:rPr>
          <w:rFonts w:ascii="Times New Roman" w:hAnsi="Times New Roman"/>
          <w:sz w:val="24"/>
        </w:rPr>
        <w:br/>
        <w:t>„III. - Za svaku kategoriju električne i elektroničke opreme, nalogom ministra okoliša i ministra gospodarstva i financija utvrđuju se svi kriteriji i podkriteriji, uključujući posebne kriterije za određenu kategoriju kao i načini izračuna indeksa.</w:t>
      </w:r>
    </w:p>
    <w:p w14:paraId="31C9246E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2.</w:t>
      </w:r>
    </w:p>
    <w:p w14:paraId="0C875A98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Odredbe ove Uredbe stupaju na snagu 1. siječnja 2021.</w:t>
      </w:r>
    </w:p>
    <w:p w14:paraId="3FAB2966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3.</w:t>
      </w:r>
    </w:p>
    <w:p w14:paraId="24600007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Ministrica ekološke tranzicije i ministar gospodarstva i financija zaduženi su, svatko u </w:t>
      </w:r>
      <w:r>
        <w:rPr>
          <w:rFonts w:ascii="Times New Roman" w:hAnsi="Times New Roman"/>
          <w:sz w:val="24"/>
        </w:rPr>
        <w:lastRenderedPageBreak/>
        <w:t>svojem resoru, za provedbu ove Uredbe, koja će biti objavljena u Službenom listu Francuske Republike.</w:t>
      </w:r>
    </w:p>
    <w:p w14:paraId="11EDDB72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Dana 29. prosinca 2020.</w:t>
      </w:r>
    </w:p>
    <w:p w14:paraId="6D086227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Jean Castex</w:t>
      </w:r>
      <w:r>
        <w:rPr>
          <w:rFonts w:ascii="Times New Roman" w:hAnsi="Times New Roman"/>
          <w:sz w:val="24"/>
        </w:rPr>
        <w:br/>
        <w:t>po ovlaštenju premijera:</w:t>
      </w:r>
    </w:p>
    <w:p w14:paraId="75AA65C8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Ministrica ekološke tranzicije</w:t>
      </w:r>
      <w:r>
        <w:rPr>
          <w:rFonts w:ascii="Times New Roman" w:hAnsi="Times New Roman"/>
          <w:sz w:val="24"/>
        </w:rPr>
        <w:br/>
        <w:t>Barbara Pompili</w:t>
      </w:r>
    </w:p>
    <w:p w14:paraId="250F8DFD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Ministar gospodarstva, financija i oporavka</w:t>
      </w:r>
      <w:r>
        <w:rPr>
          <w:rFonts w:ascii="Times New Roman" w:hAnsi="Times New Roman"/>
          <w:sz w:val="24"/>
        </w:rPr>
        <w:br/>
        <w:t>Bruno Le Maire</w:t>
      </w:r>
    </w:p>
    <w:p w14:paraId="60C6DEC7" w14:textId="77777777" w:rsidR="00CF4D53" w:rsidRDefault="00CF4D53"/>
    <w:sectPr w:rsidR="00CF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45"/>
    <w:rsid w:val="004C7568"/>
    <w:rsid w:val="004F7E45"/>
    <w:rsid w:val="00AE27A1"/>
    <w:rsid w:val="00C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4B5C"/>
  <w15:chartTrackingRefBased/>
  <w15:docId w15:val="{A73B6F73-6A2C-4EF9-AF88-F4CB7DA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3</cp:revision>
  <dcterms:created xsi:type="dcterms:W3CDTF">2021-01-04T14:42:00Z</dcterms:created>
  <dcterms:modified xsi:type="dcterms:W3CDTF">2021-04-27T11:26:00Z</dcterms:modified>
</cp:coreProperties>
</file>