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szCs w:val="20"/>
        </w:rPr>
        <w:t>1. ------IND- 2020 0581 E-- SL-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rPr>
        <w:t>OSNUTEK KRALJEVE UREDBE …/2020 z dne … … 2020 O ODOBRITVI STANDARDOV KAKOVOSTI OLJČNEGA OLJA IN OLJA IZ OLJČNIH TROPIN</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Španija je vodilna svetovna proizvajalka in izvoznica oljčnega olja. Olive in oljčno olje tvorijo sektor, ki je socialno, ekonomsko in trgovinsko zelo pomemben v Španiji in na mednarodnih trgih, pri čemer povpraševanje po teh proizvodih stalno raste. Cilj te kraljeve uredbe je posodobiti zakonodajo, da bo bolje prilagojena trenutnim razmeram v industriji in najnovejšim tehnologijam ter bo spodbujala kakovost oljčnega olja kot enega od osnovnih stebrov razvoja sektorja.</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V Španiji</w:t>
      </w:r>
      <w:r>
        <w:rPr>
          <w:rStyle w:val="Strong"/>
        </w:rPr>
        <w:t xml:space="preserve"> </w:t>
      </w:r>
      <w:r>
        <w:t>Uredba 2484/1967 z dne 21. septembra 1967 o odobritvi besedila španskega zakonika o živilih zajema oljčna olja v oddelku 2 poglavja XVI. To področje je bilo razvito in posebej urejeno s Kraljevo uredbo 308/1983 z dne 25. januarja 1983 o sprejetju tehničnih in zdravstvenih predpisov za jedilna rastlinska olja.</w:t>
      </w:r>
    </w:p>
    <w:p w14:paraId="11F5D3F9" w14:textId="146784C4" w:rsidR="00090536" w:rsidRPr="00DE35E8" w:rsidRDefault="00090536" w:rsidP="00B503A1">
      <w:pPr>
        <w:spacing w:after="240"/>
        <w:jc w:val="both"/>
        <w:rPr>
          <w:rFonts w:ascii="Arial" w:hAnsi="Arial" w:cs="Arial"/>
        </w:rPr>
      </w:pPr>
      <w:r>
        <w:rPr>
          <w:rFonts w:ascii="Arial" w:hAnsi="Arial"/>
        </w:rPr>
        <w:t xml:space="preserve">V Evropski uniji so predpisi o oljčnem olju in olju iz oljčnih tropin usklajeni z Uredbo Komisije (EGS) št. 2568/91 z dne 11. julija 1991 o značilnostih oljčnega olja in olja iz oljčnih tropin ter o ustreznih analiznih metodah ter Uredbo (EU) št. 1308/2013 Evropskega parlamenta in Sveta z dne 17. decembra 2013 o vzpostavitvi skupne ureditve trgov kmetijskih proizvodov in razveljavitvi uredb Sveta (EGS) št. 922/72, (EGS) št. 234/79, (ES) št. 1037/2001 in (ES) št. 1234/2007. V njih so določena imena, opredelitve, fizikalno-kemijske in senzorične značilnosti ter metode za vzorčenje in analiziranje teh proizvodov.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Podobno so v Izvedbeni uredbi Komisije (EU) št. 29/2012 z dne 13. januarja 2012 o tržnih standardih za oljčno olje razviti tržni standardi in postopek za upravno sodelovanje med Komisijo in državami članicami v zvezi s standardi nadzora za te proizvode. S to uredbo je preklicana Uredba (ES) št. 1019/2002, kakor je bila prenesena in dopolnjena v Španiji s Kraljevo uredbo 1431/2003 </w:t>
      </w:r>
      <w:r>
        <w:rPr>
          <w:rStyle w:val="Strong"/>
          <w:rFonts w:ascii="Arial" w:hAnsi="Arial"/>
          <w:b w:val="0"/>
        </w:rPr>
        <w:t>z dne 21. novembra 2003 o določitvi posebnih tržnih ukrepov v sektorju oljčnega olja in olja iz oljčnih tropin.</w:t>
      </w:r>
    </w:p>
    <w:p w14:paraId="6B699213" w14:textId="6ECAC799" w:rsidR="00090536" w:rsidRPr="00DE35E8" w:rsidRDefault="00090536" w:rsidP="00B503A1">
      <w:pPr>
        <w:pStyle w:val="Default"/>
        <w:spacing w:before="100" w:beforeAutospacing="1" w:after="100" w:afterAutospacing="1"/>
        <w:jc w:val="both"/>
        <w:rPr>
          <w:color w:val="auto"/>
        </w:rPr>
      </w:pPr>
      <w:r>
        <w:rPr>
          <w:color w:val="auto"/>
        </w:rPr>
        <w:t>Navedena Kraljeva uredba 308/1983 z dne 25. januarja 1983 je bila večkrat spremenjena, zaradi razvoja proizvodnih in prehranskih pogojev v skoraj štirih desetletjih pa jo je treba nadomestiti z novim, specifičnim ukrepom za oljčno olje in olje iz oljčnih tropin zaradi njune edinstvenosti in pomembnosti njune proizvodnje v Španiji. Njun lasten standard, ki bo ločen od standarda za druga rastlinska olja, bo pomagal bolje prilagoditi proizvodnjo in sisteme samonadzora ter standarde pakiranja in označevanja evropskim predpisom ter razvoju tehnoloških meril in napredka. Poleg tega, da je njegova vsebina posodobljena, je standard prestrukturiran in poenostavljen in odstranjeni so zdravstveni ter higienski vidiki, ki so razviti in usklajeni horizontalno v vseh veljavnih predpisih Skupnosti.</w:t>
      </w:r>
    </w:p>
    <w:p w14:paraId="7A8064F9" w14:textId="1DD88362" w:rsidR="00090536" w:rsidRPr="00DE35E8" w:rsidRDefault="00090536" w:rsidP="00B51ABE">
      <w:pPr>
        <w:pStyle w:val="Default"/>
        <w:keepNext/>
        <w:keepLines/>
        <w:jc w:val="both"/>
        <w:rPr>
          <w:color w:val="auto"/>
        </w:rPr>
      </w:pPr>
      <w:r>
        <w:rPr>
          <w:color w:val="auto"/>
        </w:rPr>
        <w:lastRenderedPageBreak/>
        <w:t>Zato je treba preklicati vsebino oddelka 2 poglavja XVI španskega zakonika o živilih, odobrenega z Uredbo 2484/1967 z dne 21. septembra 1967, navedeno Kraljevo uredbo 308/1983 z dne 25. januarja 1983 pa je treba preklicati v delih, ki se nanašajo na oljčno olje in olje iz oljčnih tropin. Poleg tega je bila ureditev na tem področju precej razpršena, kar je težava, ki je bila rešena z združitvijo določb, ki se uporabljajo za oljčno olje in olje iz oljčnih tropin, zaradi česar je treba preklicati te standarde, kar bo imelo pozitiven učinek z vidika pravne varnosti.</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Ta standard se bo uporabljal za oljčno olje in olje iz oljčnih tropin, proizvedeno in dano na trg v Španiji, brez poseganja v skladnost s klavzulo Evropske unije o vzajemnem priznavanju.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Da bi ohranili in okrepili vrednost oljčnega olja in olja iz oljčnih tropin ter preprečili morebitne goljufive prakse, morajo biti v tem standardu določene nekatere obveznosti za gospodarske subjekte v sektorju z vidika objektov, prepovedanih praks, spremljevalnih dokumentov in sledljivosti proizvodov. </w:t>
      </w:r>
      <w:r>
        <w:rPr>
          <w:color w:val="auto"/>
          <w:shd w:val="clear" w:color="auto" w:fill="FFFFFF"/>
        </w:rPr>
        <w:t xml:space="preserve">Te obveznosti in prepovedi se morajo uporabljati za vse gospodarske subjekte, ki se razumejo kot fizične ali pravne osebe, ki sodelujejo v kateri koli fazi proizvodnje in trženja oljčnega olja in olja iz oljčnih tropin, kar torej vključuje med drugim centre za nakup oliv, zadruge in mobilne oljarne. </w:t>
      </w:r>
    </w:p>
    <w:p w14:paraId="6681DADD" w14:textId="6743B4E5" w:rsidR="00090536" w:rsidRPr="00DE35E8" w:rsidRDefault="00936DB3" w:rsidP="00B503A1">
      <w:pPr>
        <w:pStyle w:val="Default"/>
        <w:spacing w:after="240"/>
        <w:jc w:val="both"/>
        <w:rPr>
          <w:color w:val="auto"/>
        </w:rPr>
      </w:pPr>
      <w:r>
        <w:rPr>
          <w:color w:val="auto"/>
        </w:rPr>
        <w:t>Pri izvajanju člena 7(a) Uredbe (EGS) št. 2568/91 in brez poseganja v določbe Uredbe (ES) št. 178/2002 bo uveden obvezen standard sledljivosti, ki bo omogočil preprosto ugotavljanje lokacije in pravilno identifikacijo v vseh fazah proizvodnje prevoza in dajanja olj, na katere se standard nanaša, na trg.</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Sistem sledljivosti bo pomagal spodbujati kakovost živil, okrepil zaupanje potrošnikov, pomagal ločiti proizvode od podobnih, obnovil in izboljšal trg ter zagotovil selektivni odpoklic proizvodov, kjer je ustrezno.</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Da bi gospodarskim subjektom olajšali izpolnjevanje njihovih obveznosti iz standarda, pristojnim organom pa njihov nadzor, je treba uvesti računalniški sistem, v katerem bodo združeni podatki o premikih oljčnega olja in olja iz oljčnih tropin.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V zvezi z informacijami o živilih ter dovoljenimi odstopanji pri nadzoru dejanske vsebine posode veljajo določbe Uredbe (EU) št. 1169/2011 Evropskega parlamenta in Sveta z dne 25. oktobra 2011 o zagotavljanju informacij o živilih potrošnikom ter Kraljeve uredbe 1801/2008 z dne 3. novembra 2008 o določitvi pravil glede nazivnih količin pakiranih proizvodov in nadzoru njihove dejanske vsebine.</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V skladu s politikami Evropske unije o trajnostnem razvoju in zlasti politikami glede zmanjšanja uporabe plastike, je v uredbi omejena uporaba tega materiala za nekatere proizvode, katerih videz se poleg tega lahko poslabša v nekaterih oblikah embalaže, kot so plastične posode.</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Glede na pomembnost sodelovanja in izmenjave med javnimi upravami je primerno določiti poseben nadzorni načrt za preverjanje in sledljivost v sektorju oljčnega olja in olja iz oljčnih tropin, ki ga bodo lahko izvajali organi za nadzor kakovosti in ki ga bo sprejel Odbor za usklajevanje kakovosti živil. </w:t>
      </w:r>
    </w:p>
    <w:p w14:paraId="1AAAE751" w14:textId="1C165D2B" w:rsidR="00661336" w:rsidRPr="00DE35E8" w:rsidRDefault="00661336" w:rsidP="00B503A1">
      <w:pPr>
        <w:pStyle w:val="Default"/>
        <w:jc w:val="both"/>
        <w:rPr>
          <w:color w:val="auto"/>
        </w:rPr>
      </w:pPr>
      <w:r>
        <w:rPr>
          <w:color w:val="auto"/>
        </w:rPr>
        <w:lastRenderedPageBreak/>
        <w:t xml:space="preserve">Poleg tega bo ministrstvo za kmetijstvo, ribištvo in prehrano za izboljšanje preglednosti informacij o preverjanjih skladnosti oljčnih olj, ki jih izvajajo pristojni organi, sestavilo in objavilo poročilo, ki bo vključevalo rezultate sprejetih ukrepov.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Ta kraljeva uredba je bila predmet postopka, ki ga predvidevata Direktiva (EU) 2015/1535 Evropskega parlamenta in Sveta z dne 9. septembra 2015 o določitvi postopka za zbiranje informacij na področju tehničnih standardov in tehničnih predpisov in Kraljeva uredba 1337/1999 z dne 31. julija 1999 o zagotavljanju informacij na področju tehničnih pravil in predpisov ter predpisov v zvezi s storitvami informacijske družbe.</w:t>
      </w:r>
    </w:p>
    <w:p w14:paraId="438C14E9" w14:textId="1E6F66D7" w:rsidR="001B6D0C" w:rsidRPr="00B51ABE" w:rsidRDefault="001B6D0C" w:rsidP="00B503A1">
      <w:pPr>
        <w:pStyle w:val="Default"/>
        <w:spacing w:after="240"/>
        <w:jc w:val="both"/>
        <w:rPr>
          <w:color w:val="auto"/>
          <w:spacing w:val="-4"/>
        </w:rPr>
      </w:pPr>
      <w:r w:rsidRPr="00B51ABE">
        <w:rPr>
          <w:color w:val="auto"/>
          <w:spacing w:val="-4"/>
        </w:rPr>
        <w:t>Vsebina te kraljeve uredbe je v skladu z načeli dobrega upravljanja, določenimi v členu 129 Zakona 39/2015 z dne 1. oktobra 2015 o skupnem upravnem postopku v javni upravi. V skladu z načeloma nujnosti in učinkovitosti je ta standard utemeljen s potrebo po določitvi ustreznega upravljanja sektorja oljčnega olja in olja iz oljčnih tropin. To je najbolje doseženo z razveljavitvijo Kraljeve uredbe 308/1983 z dne 25. januarja 1983 o odobritvi tehničnih in zdravstvenih predpisov za rastlinska olja v delu, v katerem se nanaša na oljčno olje in olje iz oljčnih tropin, in odobritvijo novega standarda kakovosti, ki posebej ureja oljčno olje in olje iz oljčnih tropin. Podobno sta bili pri določitvi predpisov upoštevani načeli učinkovitosti in sorazmernosti ter upravna bremena so bila omejena na samo tista, ki so nujna za izpolnitev načrtovanega namena. V skladu z načelom preglednosti je obravnava teh določb poleg postopka javnega posvetovanja in obveščanja vključevala posvetovanje z avtonomnimi skupnostmi ter predstavniki zadevnih sektorjev in potrošnikov, Medministrska komisija za upravljanje živil pa je izdala obvezno poročilo. Končno je ta kraljeva uredba v skladu z načelom pravne varnosti, saj je skladna s preostalim veljavnim pravnim sistemom in daje gospodarskim subjektom na voljo potrebna prehodna obdobja za prilagoditev standardu.</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Ta kraljeva uredba je sprejeta v okviru člena 149(1)(13) Španske ustave, ki daje državi izključno pristojnost glede osnovnih pravil in usklajevanja splošnega gospodarskega načrtovanja. </w:t>
      </w:r>
    </w:p>
    <w:p w14:paraId="2B5EAD10" w14:textId="77777777" w:rsidR="00B776A3" w:rsidRPr="00DE35E8" w:rsidRDefault="00B776A3" w:rsidP="00B503A1">
      <w:pPr>
        <w:pStyle w:val="Default"/>
        <w:spacing w:after="240"/>
        <w:jc w:val="both"/>
        <w:rPr>
          <w:color w:val="auto"/>
        </w:rPr>
      </w:pPr>
      <w:r>
        <w:rPr>
          <w:color w:val="auto"/>
        </w:rPr>
        <w:t>Podobno španski Zakon 28/2015 z dne 30. julija 2015 o varstvu kakovosti živil določa pravno podlago za varstvo kakovosti živil in osnovne predpise na tem področju. V svoji četrti končni določbi pooblašča vlado za odobritev standardov kakovosti za živilske proizvode. Ti standardi omogočajo zagotovitev in ohranjanje kakovosti proizvodov, danih na trg, saj določitev njihovih značilnosti in kategorizacija omogočata potrošnikom, da proizvode primerjajo in izberejo tiste, ki najbolje ustrezajo njihovemu okusu in njihovim potrebam.</w:t>
      </w:r>
    </w:p>
    <w:p w14:paraId="641893D6" w14:textId="010C894B" w:rsidR="00090536" w:rsidRPr="00DE35E8" w:rsidRDefault="00090536" w:rsidP="00B503A1">
      <w:pPr>
        <w:pStyle w:val="Default"/>
        <w:jc w:val="both"/>
        <w:rPr>
          <w:color w:val="auto"/>
        </w:rPr>
      </w:pPr>
      <w:r>
        <w:rPr>
          <w:color w:val="auto"/>
        </w:rPr>
        <w:t xml:space="preserve">Na podlagi tega in na podlagi predloga ministra za kmetijstvo, ribištvo in prehrano ter ministra za industrijo, trgovino in turizem, v dogovoru z Državnim svetom in po razpravi Sveta ministrov na seji dne ...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lastRenderedPageBreak/>
        <w:t>JE ODREJENO NASLEDNJE:</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Člen 1. </w:t>
      </w:r>
      <w:r>
        <w:rPr>
          <w:rFonts w:ascii="Arial" w:hAnsi="Arial"/>
          <w:i/>
        </w:rPr>
        <w:t>Namen.</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Namen te kraljeve uredbe je določiti standard kakovosti za oljčno olje in olje iz oljčnih tropin. </w:t>
      </w:r>
    </w:p>
    <w:p w14:paraId="72CC39D6" w14:textId="77777777" w:rsidR="009C4D64" w:rsidRPr="00DE35E8" w:rsidRDefault="009C4D64" w:rsidP="00B503A1">
      <w:pPr>
        <w:spacing w:before="360" w:after="360"/>
        <w:jc w:val="both"/>
        <w:rPr>
          <w:rFonts w:ascii="Arial" w:hAnsi="Arial" w:cs="Arial"/>
          <w:i/>
        </w:rPr>
      </w:pPr>
      <w:r>
        <w:rPr>
          <w:rFonts w:ascii="Arial" w:hAnsi="Arial"/>
          <w:b/>
        </w:rPr>
        <w:t>Člen 2.</w:t>
      </w:r>
      <w:r>
        <w:rPr>
          <w:rFonts w:ascii="Arial" w:hAnsi="Arial"/>
          <w:b/>
          <w:i/>
        </w:rPr>
        <w:t xml:space="preserve"> </w:t>
      </w:r>
      <w:r>
        <w:rPr>
          <w:rFonts w:ascii="Arial" w:hAnsi="Arial"/>
          <w:i/>
        </w:rPr>
        <w:t>Področje uporabe.</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Ta standard se uporablja za oljčno olje in olje iz oljčnih tropin, proizvedeno in dano na trg v Španiji, brez poseganja v skladnost s klavzulo Evropske unije o vzajemnem priznavanju.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Uporablja se tudi za gospodarske subjekte, ki proizvajajo ali prodajajo oljčno olje in olje iz oljčnih tropin v Španiji. </w:t>
      </w:r>
    </w:p>
    <w:p w14:paraId="7A10942A" w14:textId="4AD932FE" w:rsidR="00AB71F9" w:rsidRPr="00DE35E8" w:rsidRDefault="00AB71F9" w:rsidP="00B503A1">
      <w:pPr>
        <w:spacing w:before="360" w:after="360"/>
        <w:jc w:val="both"/>
        <w:rPr>
          <w:rFonts w:ascii="Arial" w:hAnsi="Arial" w:cs="Arial"/>
          <w:b/>
          <w:i/>
        </w:rPr>
      </w:pPr>
      <w:r>
        <w:rPr>
          <w:rFonts w:ascii="Arial" w:hAnsi="Arial"/>
          <w:b/>
        </w:rPr>
        <w:t>Člen 3.</w:t>
      </w:r>
      <w:r>
        <w:rPr>
          <w:rFonts w:ascii="Arial" w:hAnsi="Arial"/>
          <w:b/>
          <w:i/>
        </w:rPr>
        <w:t xml:space="preserve"> </w:t>
      </w:r>
      <w:r>
        <w:rPr>
          <w:rFonts w:ascii="Arial" w:hAnsi="Arial"/>
          <w:i/>
        </w:rPr>
        <w:t>Imena proizvodov in opredelitve.</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 Opredelitve in imena različnih kategorij proizvodov, v katere je razvrščeno oljčno olje in olje iz oljčnih tropin, so določena v delu VIII Priloge VII k Uredbi (EU) št. 1308/2013 Evropskega parlamenta in Sveta z dne 17. decembra 2013 o vzpostavitvi skupne ureditve trgov kmetijskih proizvodov in razveljavitvi uredb Sveta (EGS) št. 922/72, (EGS) št. 234/79, (ES) št. 1037/2001 in (ES) št. 1234/2007 ter evropski zakonodaji, s katero se slednja izvaja ali nadomesti.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2. Za namene te kraljeve uredbe se uporabljajo naslednje opredelitve pojmov.</w:t>
      </w:r>
    </w:p>
    <w:p w14:paraId="367FE3EC" w14:textId="28BA55D0" w:rsidR="00B56228" w:rsidRPr="00DE35E8" w:rsidRDefault="009F53DF" w:rsidP="00B503A1">
      <w:pPr>
        <w:spacing w:after="160"/>
        <w:jc w:val="both"/>
        <w:rPr>
          <w:rFonts w:ascii="Arial" w:hAnsi="Arial" w:cs="Arial"/>
        </w:rPr>
      </w:pPr>
      <w:r>
        <w:rPr>
          <w:rFonts w:ascii="Arial" w:hAnsi="Arial"/>
        </w:rPr>
        <w:t xml:space="preserve">(a) Center za nakup in/ali prevzem oliv pomeni objekt, ki je namenjen kupovanju in/ali prevzemu oliv od različnih kmetov, ki so nato poslane v oljarno ali objekt za pakiranje brez obdelave sadežev. </w:t>
      </w:r>
    </w:p>
    <w:p w14:paraId="015DB5A6" w14:textId="4A9CCC71" w:rsidR="00565790" w:rsidRPr="00DE35E8" w:rsidRDefault="009F53DF" w:rsidP="00B503A1">
      <w:pPr>
        <w:spacing w:before="100" w:beforeAutospacing="1" w:after="100" w:afterAutospacing="1"/>
        <w:jc w:val="both"/>
        <w:rPr>
          <w:rFonts w:ascii="Arial" w:eastAsiaTheme="minorHAnsi" w:hAnsi="Arial" w:cs="Arial"/>
        </w:rPr>
      </w:pPr>
      <w:r>
        <w:t>(</w:t>
      </w:r>
      <w:r>
        <w:rPr>
          <w:rFonts w:ascii="Arial" w:hAnsi="Arial"/>
        </w:rPr>
        <w:t xml:space="preserve">b) Oljarna pomeni stiskalnico ali objekt, v katerem se z mehanskimi ali fizikalnimi sredstvi z mletjem </w:t>
      </w:r>
      <w:hyperlink r:id="rId8" w:tooltip="Oljka" w:history="1">
        <w:r>
          <w:rPr>
            <w:rFonts w:ascii="Arial" w:hAnsi="Arial"/>
          </w:rPr>
          <w:t>oliv</w:t>
        </w:r>
      </w:hyperlink>
      <w:r>
        <w:rPr>
          <w:rFonts w:ascii="Arial" w:hAnsi="Arial"/>
        </w:rPr>
        <w:t xml:space="preserve">, ki so celi surovi sadeži rastline </w:t>
      </w:r>
      <w:r>
        <w:rPr>
          <w:rFonts w:ascii="Arial" w:hAnsi="Arial"/>
          <w:i/>
          <w:iCs/>
        </w:rPr>
        <w:t>Olea europaea L.</w:t>
      </w:r>
      <w:r>
        <w:rPr>
          <w:rFonts w:ascii="Arial" w:hAnsi="Arial"/>
        </w:rPr>
        <w:t xml:space="preserve">, pridobiva deviško oljčno </w:t>
      </w:r>
      <w:hyperlink r:id="rId9" w:tooltip="Oljčno olje" w:history="1">
        <w:r>
          <w:rPr>
            <w:rFonts w:ascii="Arial" w:hAnsi="Arial"/>
          </w:rPr>
          <w:t>olje</w:t>
        </w:r>
      </w:hyperlink>
      <w:r>
        <w:t>.</w:t>
      </w:r>
      <w:r>
        <w:rPr>
          <w:rFonts w:ascii="Arial" w:hAnsi="Arial"/>
        </w:rPr>
        <w:t xml:space="preserve">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Mobilna oljarna pomeni oljarno, ki je prepeljana na lokacijo za mletje oliv, torej surovih sadežev rastline </w:t>
      </w:r>
      <w:r>
        <w:rPr>
          <w:rFonts w:ascii="Arial" w:hAnsi="Arial"/>
          <w:i/>
          <w:iCs/>
        </w:rPr>
        <w:t xml:space="preserve">Olea europaea L., </w:t>
      </w:r>
      <w:r>
        <w:rPr>
          <w:rFonts w:ascii="Arial" w:hAnsi="Arial"/>
        </w:rPr>
        <w:t xml:space="preserve">na kraju samem za pridobivanje deviškega oljčnega olja. Mobilna oljarna nima določene ali fiksne fizične lokacije.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(d) Pakirnica olja pomeni obrat ali objekt, v katerem se oljčno olje ali olje iz oljčnih tropin pakira za prehrano ljudi.</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(e) Rafinerija pomeni obrat ali objekt, v katerem se oljčno olje ali olje iz oljčnih tropin rafinira za prehrano ljudi.</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lastRenderedPageBreak/>
        <w:t xml:space="preserve">(f) Ekstraktor pomeni obrat ali objekt, uporabljen za pridobivanje surovega olja iz oljčnih tropin s fizikalnimi ali kemijskimi postopki. To vključuje objekte, ki se uporabljajo samo za sušenje mokrih maščobnih tropin iz mletja celih surovih oliv. </w:t>
      </w:r>
    </w:p>
    <w:p w14:paraId="60ACFDD6" w14:textId="4E7B9285" w:rsidR="009F100F" w:rsidRPr="00DE35E8" w:rsidRDefault="000B53F1" w:rsidP="00B503A1">
      <w:pPr>
        <w:spacing w:after="160"/>
        <w:jc w:val="both"/>
        <w:rPr>
          <w:rFonts w:ascii="Arial" w:hAnsi="Arial" w:cs="Arial"/>
        </w:rPr>
      </w:pPr>
      <w:r>
        <w:rPr>
          <w:rFonts w:ascii="Arial" w:hAnsi="Arial"/>
        </w:rPr>
        <w:t xml:space="preserve">(g) Skladišče pomeni objekt, v katerem se proizvodi ne obdelujejo, temveč samo začasno hranijo med gospodarskimi subjekti v sektorju.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Gospodarski subjekt pomeni fizično ali pravno osebo, ki izvaja svojo dejavnost v sektorju in na trgu oljčnega olja ter olja iz oljčnih tropin, vključno s pridelovalci, ki dobijo svoje olje nepakirano iz oljarne, in vsemi, ki kupijo ali dobijo deviško oljčno olje nepakirano iz oljarne. Izraz gospodarski subjekt se nanaša tudi na stroje za pakiranje in zavijanje oliv, kadar uporabljajo cele neobdelane surove sadeže rastline </w:t>
      </w:r>
      <w:r>
        <w:rPr>
          <w:rFonts w:ascii="Arial" w:hAnsi="Arial"/>
          <w:i/>
          <w:iCs/>
        </w:rPr>
        <w:t>Olea europaea L.</w:t>
      </w:r>
      <w:r>
        <w:rPr>
          <w:rFonts w:ascii="Arial" w:hAnsi="Arial"/>
        </w:rPr>
        <w:t xml:space="preserve"> za pretvorbo v olje.</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Gospodarski subjekt brez objektov pomeni fizično ali pravno osebo brez lastnih objektov, ki deluje v sektorju in na trgu oljčnega olja ter olja iz oljčnih tropin.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(j) Pridelovalec pomeni fizično ali pravno osebo, ki ima v lasti oljčno kmetijo, na kateri prideluje olive (</w:t>
      </w:r>
      <w:r>
        <w:rPr>
          <w:rFonts w:ascii="Arial" w:hAnsi="Arial"/>
          <w:i/>
          <w:iCs/>
        </w:rPr>
        <w:t>Olea europaea L.</w:t>
      </w:r>
      <w:r>
        <w:rPr>
          <w:rFonts w:ascii="Arial" w:hAnsi="Arial"/>
        </w:rPr>
        <w:t xml:space="preserve">) za pretvorbo v oljčno olje, ki je pridobljeno z mletjem lastnih oliv v oljarni, ki zagotavlja storitve mletja.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Postopek rafiniranja pomeni vsak postopek, ki se izvede na oljčnih oljih in oljih iz oljčnih tropin, razen njihovega fizikalnega pridobivanja in prečiščevanja s pranjem, sedimentacijo, centrifugiranjem ali filtracijo.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Neprekinjeni postopek pomen vsak postopek, ki poteka brez prekinitve in brez prehoda med dejavnostmi, tudi če se med fazami uporablja lijak ali vmesna cisterna, v kateri se masa lahko hrani največ 12 ur, pri čemer postopek vedno poteka v okviru iste industrije.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(m) Končni potrošnik pomeni končnega potrošnika živilskega proizvoda, ki živila ne uporablja v okviru trgovinske dejavnosti ali dejavnosti v živilskem sektorju.</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(n) Skupnosti pomenijo vse obrate (vključno z vozili ali nepremičnimi ali mobilnimi stojnicami), kot so restavracije, kantine, učni centri, bolnišnice, podjetja za pripravo vnaprej pripravljenih obrokov in drugi socialni centri, katerih poslovna dejavnost vključuje pripravo živil za prehrano končnih potrošnikov.</w:t>
      </w:r>
      <w:r>
        <w:rPr>
          <w:rFonts w:ascii="Arial" w:hAnsi="Arial"/>
          <w:bCs/>
        </w:rPr>
        <w:t xml:space="preserve">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Člen 4. </w:t>
      </w:r>
      <w:r>
        <w:rPr>
          <w:rFonts w:ascii="Arial" w:hAnsi="Arial"/>
          <w:i/>
        </w:rPr>
        <w:t>Obveznosti glede sledljivosti.</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Gospodarski subjekti, zlasti gospodarski subjekti z objekti, so dolžni vzdrževati sistem sledljivost proizvodov, ne glede na to kje se hranijo njihovi proizvodi, kakor je določeno v Prilogi I.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Vsi vnosi v sistem morajo biti opravljeni v realnem času. </w:t>
      </w:r>
    </w:p>
    <w:p w14:paraId="092F6554" w14:textId="11358C79" w:rsidR="009867F2" w:rsidRPr="00DE35E8" w:rsidRDefault="009867F2" w:rsidP="00B51ABE">
      <w:pPr>
        <w:keepNext/>
        <w:keepLines/>
        <w:spacing w:before="360" w:after="360"/>
        <w:jc w:val="both"/>
        <w:rPr>
          <w:rFonts w:ascii="Arial" w:hAnsi="Arial" w:cs="Arial"/>
          <w:highlight w:val="lightGray"/>
        </w:rPr>
      </w:pPr>
      <w:r>
        <w:rPr>
          <w:rFonts w:ascii="Arial" w:hAnsi="Arial"/>
        </w:rPr>
        <w:lastRenderedPageBreak/>
        <w:t xml:space="preserve">Ne glede na določbe iz prejšnjih odstavkov in brez poseganja v skladnost z določbami Uredbe (ES) št. 178/2002 Evropskega parlamenta in Sveta z dne 28. januarja 2002 o določitvi splošnih načel in zahtevah živilske zakonodaje, ustanovitvi Evropske agencije za varnost hrane in postopkih, ki zadevajo varnost hrane, se od skladišč, ki so namenjena izključno hranjenju in distribuciji oljčnega olja in olja iz oljčnih tropin, ki je pakirano ter pripravljeno za prodajo končnim potrošnikom in trgovinam na drobno, ne zahteva, da vodijo registre o notranjem premikanju, določene v tem standardu.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Pri prevozu oljčnega olja in olja iz oljčnih tropin mora vse blago vedno spremljati dokument, na katerem so navedeni vsaj podatki iz Priloge II k tej kraljevi uredbi in na katerem je nedvoumno opredeljeno ime ustrezajočega proizvoda v skladu z veljavnimi predpisi.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Pri prevozu oljčnega olja in olja iz oljčnih tropin se od gospodarskih subjektov zahteva, da pred odpošiljanjem predložijo podatke iz odstavka 2 v namenski računalniški sistem, ki ga vzpostavi Ministrstvo za kmetijstvo, ribištvo in prehrano.</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Od gospodarskih subjektov iz člena 5(3) se zahteva, da v računalniški sistem iz prejšnjega odstavka priglasijo vse premike oljčnega olja in olja iz oljčnih tropin med stiskalnicami, rafinerijami in ekstraktorji v njihovem objektu.</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Isti gospodarski subjekti morajo pristojnemu nadzornemu organu tudi predložiti letno poročilo o registrih sledljivosti iz odstavka 1, v katerih so navedeni vsi vhodni, izhodni in notranji premiki vsake kategorije olja, ki jo proizvajajo, hranijo ali dajejo na trg.</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Člen 5. </w:t>
      </w:r>
      <w:r>
        <w:rPr>
          <w:rFonts w:ascii="Arial" w:hAnsi="Arial"/>
          <w:i/>
        </w:rPr>
        <w:t xml:space="preserve">Obveznosti v zvezi z objekti.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Novo vzpostavljene oljarne, rafinerije in ekstraktorji olja iz oljčnih tropin morajo biti nameščeni na ločenih mestih. Pod nobenimi pogoji ne smejo biti medsebojno povezani s kakršnimi koli vodi. </w:t>
      </w:r>
    </w:p>
    <w:p w14:paraId="46CEEEF6" w14:textId="76D68949" w:rsidR="000E44EE" w:rsidRPr="00DE35E8" w:rsidRDefault="00846C60" w:rsidP="00B503A1">
      <w:pPr>
        <w:spacing w:before="360" w:after="360"/>
        <w:jc w:val="both"/>
        <w:rPr>
          <w:rFonts w:ascii="Arial" w:hAnsi="Arial" w:cs="Arial"/>
        </w:rPr>
      </w:pPr>
      <w:r>
        <w:rPr>
          <w:rFonts w:ascii="Arial" w:hAnsi="Arial"/>
        </w:rPr>
        <w:t>2. Novo vzpostavljene oljarne, rafinerije in ektraktorji olja iz oljčnih tropin morajo biti ustrezno izolirani ali ločeni od drugih obratov ali prostorov, ki niso povezani z njihovo specifično dejavnostjo, zlasti tistih, ki so namenjeni proizvodnji, obdelavi, shranjevanju v nepakiranem stanju in pakiranju živalskih ali rastlinskih maščob ter industrijskih ali mineralnih maščob in olj.</w:t>
      </w:r>
    </w:p>
    <w:p w14:paraId="6A54E281" w14:textId="0A6B0DE1" w:rsidR="00240127" w:rsidRPr="00DE35E8" w:rsidRDefault="000E44EE" w:rsidP="00B503A1">
      <w:pPr>
        <w:spacing w:after="240"/>
        <w:jc w:val="both"/>
        <w:rPr>
          <w:rFonts w:ascii="Arial" w:hAnsi="Arial" w:cs="Arial"/>
        </w:rPr>
      </w:pPr>
      <w:r>
        <w:rPr>
          <w:rFonts w:ascii="Arial" w:hAnsi="Arial"/>
        </w:rPr>
        <w:t>3. Oljarne, rafinerije in ektraktorji olja iz oljčnih tropin, ki se v času začetka veljavnosti te uredbe že uporabljajo, so izvzeti iz obveznosti iz odstavkov 1 in 2 tega člena.</w:t>
      </w:r>
    </w:p>
    <w:p w14:paraId="5D720B27" w14:textId="1F5DACCF" w:rsidR="00B53FC3" w:rsidRPr="00DE35E8" w:rsidRDefault="00240127" w:rsidP="00B503A1">
      <w:pPr>
        <w:spacing w:after="240"/>
        <w:jc w:val="both"/>
        <w:rPr>
          <w:rFonts w:ascii="Arial" w:hAnsi="Arial" w:cs="Arial"/>
        </w:rPr>
      </w:pPr>
      <w:r>
        <w:rPr>
          <w:rFonts w:ascii="Arial" w:hAnsi="Arial"/>
        </w:rPr>
        <w:t>4. Oljarne in vsi drugi obrati, ki pripadajo gospodarskemu subjektu v tem sektorju, morajo razvrstiti vse olje, ki ga odpošiljajo, v skladu z imeni, določenimi v evropskih predpisih.</w:t>
      </w:r>
    </w:p>
    <w:p w14:paraId="1DFBB585" w14:textId="67BB3B44" w:rsidR="00C211C4" w:rsidRPr="00DE35E8" w:rsidRDefault="00240127" w:rsidP="00B503A1">
      <w:pPr>
        <w:spacing w:after="240"/>
        <w:jc w:val="both"/>
        <w:rPr>
          <w:rFonts w:ascii="Arial" w:hAnsi="Arial" w:cs="Arial"/>
        </w:rPr>
      </w:pPr>
      <w:r>
        <w:rPr>
          <w:rFonts w:ascii="Arial" w:hAnsi="Arial"/>
        </w:rPr>
        <w:t>5. V objektih za pakiranje olja morajo biti pogoji vseh cevi in cistern za olja, ki jih ureja ta uredba, ustrezni, da se prepreči navzkrižna kontaminacija.</w:t>
      </w:r>
    </w:p>
    <w:p w14:paraId="7BAD271D" w14:textId="34E0E7A0" w:rsidR="00B73E9D" w:rsidRPr="00DE35E8" w:rsidRDefault="00B73E9D" w:rsidP="00B51ABE">
      <w:pPr>
        <w:keepNext/>
        <w:keepLines/>
        <w:spacing w:before="360" w:after="360"/>
        <w:jc w:val="both"/>
        <w:rPr>
          <w:rFonts w:ascii="Arial" w:hAnsi="Arial" w:cs="Arial"/>
          <w:i/>
        </w:rPr>
      </w:pPr>
      <w:r>
        <w:rPr>
          <w:rFonts w:ascii="Arial" w:hAnsi="Arial"/>
          <w:b/>
          <w:bCs/>
        </w:rPr>
        <w:lastRenderedPageBreak/>
        <w:t>Člen 6.</w:t>
      </w:r>
      <w:r>
        <w:rPr>
          <w:rFonts w:ascii="Arial" w:hAnsi="Arial"/>
          <w:i/>
        </w:rPr>
        <w:t xml:space="preserve"> Obveznosti v zvezi z olji.</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Oljčno olje in olje iz oljčnih tropin, na katerega se nanaša ta ukrep, ima fizikalno-kemijske in senzorične značilnosti, določene v standardih Evropske unije, ki urejajo to področje, in značilnosti iz Priloge II.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Ti proizvodi so dobljeni samo iz celih sadežev oljk (</w:t>
      </w:r>
      <w:r>
        <w:rPr>
          <w:rFonts w:ascii="Arial" w:hAnsi="Arial"/>
          <w:i/>
          <w:iCs/>
        </w:rPr>
        <w:t>Olea europaea L.</w:t>
      </w:r>
      <w:r>
        <w:rPr>
          <w:rFonts w:ascii="Arial" w:hAnsi="Arial"/>
        </w:rPr>
        <w:t>), ki niso bili nikakor obdelani, razen čiščenja ali nealkalnega umivanja oliv.</w:t>
      </w:r>
      <w:r>
        <w:rPr>
          <w:rFonts w:ascii="Arial" w:hAnsi="Arial"/>
          <w:iCs/>
        </w:rPr>
        <w:t xml:space="preserve">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Nizkokakovostno oljčno olje ali oljčno olje z napako („lampante“) mora biti rafinirano pred uporabo v prehrani. </w:t>
      </w:r>
    </w:p>
    <w:p w14:paraId="097A7FE6" w14:textId="088927FF" w:rsidR="003335F1" w:rsidRPr="00DE35E8" w:rsidRDefault="008C2F75" w:rsidP="00B503A1">
      <w:pPr>
        <w:jc w:val="both"/>
        <w:rPr>
          <w:rFonts w:ascii="Arial" w:hAnsi="Arial" w:cs="Arial"/>
        </w:rPr>
      </w:pPr>
      <w:r>
        <w:rPr>
          <w:rFonts w:ascii="Arial" w:hAnsi="Arial"/>
        </w:rPr>
        <w:t xml:space="preserve">3. Oljčno olje in olje iz oljčnih tropin mora biti vedno zaščiteno pred škodljivimi okoljskimi pogoji, ki bi lahko spremenili fizikalno-kemijske in senzorične značilnosti, in torej mora biti med shranjevanjem, prevozom in dajanjem v promet zaščiteno pred svetlobo in toploto. </w:t>
      </w:r>
    </w:p>
    <w:p w14:paraId="2782ECB5" w14:textId="77F209DE" w:rsidR="003335F1" w:rsidRPr="00DE35E8" w:rsidRDefault="003335F1" w:rsidP="00B503A1">
      <w:pPr>
        <w:spacing w:before="360" w:after="360"/>
        <w:jc w:val="both"/>
        <w:rPr>
          <w:rFonts w:ascii="Arial" w:hAnsi="Arial" w:cs="Arial"/>
          <w:i/>
        </w:rPr>
      </w:pPr>
      <w:r>
        <w:rPr>
          <w:rFonts w:ascii="Arial" w:hAnsi="Arial"/>
          <w:b/>
          <w:bCs/>
        </w:rPr>
        <w:t>Člen 7.</w:t>
      </w:r>
      <w:r>
        <w:rPr>
          <w:rFonts w:ascii="Arial" w:hAnsi="Arial"/>
          <w:i/>
        </w:rPr>
        <w:t xml:space="preserve"> Obveznosti glede embalaže.</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Posode, v katerih so olja dana v promet, morajo biti čiste in narejene iz materialov, ki so varni za živila in ki ščitijo olje pred procesi oksidacije v skladu z veljavnimi zdravstvenimi in varnostnimi predpisi. Ne smejo biti zmožni spremeniti značilnosti vsebine, oddajati neobičajnih okusov ali vonjev ali povzročiti sprememb proizvoda in vedno morajo biti zaščiteni v skladu s členom 6(3).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Posode za oljčno olje in olje iz oljčnih tropin, namenjeno za prodajo ali dostavo končnim potrošnikom, vključno z oljem, ki ga oljarne dostavijo pridelovalcem za njihovo prehrano, ter oljem, dostavljenim skupnostim, morajo imeti napravo za zapiranje, ki je ni mogoče znova uporabiti, in biti označene v skladu z veljavno zakonodajo. </w:t>
      </w:r>
    </w:p>
    <w:p w14:paraId="0A2AD994" w14:textId="02AC4A07" w:rsidR="0035653C" w:rsidRPr="00DE35E8" w:rsidRDefault="00BA5254" w:rsidP="00B503A1">
      <w:pPr>
        <w:spacing w:after="240"/>
        <w:jc w:val="both"/>
        <w:rPr>
          <w:rFonts w:ascii="Arial" w:hAnsi="Arial" w:cs="Arial"/>
        </w:rPr>
      </w:pPr>
      <w:r>
        <w:rPr>
          <w:rFonts w:ascii="Arial" w:hAnsi="Arial"/>
        </w:rPr>
        <w:t>3. Prostornina posod, namenjenih za prodajo končnim potrošnikom, vključno s posodami, ki jih oljarne dostavijo pridelovalcem za njihovo prehrano, je največ pet litrov. Olja, dostavljena skupnostim, se lahko prodajajo tudi v posodah s prostornino 10, 20, 25 ali 50 litrov.</w:t>
      </w:r>
    </w:p>
    <w:p w14:paraId="55C9795C" w14:textId="20FCBB59" w:rsidR="00B56228" w:rsidRPr="00DE35E8" w:rsidRDefault="00BA5254" w:rsidP="00B503A1">
      <w:pPr>
        <w:pStyle w:val="Default"/>
        <w:spacing w:before="160"/>
        <w:jc w:val="both"/>
        <w:rPr>
          <w:color w:val="auto"/>
        </w:rPr>
      </w:pPr>
      <w:r>
        <w:rPr>
          <w:color w:val="auto"/>
        </w:rPr>
        <w:t>4. Posode, ki so dane na voljo končnim potrošnikov prek objektov skupnosti, imajo sistem zaščite, ki preprečuje njihovo ponovno uporabo, ko je njihova izvorna vsebina porabljena.</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iCs/>
          <w:color w:val="auto"/>
        </w:rPr>
        <w:t>Člen 8.</w:t>
      </w:r>
      <w:r>
        <w:rPr>
          <w:b/>
          <w:i/>
          <w:color w:val="auto"/>
        </w:rPr>
        <w:t xml:space="preserve"> </w:t>
      </w:r>
      <w:r>
        <w:rPr>
          <w:i/>
          <w:color w:val="auto"/>
        </w:rPr>
        <w:t>Prepovedane prakse.</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Prepovedano je naslednje:</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proizvodnja mešanic oljčnega olja in olja iz oljčnih tropin ter drugih olj ali maščob rastlinskega izvora za dajanje v promet na domačem trgu. Te mešanice se ne smejo prodajati pod nobenim imenom živila iz Uredbe (EU) št. 1169/2011 Evropskega Parlamenta in Sveta z dne 25. oktobra 2011 o zagotavljanju informacij o živilih potrošnikom; </w:t>
      </w:r>
    </w:p>
    <w:p w14:paraId="24AAF4C2" w14:textId="695BA2C5" w:rsidR="00AF1F55" w:rsidRPr="00DE35E8" w:rsidRDefault="008C2F75" w:rsidP="00B503A1">
      <w:pPr>
        <w:jc w:val="both"/>
        <w:rPr>
          <w:rFonts w:ascii="Arial" w:hAnsi="Arial" w:cs="Arial"/>
        </w:rPr>
      </w:pPr>
      <w:r>
        <w:rPr>
          <w:rFonts w:ascii="Arial" w:hAnsi="Arial"/>
        </w:rPr>
        <w:lastRenderedPageBreak/>
        <w:t>(b) uporaba izraza „deviško“ ali „ekstra deviško“ na oznakah živilskih proizvodov z olju podobnim videzom, ki se lahko zamenjajo za oljčna olja iz tega standarda, kot so olja, začimbe, prelivi in podobni proizvodi. Ta prepoved ne vpliva na seznam sestavin teh proizvodov;</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dajanje v promet na maloprodajnem trgu ekstra deviškega olja v plastičnih posodah;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prelivanje ali polnjenje vsebnikov ali posod, namenjenih končnim potrošnikom, z oljčnim oljem ali oljem iz oljčnih tropin, dostavljenim skupnostim; </w:t>
      </w:r>
    </w:p>
    <w:p w14:paraId="31ED4097" w14:textId="3B96FFF4" w:rsidR="00BF4307" w:rsidRPr="00DE35E8" w:rsidRDefault="008C2F75" w:rsidP="00B503A1">
      <w:pPr>
        <w:spacing w:after="240"/>
        <w:jc w:val="both"/>
        <w:rPr>
          <w:rFonts w:ascii="Arial" w:hAnsi="Arial" w:cs="Arial"/>
        </w:rPr>
      </w:pPr>
      <w:r>
        <w:rPr>
          <w:rFonts w:ascii="Arial" w:hAnsi="Arial"/>
        </w:rPr>
        <w:t xml:space="preserve">(e) razvrstitev predhodno razvrščenim mešanic deviškega oljčnega olja v kategorijo, ki je nad najnižjo kategorijo uporabljenega olja;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t>(f) obstoj objektov ali posebnih tehničnih sredstev za deodoracijo in/ali katero koli drugo fazo ali obliko rafiniranja olja v stiskalnicah, skladiščih in pakirnicah za deviško oljčno olje;</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prevzemanje ali obdelava oljčnih tropin iz drugih stiskalnic ali oliv ali njihovih ostankov iz obdelovalnih obratov, ki so bili obdelani in iz katerih ni dovoljeno pridobivati deviškega oljčnega olja ali njegovih derivatov, ali katerih koli drugih surovin za pridobivanje olja, razen celih surovih sadežev oljk, v stiskalnicah;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odlaganje, shranjevanje in prevažanje oljčnega olja in olja iz oljčnih tropin, katerega kategorija ni ustrezno opredeljena, razen v oljarnah, kjer se ta razvrstitev opravi pred odpošiljanjem.</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V objektih iz člena 3 za pridobivanje oljčnega olja in olja iz oljčnih tropin je prepovedano naslednje:</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alkalno pranje olja v oljarnah;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ekstrakcija ali rafiniranje oljčnega olja in olja iz oljčnih tropin s postopki, raztopili ali drugimi sredstvi, razen dovoljenih, ter dodajanje industrijskih, mineralnih, esterificiranih ali sintetičnih olj;</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postopki esterifikacije ali druge prakse, ki lahko spremenijo gliceridno strukturo olja;</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obdelava olja z zrakom, kisikom, ozonom ali drugimi oksidirajočimi kemijskimi snovmi, razen tistih, ki so potrebne za črpanje med odtakanjem, zagotavljanje inertnosti posod in cistern ter homogenizacija s pomočjo dušika ali drugih inertnih plinov, brez poseganja v zakonodajo Evropske unije;</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(e) posedovanje glicerina, živalskih, rastlinskih, industrijskih ali sintetičnih maščob ali olj ali drugih snovi, katerih uporaba ni dovoljena niti utemeljena, ali rokovanje z njimi v objektih, namenjenih ekstrakciji, rafiniranju, pakiranju ali shranjevanju oljčnega olja ali olja iz oljčnih tropin v nepakiranem stanju; </w:t>
      </w:r>
    </w:p>
    <w:p w14:paraId="4D4D20E0" w14:textId="6EA35953" w:rsidR="00FD5872" w:rsidRPr="00DE35E8" w:rsidRDefault="00FD5872" w:rsidP="00B51ABE">
      <w:pPr>
        <w:keepNext/>
        <w:keepLines/>
        <w:spacing w:before="100" w:beforeAutospacing="1" w:after="100" w:afterAutospacing="1"/>
        <w:jc w:val="both"/>
        <w:rPr>
          <w:rFonts w:ascii="Arial" w:hAnsi="Arial" w:cs="Arial"/>
        </w:rPr>
      </w:pPr>
      <w:r>
        <w:rPr>
          <w:rFonts w:ascii="Arial" w:hAnsi="Arial"/>
        </w:rPr>
        <w:lastRenderedPageBreak/>
        <w:t xml:space="preserve">(f) prekinjeno ponovno centrifugiranje mase, dobljene iz sistemov za proizvodnjo deviškega oljčnega olja, v oljarnah za preprečevanje fermentacije. Ponovno centrifugiranje mase, dobljene iz sistemov za proizvodnjo deviškega oljčnega olja, je dovoljeno samo potem, ko je bila podvržena mešanju pri nadzorovani temperaturi v neprekinjenem postopku. V nobenem primeru ni dovoljeno ponovno centrifugiranje mase ali tropin usedlin iz cistern za shranjevanje, razen tistih iz člena 3(2)(l). </w:t>
      </w:r>
    </w:p>
    <w:p w14:paraId="11933B30" w14:textId="3F3F5A51" w:rsidR="00B573B8" w:rsidRPr="00DE35E8" w:rsidRDefault="00B573B8" w:rsidP="00B503A1">
      <w:pPr>
        <w:spacing w:before="360" w:after="360"/>
        <w:jc w:val="both"/>
        <w:rPr>
          <w:rFonts w:ascii="Arial" w:hAnsi="Arial" w:cs="Arial"/>
          <w:i/>
        </w:rPr>
      </w:pPr>
      <w:r>
        <w:rPr>
          <w:rFonts w:ascii="Arial" w:hAnsi="Arial"/>
          <w:b/>
          <w:iCs/>
        </w:rPr>
        <w:t>Člen 9.</w:t>
      </w:r>
      <w:r>
        <w:rPr>
          <w:rFonts w:ascii="Arial" w:hAnsi="Arial"/>
          <w:b/>
          <w:i/>
        </w:rPr>
        <w:t xml:space="preserve"> </w:t>
      </w:r>
      <w:r>
        <w:rPr>
          <w:rFonts w:ascii="Arial" w:hAnsi="Arial"/>
          <w:i/>
        </w:rPr>
        <w:t>Uradni nadzor, usklajevanje in kazni.</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 Pristojni uradni nadzorni organi izvedejo vsaj eno preverjanje skladnosti na vsakih tisoč ton oljčnega olja in olja iz oljčnih tropin, danega v promet, da preverijo značilnosti kakovosti, kot so določene v Uredbi (EGS) št. 2568/91 z dne 11. julija 1991 o značilnostih oljčnega olja in olja iz oljčnih tropin ter o ustreznih analiznih metodah.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Vzorčenje in analizne metode so določene za vsak proizvod v predpisih Evropske unije ali, če ti ne obstajajo, v veljavnih nacionalnih ali regionalnih določbah.</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 Skladnost kategorije, navedene na oznaki deviškega oljčnega olja, overijo namenski uradni laboratoriji z vidika njegovih fizikalno-kemijskih značilnosti, z vidika njegovih senzoričnih značilnosti pa odbori preskuševalcev, pooblaščenih za uradni nadzor v skladu s Kraljevo uredbo 227/2008 z dne 15. februarja 2008 o določitvi osnovnih predpisov za odbore preskuševalcev deviškega oljčnega olja.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Brez poseganja v nadzor, določen s predpisi Evropske unije iz odstavka 1, Ministrstvo za kmetijstvo, ribištvo in prehrano uskladi poseben načrt kontrol za overjanje sledljivosti v sektorju oljčnega olja in olja iz oljčnih tropin, kot je opisana v členu 4. Načrt mora vključevati posebne kontrole objektov iz člena 5(3). </w:t>
      </w:r>
    </w:p>
    <w:p w14:paraId="0CEE0216" w14:textId="0046C74F" w:rsidR="00991F21" w:rsidRPr="00DE35E8" w:rsidRDefault="00F14BA3" w:rsidP="00B503A1">
      <w:pPr>
        <w:pStyle w:val="Default"/>
        <w:spacing w:after="240"/>
        <w:jc w:val="both"/>
        <w:rPr>
          <w:color w:val="auto"/>
        </w:rPr>
      </w:pPr>
      <w:r>
        <w:rPr>
          <w:color w:val="auto"/>
        </w:rPr>
        <w:t>5. Informacije o rezultatih preverjanj skladnosti, izvedeni v skladu z določbami iz odstavka 1, so vsako leto pred 1. majem sporočene v določeni obliki Ministrstvu za kmetijstvo, ribištvo in prehrano.</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Vse pridobljene informacije so zbrane v letno poročilo o uradnih kontrolah, ki ga splošna državna uprava objavi na zahtevo Ministrstva za kmetijstvo, ribištvo in prehrano. </w:t>
      </w:r>
    </w:p>
    <w:p w14:paraId="29C3D5B3" w14:textId="04798B97" w:rsidR="00F14BA3" w:rsidRPr="00DE35E8" w:rsidRDefault="00F14BA3" w:rsidP="00B503A1">
      <w:pPr>
        <w:pStyle w:val="Default"/>
        <w:spacing w:after="240"/>
        <w:jc w:val="both"/>
        <w:rPr>
          <w:color w:val="auto"/>
        </w:rPr>
      </w:pPr>
      <w:r>
        <w:rPr>
          <w:color w:val="auto"/>
        </w:rPr>
        <w:t>7. Poseben načrt kontrol se predloži v razpravo Odboru za usklajevanje kakovosti živil in vključuje vsaj časovni načrt kontrolnih dejavnosti, ter protokol za organizacijo inšpekcijskih kampanj, ob upoštevanju rezultatov preverjanj skladnosti, ki jih izvedejo avtonomne skupnosti, ter podatkov iz informacijskega sistema o trgu z olivami, ki ga vodi Ministrstvo za kmetijstvo, ribištvo in prehrano. Odbor za usklajevanje kakovosti živil vsako leto pregleda ta načrt.</w:t>
      </w:r>
    </w:p>
    <w:p w14:paraId="2DAC617D" w14:textId="78604F4C" w:rsidR="00A31337" w:rsidRPr="00DE35E8" w:rsidRDefault="000E44EE" w:rsidP="00B503A1">
      <w:pPr>
        <w:jc w:val="both"/>
        <w:rPr>
          <w:rFonts w:ascii="Arial" w:hAnsi="Arial" w:cs="Arial"/>
        </w:rPr>
      </w:pPr>
      <w:r>
        <w:rPr>
          <w:rFonts w:ascii="Arial" w:hAnsi="Arial"/>
        </w:rPr>
        <w:t>8. Vse kazni, naložene po kontrolah, so učinkovite, sorazmerne in odvračilne.</w:t>
      </w:r>
    </w:p>
    <w:p w14:paraId="0B018C2C" w14:textId="1B7A0391" w:rsidR="00CA039D" w:rsidRPr="00DE35E8" w:rsidRDefault="00033181" w:rsidP="00B51ABE">
      <w:pPr>
        <w:pStyle w:val="sangrado"/>
        <w:keepNext/>
        <w:keepLines/>
        <w:jc w:val="both"/>
        <w:rPr>
          <w:rFonts w:ascii="Arial" w:hAnsi="Arial" w:cs="Arial"/>
        </w:rPr>
      </w:pPr>
      <w:r>
        <w:rPr>
          <w:rFonts w:ascii="Arial" w:hAnsi="Arial"/>
          <w:b/>
        </w:rPr>
        <w:lastRenderedPageBreak/>
        <w:t xml:space="preserve">Prva dodatna določba. </w:t>
      </w:r>
      <w:r>
        <w:rPr>
          <w:rFonts w:ascii="Arial" w:hAnsi="Arial"/>
          <w:i/>
          <w:iCs/>
        </w:rPr>
        <w:t>Klavzula o medsebojnem priznavanju.</w:t>
      </w:r>
      <w:r>
        <w:rPr>
          <w:rFonts w:ascii="Arial" w:hAnsi="Arial"/>
        </w:rPr>
        <w:t xml:space="preserve"> </w:t>
      </w:r>
    </w:p>
    <w:p w14:paraId="72CD943F" w14:textId="00DA64AE" w:rsidR="00331B68" w:rsidRPr="00DE35E8" w:rsidRDefault="00331B68" w:rsidP="00B51ABE">
      <w:pPr>
        <w:keepNext/>
        <w:keepLines/>
        <w:spacing w:before="360" w:after="360"/>
        <w:jc w:val="both"/>
        <w:rPr>
          <w:rFonts w:ascii="Arial" w:hAnsi="Arial" w:cs="Arial"/>
        </w:rPr>
      </w:pPr>
      <w:r>
        <w:rPr>
          <w:rFonts w:ascii="Arial" w:hAnsi="Arial"/>
        </w:rPr>
        <w:t>Šteje se, da je blago, ki se zakonito trži v drugi državi članici Evropske unije ali Turčiji ali se proizvaja in zakonito trži v državi Evropskega združenja za prosto trgovino, ki je pogodbenica Sporazuma o EGP, v skladu s to kraljevo uredbo. Uporabo te kraljeve uredbe ureja Uredba (EU) št. 2019/515 Evropskega parlamenta in Sveta z dne 19. marca 2019 o vzajemnem priznavanju blaga, ki se zakonito trži v drugi državi članici, in o razveljavitvi Uredbe (ES) št.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Druga dodatna določba. </w:t>
      </w:r>
      <w:r>
        <w:rPr>
          <w:rFonts w:ascii="Arial" w:hAnsi="Arial"/>
          <w:bCs/>
          <w:i/>
          <w:iCs/>
        </w:rPr>
        <w:t>Računalniški sistem.</w:t>
      </w:r>
    </w:p>
    <w:p w14:paraId="1C1C6B38" w14:textId="29BDE441" w:rsidR="003011C3" w:rsidRPr="00DE35E8" w:rsidRDefault="00D734B4" w:rsidP="00B503A1">
      <w:pPr>
        <w:spacing w:before="360" w:after="360"/>
        <w:jc w:val="both"/>
        <w:rPr>
          <w:rFonts w:ascii="Arial" w:hAnsi="Arial" w:cs="Arial"/>
          <w:bCs/>
        </w:rPr>
      </w:pPr>
      <w:r>
        <w:rPr>
          <w:rFonts w:ascii="Arial" w:hAnsi="Arial"/>
          <w:bCs/>
        </w:rPr>
        <w:t xml:space="preserve">Ministrstvo za kmetijstvo, ribištvo in prehrano vzpostavi računalniški sistem, ki gospodarskim subjektom olajša izpolnitev zahteve glede priglasitve iz člena 4(3) pristojnim organom pa dostop do informacij o oljčnem olju in olju iz oljčnih tropin ter njihov nadzor. </w:t>
      </w:r>
    </w:p>
    <w:p w14:paraId="7BC1536B" w14:textId="47607053" w:rsidR="00D734B4" w:rsidRPr="00DE35E8" w:rsidRDefault="00190979" w:rsidP="00B503A1">
      <w:pPr>
        <w:spacing w:before="360" w:after="360"/>
        <w:jc w:val="both"/>
        <w:rPr>
          <w:rFonts w:ascii="Arial" w:hAnsi="Arial" w:cs="Arial"/>
          <w:b/>
        </w:rPr>
      </w:pPr>
      <w:r>
        <w:rPr>
          <w:rFonts w:ascii="Arial" w:hAnsi="Arial"/>
        </w:rPr>
        <w:t>Ta sistem je dostopen gospodarskih subjektom, odgovornim za priglasitve, pristojnim nadzornim organom in državnim varnostnim silam.</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Edina prehodna določba. </w:t>
      </w:r>
      <w:r>
        <w:rPr>
          <w:rFonts w:ascii="Arial" w:hAnsi="Arial"/>
          <w:i/>
        </w:rPr>
        <w:t>Prehodno obdobje.</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Določbe iz člena 4(3) niso obvezne, dokler ni vzpostavljen zgoraj naveden računalniški sistem.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Določbe člena 8(1)(c) veljajo od 1. januarja 2024 za posode s prostornino do enega litra in od 1. januarja 2025 za vse druge posode.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Edina razveljavitvena določba.</w:t>
      </w:r>
      <w:r>
        <w:t xml:space="preserve"> </w:t>
      </w:r>
      <w:r>
        <w:rPr>
          <w:i/>
          <w:iCs/>
        </w:rPr>
        <w:t>Preklic zakonodaje.</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Določbe enakega ali manjšega obsega, ki nasprotujejo določbam te kraljeve uredbe, so s tem dokumentom preklicane, zlasti:</w:t>
      </w:r>
    </w:p>
    <w:p w14:paraId="420C7E36" w14:textId="637B8EBE" w:rsidR="00BD3ECA" w:rsidRPr="00DE35E8" w:rsidRDefault="00F07691" w:rsidP="00B503A1">
      <w:pPr>
        <w:spacing w:before="120" w:after="120"/>
        <w:jc w:val="both"/>
        <w:rPr>
          <w:rFonts w:ascii="Arial" w:hAnsi="Arial" w:cs="Arial"/>
        </w:rPr>
      </w:pPr>
      <w:r>
        <w:rPr>
          <w:rFonts w:ascii="Arial" w:hAnsi="Arial"/>
        </w:rPr>
        <w:t>(a) Kraljeva uredba 3000/1979 z dne 7. decembra 1979 o ureditvi industrijskih postopkov v sektorju oljčnega olja;</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Kraljeva uredba 308/1983 z dne 25. januarja 1983 o odobritvi tehničnih in zdravstvenih predpisov za rastlinska olja v delu, v katerem se nanaša na oljčno olje in olje iz oljčnih tropin; </w:t>
      </w:r>
    </w:p>
    <w:p w14:paraId="7452C311" w14:textId="55A1BD1C" w:rsidR="00BD3ECA" w:rsidRPr="00DE35E8" w:rsidRDefault="00F07691" w:rsidP="00B503A1">
      <w:pPr>
        <w:spacing w:before="120" w:after="120"/>
        <w:jc w:val="both"/>
        <w:rPr>
          <w:rFonts w:ascii="Arial" w:hAnsi="Arial" w:cs="Arial"/>
        </w:rPr>
      </w:pPr>
      <w:r>
        <w:rPr>
          <w:rFonts w:ascii="Arial" w:hAnsi="Arial"/>
        </w:rPr>
        <w:t>(c) Kraljeva uredba 259/1985 z dne 20. februarja 1985 o dopolnitvi tehničnih in zdravstvenih predpisov za rastlinska olja z uporabo določanja eritrodiola v oljčnem olju;</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Kraljeva uredba 2551/1986 z dne 21. novembra 1986 o ureditvi predelave in dajanja v promet rafiniranih tropin in oljčnega olja;</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(e) Kraljeva uredba 538/1993 z dne 12. aprila 1993 o spremembi nekaterih določb v zvezi z industrijskimi zahtevami za proizvodnjo jedilnih rastlinskih olj ter promet in trgovino z njimi;</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(f) Kraljeva uredba 1431/2003 z dne 21. novembra 2003 o določitvi nekaterih tržnih ukrepov za sektor oljčnega olja in olja iz oljčnih tropin;</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lastRenderedPageBreak/>
        <w:t>(g) Odlok z dne 12. decembra 1984 o dostavi deviškega oljčnega olja s strani oljarn pridelovalcem oliv za njihovo lastno prehrano;</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Odlok APA/1343/2004 z dne 7. maja 2004 o ureditvi splošnega registra posebnih industrij, katerim je dovoljeno dajati oljčno olje na trg.</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Prva končna določba.</w:t>
      </w:r>
      <w:r>
        <w:rPr>
          <w:b/>
          <w:bCs/>
        </w:rPr>
        <w:t xml:space="preserve"> </w:t>
      </w:r>
      <w:r>
        <w:rPr>
          <w:i/>
          <w:iCs/>
        </w:rPr>
        <w:t>Sodna pristojnost</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Ta kraljeva uredba je sprejeta v okviru člena 149(1)(13) Španske ustave, ki daje državi izključno pristojnost glede osnovnih pravil in usklajevanja splošnega gospodarskega načrtovanja.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bCs/>
        </w:rPr>
        <w:t xml:space="preserve">Druga končna določba. </w:t>
      </w:r>
      <w:r>
        <w:rPr>
          <w:i/>
          <w:iCs/>
        </w:rPr>
        <w:t>Sprememba Uredbe 2484/1967 z dne 21. septembra 1967 o odobritvi besedila španskega zakonika o živilih.</w:t>
      </w:r>
    </w:p>
    <w:p w14:paraId="4F4C7805" w14:textId="77777777" w:rsidR="009F52EF" w:rsidRPr="00DE35E8" w:rsidRDefault="00107E79" w:rsidP="00B503A1">
      <w:pPr>
        <w:pStyle w:val="Default"/>
        <w:jc w:val="both"/>
        <w:rPr>
          <w:color w:val="auto"/>
        </w:rPr>
      </w:pPr>
      <w:r>
        <w:rPr>
          <w:color w:val="auto"/>
        </w:rPr>
        <w:t>Oddelek 2 poglavja XVI Uredbe 2484/1967 z dne 21. septembra 1967 o odobritvi španskega zakonika o živilih se spremeni, tako da se glasi:</w:t>
      </w:r>
    </w:p>
    <w:p w14:paraId="34DBDB48" w14:textId="77777777" w:rsidR="009F52EF" w:rsidRPr="00DE35E8" w:rsidRDefault="009F52EF" w:rsidP="00B503A1">
      <w:pPr>
        <w:pStyle w:val="Default"/>
        <w:jc w:val="both"/>
        <w:rPr>
          <w:color w:val="auto"/>
        </w:rPr>
      </w:pPr>
    </w:p>
    <w:p w14:paraId="5AEE43D1" w14:textId="3AA755CA" w:rsidR="00107E79" w:rsidRPr="00DE35E8" w:rsidRDefault="00107E79" w:rsidP="00B503A1">
      <w:pPr>
        <w:pStyle w:val="Default"/>
        <w:jc w:val="both"/>
        <w:rPr>
          <w:i/>
          <w:color w:val="auto"/>
        </w:rPr>
      </w:pPr>
      <w:r>
        <w:rPr>
          <w:i/>
          <w:color w:val="auto"/>
        </w:rPr>
        <w:t xml:space="preserve">„Oljčno olje in olje iz oljčnih tropin je urejeno z določbami Kraljeve uredbe XXXX/2020 z dne   </w:t>
      </w:r>
      <w:r w:rsidR="00B51ABE">
        <w:rPr>
          <w:i/>
          <w:color w:val="auto"/>
        </w:rPr>
        <w:t xml:space="preserve"> </w:t>
      </w:r>
      <w:r>
        <w:rPr>
          <w:i/>
          <w:color w:val="auto"/>
        </w:rPr>
        <w:t xml:space="preserve">    o odobritvi standarda kakovosti za oljčno olje in olje iz oljčnih tropin.“</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bCs/>
        </w:rPr>
        <w:t xml:space="preserve">Tretja končna določba. </w:t>
      </w:r>
      <w:r>
        <w:rPr>
          <w:i/>
          <w:iCs/>
        </w:rPr>
        <w:t>Začetek veljavnosti.</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Ta kraljeva uredba začne veljati 2. januarja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Podpisano v Madridu dne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PRILOGA I</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Registri sledljivosti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Del A. Splošni pogoji za registre.</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V notranjih registrih sledljivosti morajo biti navedene vsaj naslednje dejavnosti: pridobljena olja, ekstrakcija, rafiniranje, razvrščanje, sprememba cisterne, mešanice olj, pakiranje olja.</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Vsak proizvod mora biti v vhodnem registru identificiran z oznako, ki mu jo je predhodno dodelil dobavitelj. V centrih za nakup in/ali prevzem, oljarnah in objektih za pakiranje je treba zabeležiti katastrsko številko zemljišča in del porekla oliv ter njihovega lastnika.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Notranji namembni kraj ali uporaba proizvoda (skladišče, cisterna, lijak, predelovalna linija itd.) ali njegovo poreklo morajo biti zabeleženi v vhodnih in izhodnih registrih. Navedena mora biti tudi količina v vhodni in izhodni cisterni.</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Spremljevalni dokumenti, v katerih so navedeni vsi premiki blaga, morajo biti prav tako jasno navedeni v vhodnih in izhodnih registrih.</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Vhodni in izhodni registri so zaključeni ob spremembi lastništva blaga (tudi če ni fizičnega premika) ali ob fizičnem premiku blaga.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Vse navedbe, ki bodo vključene na etikete proizvoda, kot so serija, prvo hladno stiskanje, hladna ekstrakcija, leto spravila, sorta itd., morajo biti pravilno zabeležene, tako da so lahko overjene v vsej dokumentaciji zadevnega proizvoda.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Pri identifikaciji vsakega proizvoda mora obstajata povezava med identifikacijo cisterne, v kateri je shranjen, in informacijami v registrih. Ta obveznost velja ne glede na vsakršne razlike v značilnostih, do katerih pride zaradi naravnega razvoja proizvodov. Te razlike morajo biti navedene v registru, kadar je gospodarski subjekt z njimi seznanjen.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bCs/>
        </w:rPr>
        <w:t>Del B. Kategorije proizvodov, ki morajo biti vključene v različne registre.</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Olive:</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olive za proizvodnjo olja.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Oljčno olje:</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nerazvrščeno olje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ekstra deviško oljčno olje</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deviško oljčno olje</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nizkokakovostno („lampante“) oljčno olje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rafinirano oljčno olje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oljčno olje – vsebuje samo rafinirano oljčno olje in deviško oljčno olje.</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lastRenderedPageBreak/>
        <w:t>(c) Olje iz oljčnih tropin:</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surovo olje iz oljčnih tropin</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rafinirano olje iz oljčnih tropin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olje iz oljčnih tropin.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Stranski proizvodi iz vseh objektov, v katerih se lahko pridobiva olje.</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Druga jedilna rastlinska olja.</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Za industrije in gospodarske subjekte, ki pripravljajo, rafinirajo, shranjujejo ali pakirajo druga jedilna rastlinska olja, poleg dejavnosti, povezanih z oljčnim oljem in oljem iz oljčnih tropin.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Del C. Informacije, ki so vključene v vhodne in izhodne registre.</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Identifikacija spremljevalnega dokumenta, kjer je ustrezno.</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Identifikacija prodajalca ali dobavitelja: ime, naslov, davčna identifikacijska številka in naslov objekta porekla. Za slednjega sta prav tako navedena ime in davčna identifikacijska številka, kadar se razlikujeta od imena in številke prodajalca ali dobavitelja.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Identifikacija kupca ali prejemnika, vključno s prodajalcem na drobno, ki je zadnji prejel ustekleničeno olje: ime, naslov davčna identifikacijska številka in naslov namembnega objekta. Za slednjega sta prav tako navedena ime in davčna identifikacijska številka, kadar se razlikujeta od imena in številke kupca ali prejemnika.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Identifikacija proizvoda: ime, serija, količina in značilnosti, ki se štejejo za pomembne za identifikacijo, kot so nepakirano stanje, embalaža, oznake, suho ali mokro stanje.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(e) Identifikacija porekla proizvoda: država porekla. Za izpolnitev člena 4 Izvedbene uredbe Komisije (EU) št. 29/2012 z dne 13. januarja 2012, je, kjer je ustrezno, navedena Španija, država članica, Evropska unija ali ime tretje države, kot je določeno v tej uredbi.</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Značilnosti proizvodov, ki so navedene na etiketi.</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Datum dejavnosti.</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Identifikacija prevoznika: podjetje (ime, naslov, davčna identifikacijska številka), vrsta vozila in registrska tablica ali druga oblika pravne identifikacije prevoznega sredstva, kjer je ustrezno.</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t>Del C. Informacije, ki so vključene v notranji register sledljivosti.</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Notranji sistem sledljivosti vsebuje vsaj naslednje informacije:</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izvedena dejavnost ali praksa;</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(b) identifikacija izvornih proizvodov: ime, serija (kjer je ustrezno), količina;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identifikacija dobljenih proizvodov: ime, serija (kjer je ustrezno), količina;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datum dejavnosti in, kjer je ustrezno, čas;</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notranje poreklo izvornih proizvodov (skladišče, cisterna, lijak, predelovalna linija itd.); količina v izvorni cisterni (ali cisternah);</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notranji namembni kraj ali uporaba dobljenih proizvodov (skladišče, cisterna, lijak, predelovalna linija itd.); količina v namembni cisterni (ali cisternah);</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PRILOGA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Minimalne informacije, ki jih je treba navesti v prevozni listini.</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Identifikacija proizvoda: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identifikacija proizvoda: ime, kot je določeno v veljavni zakonodaji, serija, količina in značilnosti, ki se štejejo za pomembne za identifikacijo, kot so nepakirano stanje, embalaža, oznake, suho ali mokro stanje;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identifikacija porekla proizvoda: država porekla;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za nepakirane proizvode: vse druge neobvezne navedbe, ki so lahko kasneje dodane na etiketo, kot so sorta, sezona spravila, hladna ekstrakcija, prvo hladno stiskanje, ekološka pridelava itd.;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kakovost proizvoda.</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Podatki o poreklu blaga: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identifikacija prodajalca ali dobavitelja: ime, naslov, davčna identifikacijska številka in naslov objekta porekla.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Za slednjega sta prav tako navedena ime in davčna identifikacijska številka, kadar se razlikujeta od imena in številke prodajalca ali dobavitelja.</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Podatki o prevozu: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identifikacija prevoznega podjetja in uporabljenega prevoznega sredstva ter datum prevoza.</w:t>
      </w:r>
    </w:p>
    <w:p w14:paraId="6A6D6E3A" w14:textId="0ECBDA4F" w:rsidR="00494357" w:rsidRPr="00DE35E8" w:rsidRDefault="009F27E3" w:rsidP="00B503A1">
      <w:pPr>
        <w:keepNext/>
        <w:spacing w:before="100" w:beforeAutospacing="1" w:after="100" w:afterAutospacing="1"/>
        <w:jc w:val="both"/>
        <w:rPr>
          <w:rFonts w:ascii="Arial" w:hAnsi="Arial" w:cs="Arial"/>
          <w:b/>
        </w:rPr>
      </w:pPr>
      <w:r>
        <w:rPr>
          <w:rFonts w:ascii="Arial" w:hAnsi="Arial"/>
          <w:b/>
        </w:rPr>
        <w:t xml:space="preserve">D. Podatki o namembnem kraju blaga: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identifikacija kupca ali prejemnika, vključno s prodajalcem na drobno, ki je zadnji prejel ustekleničeno olje: ime, naslov davčna identifikacijska številka in naslov namembnega objekta. Za slednjega sta prav tako navedena ime in davčna identifikacijska številka, kadar se razlikujeta od imena in številke kupca ali prejemnika.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lastRenderedPageBreak/>
        <w:t>PRILOGA III</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Videz in posebne značilnosti olja</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Ekstra deviško oljčno olje in filtrirano deviško oljčno olje.</w:t>
      </w:r>
    </w:p>
    <w:p w14:paraId="095783EF" w14:textId="77777777" w:rsidR="00F44FDF" w:rsidRPr="00DE35E8" w:rsidRDefault="00F44FDF" w:rsidP="00B503A1">
      <w:pPr>
        <w:pStyle w:val="Default"/>
        <w:ind w:left="142"/>
        <w:rPr>
          <w:color w:val="auto"/>
        </w:rPr>
      </w:pPr>
      <w:r>
        <w:rPr>
          <w:color w:val="auto"/>
        </w:rPr>
        <w:t>Vlaga in hlapljiva snov: ≤ 0,2 na 100.</w:t>
      </w:r>
    </w:p>
    <w:p w14:paraId="7D6D2C01" w14:textId="5C332848" w:rsidR="00F44FDF" w:rsidRPr="00DE35E8" w:rsidRDefault="00F44FDF" w:rsidP="00B503A1">
      <w:pPr>
        <w:pStyle w:val="Default"/>
        <w:ind w:left="142"/>
        <w:rPr>
          <w:color w:val="auto"/>
        </w:rPr>
      </w:pPr>
      <w:r>
        <w:rPr>
          <w:color w:val="auto"/>
        </w:rPr>
        <w:t xml:space="preserve">Netopne nečistoče v petroletru: ≤ 0,10 na 100.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Oljčno olje – vsebuje samo rafinirano oljčno olje in deviško oljčno olje.</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Videz: prozoren, hrani se pri 20 º ± 2 ºC 24 ur.</w:t>
      </w:r>
    </w:p>
    <w:p w14:paraId="0296A932" w14:textId="77777777" w:rsidR="00F44FDF" w:rsidRPr="00DE35E8" w:rsidRDefault="00F44FDF" w:rsidP="00B503A1">
      <w:pPr>
        <w:ind w:left="142"/>
        <w:jc w:val="both"/>
        <w:rPr>
          <w:rFonts w:ascii="Arial" w:hAnsi="Arial" w:cs="Arial"/>
        </w:rPr>
      </w:pPr>
      <w:r>
        <w:rPr>
          <w:rFonts w:ascii="Arial" w:hAnsi="Arial"/>
        </w:rPr>
        <w:t>Vonj in okus: obdrži lastne arome in značilne arome deviških oljčnih olj, uporabljenih v mešanici. Ne kaže sprememb ali kontaminacije ali napak, ki bi presegale te, ki jih imajo uporabljena deviška oljčna olja.</w:t>
      </w:r>
    </w:p>
    <w:p w14:paraId="68E598BC" w14:textId="77777777" w:rsidR="00F44FDF" w:rsidRPr="00DE35E8" w:rsidRDefault="00F44FDF" w:rsidP="00B503A1">
      <w:pPr>
        <w:pStyle w:val="Default"/>
        <w:ind w:left="142"/>
        <w:rPr>
          <w:color w:val="auto"/>
        </w:rPr>
      </w:pPr>
      <w:r>
        <w:rPr>
          <w:color w:val="auto"/>
        </w:rPr>
        <w:t>Vlaga in hlapljiva snov: ≤ 0,1 na 100.</w:t>
      </w:r>
    </w:p>
    <w:p w14:paraId="4B215FA1" w14:textId="77777777" w:rsidR="00F44FDF" w:rsidRPr="00DE35E8" w:rsidRDefault="00F44FDF" w:rsidP="00B503A1">
      <w:pPr>
        <w:pStyle w:val="Default"/>
        <w:ind w:left="142"/>
        <w:rPr>
          <w:color w:val="auto"/>
        </w:rPr>
      </w:pPr>
      <w:r>
        <w:rPr>
          <w:color w:val="auto"/>
        </w:rPr>
        <w:t>Netopne nečistoče v petroletru: ≤ 0,05 na 100.</w:t>
      </w:r>
    </w:p>
    <w:p w14:paraId="5A5E9394" w14:textId="77777777" w:rsidR="00F44FDF" w:rsidRPr="00DE35E8" w:rsidRDefault="00F44FDF" w:rsidP="00B503A1">
      <w:pPr>
        <w:pStyle w:val="Default"/>
        <w:spacing w:after="240"/>
        <w:ind w:left="142"/>
        <w:rPr>
          <w:color w:val="auto"/>
        </w:rPr>
      </w:pPr>
      <w:r>
        <w:rPr>
          <w:color w:val="auto"/>
        </w:rPr>
        <w:t xml:space="preserve">Ostanki mila: negativno.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Rafinirano oljčno olje.</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Videz: prozoren, hrani se pri 20 º ± 2 ºC 24 ur.</w:t>
      </w:r>
    </w:p>
    <w:p w14:paraId="7BB45A9C" w14:textId="77777777" w:rsidR="00F44FDF" w:rsidRPr="00DE35E8" w:rsidRDefault="00F44FDF" w:rsidP="00B503A1">
      <w:pPr>
        <w:ind w:left="142"/>
        <w:jc w:val="both"/>
        <w:rPr>
          <w:rFonts w:ascii="Arial" w:hAnsi="Arial" w:cs="Arial"/>
        </w:rPr>
      </w:pPr>
      <w:r>
        <w:rPr>
          <w:rFonts w:ascii="Arial" w:hAnsi="Arial"/>
        </w:rPr>
        <w:t>Vonj in okus: nevtralen, brez znakov žaltavosti, sprememb ali kontaminacije.</w:t>
      </w:r>
    </w:p>
    <w:p w14:paraId="5105089C" w14:textId="77777777" w:rsidR="00F44FDF" w:rsidRPr="00DE35E8" w:rsidRDefault="00F44FDF" w:rsidP="00B503A1">
      <w:pPr>
        <w:pStyle w:val="Default"/>
        <w:ind w:left="142"/>
        <w:rPr>
          <w:color w:val="auto"/>
        </w:rPr>
      </w:pPr>
      <w:r>
        <w:rPr>
          <w:color w:val="auto"/>
        </w:rPr>
        <w:t>Vlaga in hlapljiva snov: ≤ 0,1 na 100.</w:t>
      </w:r>
    </w:p>
    <w:p w14:paraId="49281EEA" w14:textId="77777777" w:rsidR="00F44FDF" w:rsidRPr="00DE35E8" w:rsidRDefault="00F44FDF" w:rsidP="00B503A1">
      <w:pPr>
        <w:pStyle w:val="Default"/>
        <w:ind w:left="142"/>
        <w:rPr>
          <w:color w:val="auto"/>
        </w:rPr>
      </w:pPr>
      <w:r>
        <w:rPr>
          <w:color w:val="auto"/>
        </w:rPr>
        <w:t>Netopne nečistoče v petroletru: ≤ 0,05 na 100.</w:t>
      </w:r>
    </w:p>
    <w:p w14:paraId="2336D379" w14:textId="77777777" w:rsidR="00F44FDF" w:rsidRPr="00DE35E8" w:rsidRDefault="00F44FDF" w:rsidP="00B503A1">
      <w:pPr>
        <w:pStyle w:val="Default"/>
        <w:ind w:left="142"/>
        <w:rPr>
          <w:color w:val="auto"/>
        </w:rPr>
      </w:pPr>
      <w:r>
        <w:rPr>
          <w:color w:val="auto"/>
        </w:rPr>
        <w:t>Ostanki mila: negativno.</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(d) Rafinirano olje iz oljčnih tropin.</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Videz: prozoren, hrani se pri 20 º ± 2 ºC 24 ur.</w:t>
      </w:r>
    </w:p>
    <w:p w14:paraId="1BB2CEF0" w14:textId="77777777" w:rsidR="00F44FDF" w:rsidRPr="00DE35E8" w:rsidRDefault="00F44FDF" w:rsidP="00B503A1">
      <w:pPr>
        <w:ind w:left="142"/>
        <w:jc w:val="both"/>
        <w:rPr>
          <w:rFonts w:ascii="Arial" w:hAnsi="Arial" w:cs="Arial"/>
        </w:rPr>
      </w:pPr>
      <w:r>
        <w:rPr>
          <w:rFonts w:ascii="Arial" w:hAnsi="Arial"/>
        </w:rPr>
        <w:t>Vonj in okus: nevtralen, brez znakov žaltavosti, sprememb ali kontaminacije.</w:t>
      </w:r>
    </w:p>
    <w:p w14:paraId="35B990C6" w14:textId="77777777" w:rsidR="00F44FDF" w:rsidRPr="00DE35E8" w:rsidRDefault="00F44FDF" w:rsidP="00B503A1">
      <w:pPr>
        <w:pStyle w:val="Default"/>
        <w:ind w:left="142"/>
        <w:rPr>
          <w:color w:val="auto"/>
        </w:rPr>
      </w:pPr>
      <w:r>
        <w:rPr>
          <w:color w:val="auto"/>
        </w:rPr>
        <w:t>Vlaga in hlapljiva snov: ≤ 0,1 na 100.</w:t>
      </w:r>
    </w:p>
    <w:p w14:paraId="2AF3CFA0" w14:textId="77777777" w:rsidR="00F44FDF" w:rsidRPr="00DE35E8" w:rsidRDefault="00F44FDF" w:rsidP="00B503A1">
      <w:pPr>
        <w:pStyle w:val="Default"/>
        <w:ind w:left="142"/>
        <w:rPr>
          <w:color w:val="auto"/>
        </w:rPr>
      </w:pPr>
      <w:r>
        <w:rPr>
          <w:color w:val="auto"/>
        </w:rPr>
        <w:t>Netopne nečistoče v petroletru: ≤ 0,05 na 100.</w:t>
      </w:r>
    </w:p>
    <w:p w14:paraId="667102D7" w14:textId="77777777" w:rsidR="00F44FDF" w:rsidRPr="00DE35E8" w:rsidRDefault="00F44FDF" w:rsidP="00B503A1">
      <w:pPr>
        <w:pStyle w:val="Default"/>
        <w:ind w:left="142"/>
        <w:rPr>
          <w:color w:val="auto"/>
        </w:rPr>
      </w:pPr>
      <w:r>
        <w:rPr>
          <w:color w:val="auto"/>
        </w:rPr>
        <w:t>Ostanki mila: negativno.</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(e) Olje iz oljčnih tropin.</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Videz: prozoren, hrani se pri 20 º ± 2 ºC 24 ur.</w:t>
      </w:r>
    </w:p>
    <w:p w14:paraId="40031B46" w14:textId="77777777" w:rsidR="00F44FDF" w:rsidRPr="00DE35E8" w:rsidRDefault="00F44FDF" w:rsidP="00B503A1">
      <w:pPr>
        <w:pStyle w:val="Default"/>
        <w:ind w:left="142"/>
        <w:jc w:val="both"/>
        <w:rPr>
          <w:color w:val="auto"/>
        </w:rPr>
      </w:pPr>
      <w:r>
        <w:rPr>
          <w:color w:val="auto"/>
        </w:rPr>
        <w:t xml:space="preserve">Vonj in okus: obdrži lastne arome in značilne arome deviških oljčnih olj, uporabljenih v mešanici. Ne kaže sprememb ali kontaminacije ali napak, ki bi presegale te, ki jih imajo uporabljena deviška oljčna olja. </w:t>
      </w:r>
    </w:p>
    <w:p w14:paraId="523A1A0E" w14:textId="77777777" w:rsidR="00F44FDF" w:rsidRPr="00DE35E8" w:rsidRDefault="00F44FDF" w:rsidP="00B503A1">
      <w:pPr>
        <w:pStyle w:val="Default"/>
        <w:ind w:left="142"/>
        <w:rPr>
          <w:color w:val="auto"/>
        </w:rPr>
      </w:pPr>
      <w:r>
        <w:rPr>
          <w:color w:val="auto"/>
        </w:rPr>
        <w:t>Vlaga in hlapljiva snov: ≤ 0,1 na 100.</w:t>
      </w:r>
    </w:p>
    <w:p w14:paraId="1A066BD2" w14:textId="77777777" w:rsidR="00F44FDF" w:rsidRPr="00DE35E8" w:rsidRDefault="00F44FDF" w:rsidP="00B503A1">
      <w:pPr>
        <w:pStyle w:val="Default"/>
        <w:ind w:left="142"/>
        <w:rPr>
          <w:color w:val="auto"/>
        </w:rPr>
      </w:pPr>
      <w:r>
        <w:rPr>
          <w:color w:val="auto"/>
        </w:rPr>
        <w:t>Netopne nečistoče v petroletru: ≤ 0,05 na 100.</w:t>
      </w:r>
    </w:p>
    <w:p w14:paraId="03631DE0" w14:textId="77777777" w:rsidR="00F44FDF" w:rsidRPr="00DE35E8" w:rsidRDefault="00F44FDF" w:rsidP="00B503A1">
      <w:pPr>
        <w:pStyle w:val="Default"/>
        <w:ind w:left="142"/>
        <w:rPr>
          <w:color w:val="auto"/>
        </w:rPr>
      </w:pPr>
      <w:r>
        <w:rPr>
          <w:color w:val="auto"/>
        </w:rPr>
        <w:t>Ostanki mila: negativno.</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Pr>
        <w:color w:val="8496B0"/>
      </w:rPr>
      <w:t xml:space="preserve">Stran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1ABE"/>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sl-SI"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sl-SI"/>
    </w:rPr>
  </w:style>
  <w:style w:type="character" w:customStyle="1" w:styleId="BodyTextIndent3Char">
    <w:name w:val="Body Text Indent 3 Char"/>
    <w:basedOn w:val="DefaultParagraphFont"/>
    <w:link w:val="BodyTextIndent3"/>
    <w:rsid w:val="00EE7990"/>
    <w:rPr>
      <w:sz w:val="16"/>
      <w:szCs w:val="16"/>
      <w:lang w:val="sl-SI"/>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Olj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l.wikipedia.org/wiki/Olj%C4%8Dno_olj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5114</Words>
  <Characters>29673</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8</cp:revision>
  <cp:lastPrinted>2020-02-12T17:05:00Z</cp:lastPrinted>
  <dcterms:created xsi:type="dcterms:W3CDTF">2020-09-08T10:26:00Z</dcterms:created>
  <dcterms:modified xsi:type="dcterms:W3CDTF">2020-10-02T15:12:00Z</dcterms:modified>
</cp:coreProperties>
</file>