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62" w:rsidRPr="00BF1FD6" w:rsidRDefault="003D5B62" w:rsidP="003D5B62">
      <w:pPr>
        <w:pStyle w:val="PlainText"/>
        <w:rPr>
          <w:rFonts w:ascii="Courier New" w:hAnsi="Courier New" w:cs="Courier New"/>
          <w:sz w:val="20"/>
          <w:szCs w:val="20"/>
        </w:rPr>
      </w:pPr>
      <w:bookmarkStart w:id="0" w:name="_GoBack"/>
      <w:r w:rsidRPr="00BF1FD6">
        <w:rPr>
          <w:rFonts w:ascii="Courier New" w:hAnsi="Courier New"/>
          <w:sz w:val="20"/>
          <w:szCs w:val="20"/>
        </w:rPr>
        <w:t>1. ------IND- 2018 0178 S-- DA- ------ 20181122 --- --- FINAL</w:t>
      </w:r>
    </w:p>
    <w:bookmarkEnd w:id="0"/>
    <w:p w:rsidR="00DE28EA" w:rsidRPr="00B06CA7" w:rsidRDefault="00DE28EA" w:rsidP="00F47340">
      <w:pPr>
        <w:pStyle w:val="BodyText"/>
        <w:rPr>
          <w:rFonts w:ascii="Times New Roman" w:hAnsi="Times New Roman" w:cs="Times New Roman"/>
          <w:b/>
          <w:w w:val="100"/>
          <w:sz w:val="26"/>
          <w:szCs w:val="26"/>
        </w:rPr>
      </w:pPr>
      <w:r>
        <w:rPr>
          <w:rFonts w:ascii="Times New Roman" w:hAnsi="Times New Roman"/>
          <w:b/>
          <w:sz w:val="26"/>
          <w:szCs w:val="26"/>
        </w:rPr>
        <w:t>LIFS 2018:4</w:t>
      </w:r>
    </w:p>
    <w:p w:rsidR="00DE28EA" w:rsidRPr="00B06CA7" w:rsidRDefault="00DE28EA" w:rsidP="00F47340">
      <w:pPr>
        <w:pStyle w:val="BodyText"/>
        <w:spacing w:after="240"/>
        <w:rPr>
          <w:rFonts w:ascii="Times New Roman" w:hAnsi="Times New Roman" w:cs="Times New Roman"/>
          <w:w w:val="100"/>
          <w:sz w:val="16"/>
          <w:szCs w:val="19"/>
        </w:rPr>
      </w:pPr>
      <w:r>
        <w:rPr>
          <w:rFonts w:ascii="Times New Roman" w:hAnsi="Times New Roman"/>
          <w:sz w:val="16"/>
          <w:szCs w:val="19"/>
        </w:rPr>
        <w:t>Udgivet</w:t>
      </w:r>
      <w:r>
        <w:rPr>
          <w:rFonts w:ascii="Times New Roman" w:hAnsi="Times New Roman"/>
          <w:sz w:val="16"/>
          <w:szCs w:val="19"/>
        </w:rPr>
        <w:br/>
        <w:t>den 8. august 2018</w:t>
      </w:r>
    </w:p>
    <w:p w:rsidR="00A457A5" w:rsidRPr="0076436D" w:rsidRDefault="00A457A5" w:rsidP="00F47340">
      <w:pPr>
        <w:pStyle w:val="Rubrik1"/>
        <w:keepNext/>
        <w:keepLines/>
        <w:widowControl/>
        <w:ind w:right="0"/>
        <w:rPr>
          <w:rFonts w:ascii="Times New Roman" w:hAnsi="Times New Roman" w:cs="Times New Roman"/>
          <w:w w:val="100"/>
          <w:sz w:val="26"/>
          <w:szCs w:val="26"/>
        </w:rPr>
      </w:pPr>
      <w:r>
        <w:rPr>
          <w:rFonts w:ascii="Times New Roman" w:hAnsi="Times New Roman"/>
          <w:sz w:val="26"/>
          <w:szCs w:val="26"/>
        </w:rPr>
        <w:t>Lotteriinspektionens forskrift og almene råd om statsligt lotteri og lotteri til almennyttige formål</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sz w:val="19"/>
          <w:szCs w:val="19"/>
        </w:rPr>
        <w:t>vedtaget den 25. juli 2018.</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sz w:val="19"/>
          <w:szCs w:val="19"/>
        </w:rPr>
        <w:t>Lotteriinspektionen foreskriver</w:t>
      </w:r>
      <w:r w:rsidRPr="0076436D">
        <w:rPr>
          <w:rFonts w:ascii="Times New Roman" w:hAnsi="Times New Roman" w:cs="Times New Roman"/>
          <w:w w:val="100"/>
          <w:sz w:val="19"/>
          <w:szCs w:val="19"/>
          <w:vertAlign w:val="superscript"/>
        </w:rPr>
        <w:footnoteReference w:id="1"/>
      </w:r>
      <w:r>
        <w:rPr>
          <w:rFonts w:ascii="Times New Roman" w:hAnsi="Times New Roman"/>
          <w:sz w:val="19"/>
          <w:szCs w:val="19"/>
        </w:rPr>
        <w:t xml:space="preserve"> følgende med reference til kapitel 16, § 3, § 8, stk. 4, § 9, § 10, stk. 1, og § 11, stk. 1-2, i bekendtgørelsen om spil (2018:1475) og vedtager følgende almene råd.</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Kapitel 1. Anvendelsesområde og udtryk</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xml:space="preserve"> Nærværende forskrift og almene råd gælder for den, som har licens til at stille statsligt lotteri til rådighed i medfør af kapitel 5, § 1, i loven om spil (2018:1138), og den, som har licens til at stille lotteri til rådighed i medfør af kapitel 6, § 3, i loven om spil. </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2 </w:t>
      </w:r>
      <w:r>
        <w:rPr>
          <w:rFonts w:ascii="Times New Roman" w:hAnsi="Times New Roman"/>
          <w:sz w:val="19"/>
          <w:szCs w:val="19"/>
        </w:rPr>
        <w:t>Medmindre andet er angivet, har de udtryk og benævnelser, som anvendes i forskriften, samme betydning som i loven om spil (2018:1138) og bekendtgørelsen om spil (2018:1475).</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I nærværende forskrift og almene råd forstås ved:</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iCs/>
          <w:sz w:val="19"/>
          <w:szCs w:val="19"/>
        </w:rPr>
        <w:t>skjult UV-sikring:</w:t>
      </w:r>
      <w:r>
        <w:rPr>
          <w:rFonts w:ascii="Times New Roman" w:hAnsi="Times New Roman"/>
          <w:sz w:val="19"/>
          <w:szCs w:val="19"/>
        </w:rPr>
        <w:t xml:space="preserve"> et billede eller mønster, der er skjult for øjet, og som er trykt med en UV-fluorescerende farve. Billedet/mønstret må dog kun fremtræde, når det belyses med UV-lys med en bølgelængde på 365 nm, og skal flourescere i en farve, der afviger fra baggrundsfarven, hvorpå det er trykt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iCs/>
          <w:sz w:val="19"/>
          <w:szCs w:val="19"/>
        </w:rPr>
        <w:t>et lod med efterfølgende trækning:</w:t>
      </w:r>
      <w:r>
        <w:rPr>
          <w:rFonts w:ascii="Times New Roman" w:hAnsi="Times New Roman"/>
          <w:sz w:val="19"/>
          <w:szCs w:val="19"/>
        </w:rPr>
        <w:t xml:space="preserve"> et ikke-lukket lod, hvor trækning finder sted efter køb</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elektronisk lod: en fysisk lodbærer, som kan indeholde et eller flere lodder og indeholder elektroniske komponenter</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fordelingsgevinstudtrækning: en trækning, hvor loddet indgår i en trækning, der bestemmer, hvor stor gevinsten bliver</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forudtrukket lod: et lukket lod, hvor lodkøberen kan aflæse direkte, om loddet er et gevinst- eller nittelod</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kemisk radarbeskyttelse: papir med kemikalier, som reagerer ved, at papiret misfarves, når det udsættes for opløsningsmidler og/eller oxideringsmidler (alkohol, syrer, kulbrinter, klor, tensider osv.)</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kopieringsbeskyttelse: dokumentsikringer, der ændrer sig eller bliver ukorrekte ved kopiering</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løftning: aftagning af lag, f.eks. skrabemasse, som skjuler spilinformation</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iCs/>
          <w:sz w:val="19"/>
          <w:szCs w:val="19"/>
        </w:rPr>
        <w:lastRenderedPageBreak/>
        <w:t>mikrotekst</w:t>
      </w:r>
      <w:r>
        <w:rPr>
          <w:rFonts w:ascii="Times New Roman" w:hAnsi="Times New Roman"/>
          <w:sz w:val="19"/>
          <w:szCs w:val="19"/>
        </w:rPr>
        <w:t>: en lille tekst med en maksimal højde på 0,30 mm og minimal længde på 35 mm, som uden hjælpemidler giver indtryk af at være en linje, der er helt og tydeligt læsbar, når den forstørres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relief: bogstaver, cifre eller symboler, der påføres med tyk farvebelægning, som medfører, at papiroverfladen får en opadgående overflade, eller bogstaver, cifre eller symboler, der trykkes på papiroverfladen og får en nedadgående overflade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reproduktion: afbildning ved hjælp af teknisk udstyr med efterfølgende udskrift eller tryk</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spilinformation: den information på loddet, som afgør, om det giver gevinst eller ej</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iCs/>
          <w:sz w:val="19"/>
          <w:szCs w:val="19"/>
        </w:rPr>
        <w:t>vandmærke</w:t>
      </w:r>
      <w:r>
        <w:rPr>
          <w:rFonts w:ascii="Times New Roman" w:hAnsi="Times New Roman"/>
          <w:sz w:val="19"/>
          <w:szCs w:val="19"/>
        </w:rPr>
        <w:t>: billede eller mønster, der fremstilles ved papirproduktionen, og som fremtræder ved gennemlysning. Billedet/mønstret opstår ved, at papiret fremstilles med forskellige tykkelser, hvor tykkere områder fremstår mørkere og tyndere områder lysere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værditrykmønster: tynde linjer i mindst to farver med en maksimal linjebredde på 0,10 mm, der mødes i skarpe vinkler. Et værditrykmønster kan også være en linjerelieftype, dvs. hvor tynde, hele linjer danner et motiv, som giver indtryk af at være i relief (tredimensionelt)</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sz w:val="19"/>
          <w:szCs w:val="19"/>
        </w:rPr>
        <w:t xml:space="preserve">ydertryk: et trykt billede eller mønster, der placeres ovenpå et skrabelag eller tilsvarende, som er udformet, så det giver en tydelig indikation på, om skrabelaget er fjernet. </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Kapitel 2. Særligt om lotterier til almennyttige formål</w:t>
      </w:r>
    </w:p>
    <w:p w:rsidR="00A457A5" w:rsidRPr="0076436D" w:rsidRDefault="00A457A5" w:rsidP="00F47340">
      <w:pPr>
        <w:pStyle w:val="Brdtexthalv"/>
        <w:rPr>
          <w:rFonts w:ascii="Times New Roman" w:hAnsi="Times New Roman" w:cs="Times New Roman"/>
          <w:b/>
          <w:bCs/>
          <w:w w:val="100"/>
          <w:sz w:val="19"/>
          <w:szCs w:val="19"/>
        </w:rPr>
      </w:pPr>
      <w:r>
        <w:rPr>
          <w:rFonts w:ascii="Times New Roman" w:hAnsi="Times New Roman"/>
          <w:b/>
          <w:bCs/>
          <w:sz w:val="19"/>
          <w:szCs w:val="19"/>
        </w:rPr>
        <w:t>§ 1 </w:t>
      </w:r>
      <w:r>
        <w:rPr>
          <w:rFonts w:ascii="Times New Roman" w:hAnsi="Times New Roman"/>
          <w:sz w:val="19"/>
          <w:szCs w:val="19"/>
        </w:rPr>
        <w:t>Inden salg af lodder i et lotteri til almennyttige formål i medfør af kapitel 6, § 3, i loven om spil (2018:1138) må påbegynde, skal en revisor udpeges.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 xml:space="preserve">Revisoren skal undersøge lotteriets regnskaber og udarbejde en revisionsberetning. </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I det tilfælde at lotteriets omsætning beregnes til at overstige fem (5) millioner SEK, bør revisoren være godkendt eller autoriseret.</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sz w:val="19"/>
          <w:szCs w:val="19"/>
        </w:rPr>
        <w:t>Undersøgelsen bør følge spillemyndighedens anvisninger for revisorer til lotterier til almennyttige formål.</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2</w:t>
      </w:r>
      <w:r>
        <w:rPr>
          <w:rFonts w:ascii="Times New Roman" w:hAnsi="Times New Roman"/>
          <w:sz w:val="19"/>
          <w:szCs w:val="19"/>
        </w:rPr>
        <w:t> Når et lotteri er afsluttet, skal licenshaveren redegøre for lotteriets regnskaber og indgive den udarbejdede revisionsberetning til spillemyndigheden.</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Kapitel 3. Gevinstplan, gevinster, trækning og trækningsresultat</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sz w:val="19"/>
          <w:szCs w:val="19"/>
        </w:rPr>
        <w:t>Gevinstplan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xml:space="preserve"> Trykte eller elektroniske lodder skal stemme overens med den fastlagte gevinstplan. </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Gevinstlodder må ikke leveres adskilt fra nittelodder.</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lastRenderedPageBreak/>
        <w:t>Gevinster</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2 </w:t>
      </w:r>
      <w:r>
        <w:rPr>
          <w:rFonts w:ascii="Times New Roman" w:hAnsi="Times New Roman"/>
          <w:sz w:val="19"/>
          <w:szCs w:val="19"/>
        </w:rPr>
        <w:t>Er der andre gevinster end pengegevinster i lotteriet, skal disse vurderes til deres markedsværdi.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Gevinster, som er vanskelige at vurdere, skal vurderes af en upartisk sagkyndig.</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 xml:space="preserve">En gevinst i form af f.eks. kunst og andre værdigevinster kan være vanskelige at vurdere for licenshavere. </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t>Lodder med efterfølgende trækning</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3 </w:t>
      </w:r>
      <w:r>
        <w:rPr>
          <w:rFonts w:ascii="Times New Roman" w:hAnsi="Times New Roman"/>
          <w:sz w:val="19"/>
          <w:szCs w:val="19"/>
        </w:rPr>
        <w:t>Hvis et trækningsresultat kun baseres på solgte lodder, skal usolgte lodder dokumenteres, inden trækningen finder sted.</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t>Protokol for, ændring og makulering af trækningsresultatet</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4</w:t>
      </w:r>
      <w:r>
        <w:rPr>
          <w:rFonts w:ascii="Times New Roman" w:hAnsi="Times New Roman"/>
          <w:sz w:val="19"/>
          <w:szCs w:val="19"/>
        </w:rPr>
        <w:t> Resultatet af en trækning skal dokumenteres i en protokol. Protokollen skal gemmes i licensperioden.</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bCs/>
          <w:sz w:val="19"/>
          <w:szCs w:val="19"/>
        </w:rPr>
        <w:t>§ 5 </w:t>
      </w:r>
      <w:r>
        <w:rPr>
          <w:rFonts w:ascii="Times New Roman" w:hAnsi="Times New Roman"/>
          <w:sz w:val="19"/>
          <w:szCs w:val="19"/>
        </w:rPr>
        <w:t>Et trækningsresultat må ikke ændres.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Et trækningsresultat skal makuleres, hvis der foreligger fejl, der påvirker resultatet, og makulering finder sted, inden resultatet er offentliggjort.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Hvis et trækningsresultat makuleres i henhold til foregående punktum, skal grundlaget hertil og det makulerede resultat dokumenteres og gemmes i licensperioden.</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Kapitel 4. Fysiske lodders egenskaber</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 Enkelte lodder, som indgår i fordelingsgevinstudtrækningen, skal være unikke.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Et enkelt lod skal henvise til et parti eller serie i henhold til den bevilgede licens.</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bCs/>
          <w:sz w:val="19"/>
          <w:szCs w:val="19"/>
        </w:rPr>
        <w:t>§ 2</w:t>
      </w:r>
      <w:r>
        <w:rPr>
          <w:rFonts w:ascii="Times New Roman" w:hAnsi="Times New Roman"/>
          <w:sz w:val="19"/>
          <w:szCs w:val="19"/>
        </w:rPr>
        <w:t> Trykte eller elektroniske lodder må ikke besidde fysiske defekter eller mærker, hvorudfra gevinstlodderne kan frasorteres.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Spilinformation må ikke kunne aflæses i et lukket lod.</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Lukkede lodder skal være beskyttet mod manipulation eller reproduktion.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3</w:t>
      </w:r>
      <w:r>
        <w:rPr>
          <w:rFonts w:ascii="Times New Roman" w:hAnsi="Times New Roman"/>
          <w:sz w:val="19"/>
          <w:szCs w:val="19"/>
        </w:rPr>
        <w:t> Hvis der er mangler i loddernes egenskaber, som gør, at de ikke længere opfylder kravene i nærværende forskrift, skal produktionen standses, og producerede lodder makuleres.</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bCs/>
          <w:sz w:val="19"/>
          <w:szCs w:val="19"/>
        </w:rPr>
        <w:t>§ 4</w:t>
      </w:r>
      <w:r>
        <w:rPr>
          <w:rFonts w:ascii="Times New Roman" w:hAnsi="Times New Roman"/>
          <w:sz w:val="19"/>
          <w:szCs w:val="19"/>
        </w:rPr>
        <w:t xml:space="preserve"> For forudtrukne, lukkede lodder, hvis højeste gevinstværdi er over ét (1) grundprisbeløb, gælder følgende: </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Åbnede lodder må ikke kunne genlukkes.</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Spilinformation må ikke kunne aflæses ved gennemlysning.</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Spilinformation må ikke kunne aflæses på loddets yderside. </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kopieringsbeskyttet.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udstyret med skjult UV-sikring.</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lastRenderedPageBreak/>
        <w:t>Skrabefeltet skal have et ydertryk, der skjuler spilinformation og kontrolfelter.</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Indelukkede kontrolfelter skal beskyttes mod løftning og aflæsning.</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Spilinformation må ikke kunne aflæses ved hjælp af statisk elektricitet.</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Spilinformation må ikke have faste positioner.</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Spilinformation skal beskyttes mod ændringer.</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udstyret med mikrotekst.</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 xml:space="preserve">Kopieringsbeskyttelse omfatter f.eks. farver, rastermønstre, tryk eller lak, der giver en anden refleksion end blank lak på mat papir eller specialpapir, og som er vanskelige at kopiere. </w:t>
      </w:r>
    </w:p>
    <w:p w:rsidR="00A457A5" w:rsidRPr="0076436D" w:rsidRDefault="00A457A5" w:rsidP="00F47340">
      <w:pPr>
        <w:pStyle w:val="brdtextfyrkant"/>
        <w:ind w:left="1120" w:firstLine="200"/>
        <w:rPr>
          <w:rFonts w:ascii="Times New Roman" w:hAnsi="Times New Roman" w:cs="Times New Roman"/>
          <w:w w:val="100"/>
          <w:sz w:val="19"/>
          <w:szCs w:val="19"/>
          <w:u w:val="thick"/>
        </w:rPr>
      </w:pPr>
      <w:r>
        <w:rPr>
          <w:rFonts w:ascii="Times New Roman" w:hAnsi="Times New Roman"/>
          <w:sz w:val="19"/>
          <w:szCs w:val="19"/>
        </w:rPr>
        <w:t>Der kan placeres mikrotekst i et skrabefelt.</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bCs/>
          <w:sz w:val="19"/>
          <w:szCs w:val="19"/>
        </w:rPr>
        <w:t>§ 5</w:t>
      </w:r>
      <w:r>
        <w:rPr>
          <w:rFonts w:ascii="Times New Roman" w:hAnsi="Times New Roman"/>
          <w:sz w:val="19"/>
          <w:szCs w:val="19"/>
        </w:rPr>
        <w:t> For lodder med efterfølgende trækning, hvis højeste gevinstværdi er over ét (1) grundprisbeløb, gælder følgende:</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kopieringsbeskyttet.</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udstyret med skjult UV-sikring.</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udstyret med værditrykmønster.</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Spilinformation skal beskyttes mod ændringer. </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udstyret med mikrotekst.</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fremstillet af vandmærket papir eller andet papir med tilsvarende sikkerhed.</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Papiret skal være beskyttet mod kemisk fjernelse.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Kopieringsbeskyttelse omfatter f.eks. farver, rastermønstre, tryk eller lak, der giver en anden refleksion end blank lak på mat papir eller specialpapir, og som er vanskelige at kopiere. Der kan placeres mikrotekst i et skrabefelt.</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sz w:val="19"/>
          <w:szCs w:val="19"/>
        </w:rPr>
        <w:t xml:space="preserve">Papir med tilsvarende sikkerhed kan være, at loddet har en kombination af forskellige sikkerhedsdetaljer, der giver samme beskyttelse som vandmærket papir. </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bCs/>
          <w:sz w:val="19"/>
          <w:szCs w:val="19"/>
        </w:rPr>
        <w:t>§ 6</w:t>
      </w:r>
      <w:r>
        <w:rPr>
          <w:rFonts w:ascii="Times New Roman" w:hAnsi="Times New Roman"/>
          <w:sz w:val="19"/>
          <w:szCs w:val="19"/>
        </w:rPr>
        <w:t> For elektroniske lodder, hvis højeste gevinstværdi er over 1/6 af grundprisbeløbet, gælder følgende:</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Aktiveres og genbruges lodderne skal dette efterlade tydelige spor.</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udstyret med skjult UV-sikring.</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kopieringsbeskyttet.</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Loddet skal være udstyret med et kontrolfelt med ydertryk.</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Elektronik og displaypaneler skal være beskyttet mod manipulation.</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Loddet skal være udstyret med mikrotekst. </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Kopieringsbeskyttelse omfatter f.eks. farver, rastermønstre, tryk eller lak, der giver en anden refleksion end blank lak på mat papir eller specialpapir, og som er vanskelige at kopiere. Der kan placeres mikrotekst i et skrabefelt.</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lastRenderedPageBreak/>
        <w:t xml:space="preserve">Kapitel 5. Håndtering af lodder </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sz w:val="19"/>
          <w:szCs w:val="19"/>
        </w:rPr>
        <w:t>Håndtering af færdige lodder</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 Der skal findes dokumenterede rutiner for håndtering af færdige lodder.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Rutinerne skal også gælde for delvist færdige lodder.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2</w:t>
      </w:r>
      <w:r>
        <w:rPr>
          <w:rFonts w:ascii="Times New Roman" w:hAnsi="Times New Roman"/>
          <w:sz w:val="19"/>
          <w:szCs w:val="19"/>
        </w:rPr>
        <w:t xml:space="preserve"> Uautoriserede personer må ikke kunne få et komplet overblik over, hvilke af de færdige lodder der har gevinst, ved generering af spildata. </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3 </w:t>
      </w:r>
      <w:r>
        <w:rPr>
          <w:rFonts w:ascii="Times New Roman" w:hAnsi="Times New Roman"/>
          <w:sz w:val="19"/>
          <w:szCs w:val="19"/>
        </w:rPr>
        <w:t>Færdige produkter og andet følsomt materiale skal opbevares på en sikker og beskyttet måde, der er egnet til formålet.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Kort, koder, nøgler og lignende til området, hvor fysiske lodder håndteres eller opbevares, skal kontrolleres, så uvedkommende ikke kan få adgang til dem.</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bCs/>
          <w:sz w:val="19"/>
          <w:szCs w:val="19"/>
        </w:rPr>
        <w:t>§ 4</w:t>
      </w:r>
      <w:r>
        <w:rPr>
          <w:rFonts w:ascii="Times New Roman" w:hAnsi="Times New Roman"/>
          <w:sz w:val="19"/>
          <w:szCs w:val="19"/>
        </w:rPr>
        <w:t xml:space="preserve"> Fysiske lodder skal være emballeret på en sådan måde, at en yderemballage eller lignende skal brydes for at få adgang til enkelte lodder. </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Hvis de fysiske lodder er emballeret på en palle, skal denne indpakkes, så man ikke kan se, hvad der findes deri.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Det skal dokumenteres, hvis plombering eller emballage er brudt.</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5</w:t>
      </w:r>
      <w:r>
        <w:rPr>
          <w:rFonts w:ascii="Times New Roman" w:hAnsi="Times New Roman"/>
          <w:sz w:val="19"/>
          <w:szCs w:val="19"/>
        </w:rPr>
        <w:t> Transport af færdige fysiske lodder skal finde sted på en sikker måde.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En velrenommeret virksomhed med køretøjer, der kan plomberes, bør benyttes til transport af færdige lodder. Vejruten bør fastlægges, så transportøren ikke vælger en mere risikabel vej grundet f.eks. økonomiske fordele. Mellemstop bør undgås.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sz w:val="19"/>
          <w:szCs w:val="19"/>
        </w:rPr>
        <w:t>Leveringen bør planlægges, så godset kan losses og opbevares på et sikkert sted umiddelbart ved ankomsten. Tilfældig parkering af lastbilen natten over eller på andre tidspunkter bør undgås.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t>Håndtering af usolgte lodder og indløste gevinstlodder</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6</w:t>
      </w:r>
      <w:r>
        <w:rPr>
          <w:rFonts w:ascii="Times New Roman" w:hAnsi="Times New Roman"/>
          <w:sz w:val="19"/>
          <w:szCs w:val="19"/>
        </w:rPr>
        <w:t> Der skal findes dokumenterede rutiner for håndtering af usolgte lodder og indløste gevinstlodder.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Usolgte lodder og indløste gevinstlodder skal destrueres så hurtigt som muligt efter lotteriets afslutning.</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Hvis gevinstvalidering finder sted i et spillesystem, erstatter denne gevinstvalidering destruktionen omtalt i foregående punktum.</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t>Håndtering af beskadigede lodder</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7</w:t>
      </w:r>
      <w:r>
        <w:rPr>
          <w:rFonts w:ascii="Times New Roman" w:hAnsi="Times New Roman"/>
          <w:sz w:val="19"/>
          <w:szCs w:val="19"/>
        </w:rPr>
        <w:t> Der skal findes dokumenterede rutiner for håndtering af fysiske lodder, der beskadiges under produktion eller levering.</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 xml:space="preserve">Ved udveksling af lodder, der er beskadiget under produktion eller levering, skal den indgivne gevinstplan og gevinstfordeling samt antallet af lodder stadig stemme overens med bestillingen. </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lastRenderedPageBreak/>
        <w:t>Beskadigede fysiske lodder skal dokumenteres og destrueres.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t xml:space="preserve">Håndtering af kasserede tryksager og andet udstyr </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8</w:t>
      </w:r>
      <w:r>
        <w:rPr>
          <w:rFonts w:ascii="Times New Roman" w:hAnsi="Times New Roman"/>
          <w:sz w:val="19"/>
          <w:szCs w:val="19"/>
        </w:rPr>
        <w:t> Der skal findes dokumenterede rutiner for bortskaffelse af kasserede tryksager og andet udstyr, som benyttes til produktion af fysiske lodder.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Alle kasserede tryksager skal dokumenteres og destrueres.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t>Håndtering af brugte datamedier</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9</w:t>
      </w:r>
      <w:r>
        <w:rPr>
          <w:rFonts w:ascii="Times New Roman" w:hAnsi="Times New Roman"/>
          <w:sz w:val="19"/>
          <w:szCs w:val="19"/>
        </w:rPr>
        <w:t> Der skal findes dokumenterede rutiner for håndtering af systemer brugt til generering af grundlaget for fysiske lodder og for validering af trykte fysiske lodder, der ikke længere anvendes.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 xml:space="preserve">Filer med gevinstinformation skal behandles på en måde, som sikrer, at ingen uvedkommende kan kopiere disse eller på anden måde misbruge eller beskadige informationen. </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sz w:val="19"/>
          <w:szCs w:val="19"/>
        </w:rPr>
        <w:t>Destruktion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10</w:t>
      </w:r>
      <w:r>
        <w:rPr>
          <w:rFonts w:ascii="Times New Roman" w:hAnsi="Times New Roman"/>
          <w:sz w:val="19"/>
          <w:szCs w:val="19"/>
        </w:rPr>
        <w:t> Der skal findes dokumenterede rutiner for destruktion.</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Der bør altid være mindst to personer tilstede ved destruktioner.</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 xml:space="preserve">Kapitel 6. Information til spilforhandlere </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 Spilforhandlere skal have kendskab til relevante dele af loven om spil (2018:1138), bekendtgørelsen om spil (2018:1475), forskrifter, almene råd og vilkår, som licenshaveren er omfattet af, samt licenshaverens interne rutiner og retningslinjer, der vedrører og er relevante for spilforhandlere.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 xml:space="preserve">Almene råd: </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Relevante dele af loven om spil, bekendtgørelser og forskrifter kan f.eks. være, at spillere skal være 18 år for at spille, at det er forbudt at give kredit til spil og hvorhenne spillere kan indhente informationer om og hjælp til selvevaluering, selvudelukkelse og andre problemer knyttet til deres spil.</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Kapitel 7. Spillekonti og midlertidige spillekonti</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 Spillere må kun have én spillekonto.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Det foregående punktum gælder ikke, hvis licenshaveren stiller spil til rådighed via forskellige webadresser. I sådanne tilfælde må spillere besidde mere end én spillekonto hos licenshaveren, under forudsætning af at licenshaveren</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kan identificere og fastsætte spillernes separate spillekonti</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sørger for, at spillere ikke har adgang til nogen spil hos licenshaveren, når disse vælger at udelukke sig selv i medfør af kap. 14, § 11, i loven om </w:t>
      </w:r>
      <w:r>
        <w:rPr>
          <w:rFonts w:ascii="Times New Roman" w:hAnsi="Times New Roman"/>
          <w:sz w:val="19"/>
          <w:szCs w:val="19"/>
        </w:rPr>
        <w:lastRenderedPageBreak/>
        <w:t>spil (2018:1138), medmindre spillerne aktivt vælger, at udelukkelsen kun gælder for et bestemt eller bestemte spil</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kan overvåge spilleadfærd og transaktioner på spillernes samtlige separate spillekonti. </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2</w:t>
      </w:r>
      <w:r>
        <w:rPr>
          <w:rFonts w:ascii="Times New Roman" w:hAnsi="Times New Roman"/>
          <w:sz w:val="19"/>
          <w:szCs w:val="19"/>
        </w:rPr>
        <w:t xml:space="preserve"> Spillere må ikke kunne indsætte mere end 1/4 af grundprisbeløbet på en midlertidig spillekonto. </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3</w:t>
      </w:r>
      <w:r>
        <w:rPr>
          <w:rFonts w:ascii="Times New Roman" w:hAnsi="Times New Roman"/>
          <w:sz w:val="19"/>
          <w:szCs w:val="19"/>
        </w:rPr>
        <w:t> Spillere, som besidder en midlertidig spillekonto, skal inden for 15 dage fra registreringen opfordres til at aflevere dokumentation, som støtter oplysningerne indgivet ved registreringen.</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En midlertidig spillekonto må ikke benyttes til spil i mere end 30 dage.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Kapitel 8. Information til spillere</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xml:space="preserve"> Følgende information skal udover det, som fremgår af kapitel 14, § 4, i loven om spil (2018:1138), holdes lettilgængelig for spillere: </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licenshaverens navn, telefonnummer og e-mail-adresse </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oplysninger om modtagere af ydelser, hvis det er relevant </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salgs- og/eller licensperiode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hvilke risici, som kan være forbundet med spil om penge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 xml:space="preserve">kontaktoplysninger til en hjælpetjeneste for spilleproblemer, som er uafhængig fra spillevirksomheden og kan tilbyde hjælp ud fra svenske forhold </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at spillemyndigheden er licens- og tilsynsmyndigheden</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pris pr. lod, indsats eller tilsvarende i det aktuelle lotteri</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eventuelle øvrige omkostninger til deltagelse i det aktuelle lotteri</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antallet af lodder eller lignende, hvis det er relevant.</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 xml:space="preserve">Hvis gevinsten ikke uddeles med det samme, skal spilleren også modtage oplysninger om tidspunkt og måden for gevinstudbetaling samt om sidste dag for gevinstudbetaling. </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Ved lotterier med efterfølgende trækning og lotterier uden lodder skal oplysninger om tid og sted for offentliggørelse af udtrækningsresultatet samt dato for eventuel fordelingstrækning også meddeles.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En uafhængig hjælpetjeneste kan f.eks. være Stödlinjen.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2</w:t>
      </w:r>
      <w:r>
        <w:rPr>
          <w:rFonts w:ascii="Times New Roman" w:hAnsi="Times New Roman"/>
          <w:sz w:val="19"/>
          <w:szCs w:val="19"/>
        </w:rPr>
        <w:t> På fysiske lodder eller lignende skal oplysningerne i § 1 angives på en tydelig og fremtrædende måde. Oplysninger i henhold til § 1, nr. 2, 4 og 6, må dog være tilgængelige på anden vis end på loddet, såfremt det fremgår, hvorhenne oplysningerne er tilgængelige.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På fysiske lodder skal gevinstplanen angives på en tydelig og fremtrædende måde.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sz w:val="19"/>
          <w:szCs w:val="19"/>
        </w:rPr>
        <w:t>Oplysninger om eventuelle kontrahenter i henhold til kap. 11, § 6, i loven om spil (2018:1138) skal kun angives, hvis det er nødvendigt for, at spillere kan varetage deres rettigheder.</w:t>
      </w:r>
    </w:p>
    <w:p w:rsidR="00A457A5" w:rsidRPr="0076436D" w:rsidRDefault="00DE28EA"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Almene råd:</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Gevinstplanen kan f.eks. fremgå af det fysiske lods bagside.</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sz w:val="19"/>
          <w:szCs w:val="19"/>
        </w:rPr>
        <w:t>Det bør være nemt for en spiller at forstå, hvem der er licenshaver eller modtager af ydelser. Information om licenshavere eller modtagere af ydelser kan f.eks. fremgå af det fysiske lods forside.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3</w:t>
      </w:r>
      <w:r>
        <w:rPr>
          <w:rFonts w:ascii="Times New Roman" w:hAnsi="Times New Roman"/>
          <w:sz w:val="19"/>
          <w:szCs w:val="19"/>
        </w:rPr>
        <w:t> I forbindelse med køb af lodder, som kræver registrering i henhold til kapitel 12, § 1, i loven om spil (2018:1138), skal oplysninger i henhold til § 1, nr. 4–6, samt information om muligheder for begrænsning af deltagelse i spil i henhold til kapitel 14, § 7, § 11, første punktum, og § 12, i loven om spil og kapitel 11, § 3, i bekendtgørelsen om spil (2018:1475) være tilgængelige for spillere, inden disse skal registreres.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4</w:t>
      </w:r>
      <w:r>
        <w:rPr>
          <w:rFonts w:ascii="Times New Roman" w:hAnsi="Times New Roman"/>
          <w:sz w:val="19"/>
          <w:szCs w:val="19"/>
        </w:rPr>
        <w:t xml:space="preserve"> Hvis lotteriet stilles til rådighed online skal de informationer, der angives i § 1, første punktum, nr. 1-3 og 5, være tydeligt synlige på licenshaverens startside ligesom spillemyndighedens logo, der har et link til myndighedens websted og brugervilkår.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5</w:t>
      </w:r>
      <w:r>
        <w:rPr>
          <w:rFonts w:ascii="Times New Roman" w:hAnsi="Times New Roman"/>
          <w:sz w:val="19"/>
          <w:szCs w:val="19"/>
        </w:rPr>
        <w:t xml:space="preserve"> Ved ændring af de gældende brugervilkår, hvor ændringen er betydelig, skal spillere oplyses om ændringerne, inden disse træder i kraft. </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sz w:val="19"/>
          <w:szCs w:val="19"/>
        </w:rPr>
        <w:t xml:space="preserve">Almene råd: </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sz w:val="19"/>
          <w:szCs w:val="19"/>
        </w:rPr>
        <w:t xml:space="preserve">Ved ubetydelige ændringer menes f.eks. ændringer af stavefejl. </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sz w:val="19"/>
          <w:szCs w:val="19"/>
        </w:rPr>
        <w:t xml:space="preserve">Oplysninger til spillere om ændringer af brugervilkår kan f.eks. foregå ved, at disse skriftligt får adgang til ændringerne, eller ved at disse godkender de nye brugervilkår i forbindelse med indlogning. </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sz w:val="21"/>
          <w:szCs w:val="21"/>
        </w:rPr>
        <w:t>Kapitel 9. Licenshaveren skal kunne generere rapporter med følgende information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bCs/>
          <w:sz w:val="19"/>
          <w:szCs w:val="19"/>
        </w:rPr>
        <w:t>§ 1</w:t>
      </w:r>
      <w:r>
        <w:rPr>
          <w:rFonts w:ascii="Times New Roman" w:hAnsi="Times New Roman"/>
          <w:sz w:val="19"/>
          <w:szCs w:val="19"/>
        </w:rPr>
        <w:t> Licenshaveren skal registrere og kunne generere rapporter med følgende information pr. parti eller serie med lodder eller lignende i overensstemmelse med den bevilgede licens: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samlede antal trykte lodder i medfør af gevinstplanen</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samlede antal solgte lodder</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samlede indtægter for solgte lodder</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samlede udbetalte gevinster</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samlede udbetalte gevinster for hvert niveau i medfør af gevinstplanen</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faktisk udfald af tilbagebetalingsprocenten.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bCs/>
          <w:sz w:val="19"/>
          <w:szCs w:val="19"/>
        </w:rPr>
        <w:t>§ 2</w:t>
      </w:r>
      <w:r>
        <w:rPr>
          <w:rFonts w:ascii="Times New Roman" w:hAnsi="Times New Roman"/>
          <w:sz w:val="19"/>
          <w:szCs w:val="19"/>
        </w:rPr>
        <w:t xml:space="preserve"> Licenshaveren skal dokumentere og kunne generere rapporter om lodder, der udsættes for manipulation eller på anden måde forsvinder inden salg. </w:t>
      </w:r>
    </w:p>
    <w:p w:rsidR="00A457A5" w:rsidRPr="0076436D"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Pr>
          <w:rFonts w:ascii="Times New Roman" w:hAnsi="Times New Roman"/>
          <w:sz w:val="19"/>
          <w:szCs w:val="19"/>
        </w:rPr>
        <w:t>Nærværende forskrift træder i kraft 1. januar 2019.</w:t>
      </w:r>
    </w:p>
    <w:p w:rsidR="00A457A5" w:rsidRPr="0076436D"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Pr>
          <w:rFonts w:ascii="Times New Roman" w:hAnsi="Times New Roman"/>
          <w:sz w:val="19"/>
          <w:szCs w:val="19"/>
        </w:rPr>
        <w:t>Forskriften finder også anvendelse på ansøgninger om licens, der indleveres til lotteriinspektionen efter den 1. august 2018 og omhandler en tidsperiode efter den 1. januar 2019.</w:t>
      </w:r>
    </w:p>
    <w:p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sz w:val="19"/>
          <w:szCs w:val="19"/>
        </w:rPr>
        <w:t>På lotteriinspektionens vegne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sz w:val="19"/>
          <w:szCs w:val="19"/>
        </w:rPr>
        <w:t>CAMILLA ROSENBERG</w:t>
      </w:r>
    </w:p>
    <w:p w:rsidR="00A457A5" w:rsidRPr="0076436D" w:rsidRDefault="00A457A5" w:rsidP="00F47340">
      <w:pPr>
        <w:pStyle w:val="BodyText"/>
        <w:jc w:val="center"/>
        <w:rPr>
          <w:rFonts w:ascii="Times New Roman" w:hAnsi="Times New Roman" w:cs="Times New Roman"/>
          <w:w w:val="100"/>
          <w:sz w:val="19"/>
          <w:szCs w:val="19"/>
        </w:rPr>
      </w:pPr>
      <w:r>
        <w:rPr>
          <w:rFonts w:ascii="Times New Roman" w:hAnsi="Times New Roman"/>
          <w:sz w:val="19"/>
          <w:szCs w:val="19"/>
        </w:rPr>
        <w:t>Johan Röhr</w:t>
      </w:r>
    </w:p>
    <w:sectPr w:rsidR="00A457A5" w:rsidRPr="0076436D">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1E" w:rsidRDefault="003A531E">
      <w:pPr>
        <w:spacing w:after="0" w:line="240" w:lineRule="auto"/>
      </w:pPr>
      <w:r>
        <w:separator/>
      </w:r>
    </w:p>
  </w:endnote>
  <w:endnote w:type="continuationSeparator" w:id="0">
    <w:p w:rsidR="003A531E" w:rsidRDefault="003A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BF1FD6">
      <w:rPr>
        <w:rStyle w:val="Pagina"/>
        <w:rFonts w:ascii="Times New Roman" w:hAnsi="Times New Roman" w:cs="Times New Roman"/>
        <w:noProof/>
      </w:rPr>
      <w:t>2</w:t>
    </w:r>
    <w:r w:rsidRPr="00B06CA7">
      <w:rPr>
        <w:rStyle w:val="Pagina"/>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BF1FD6">
      <w:rPr>
        <w:rStyle w:val="Pagina"/>
        <w:rFonts w:ascii="Times New Roman" w:hAnsi="Times New Roman" w:cs="Times New Roman"/>
        <w:noProof/>
      </w:rPr>
      <w:t>3</w:t>
    </w:r>
    <w:r w:rsidRPr="00B06CA7">
      <w:rPr>
        <w:rStyle w:val="Pagina"/>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BF1FD6">
      <w:rPr>
        <w:rStyle w:val="Pagina"/>
        <w:rFonts w:ascii="Times New Roman" w:hAnsi="Times New Roman" w:cs="Times New Roman"/>
        <w:noProof/>
      </w:rPr>
      <w:t>1</w:t>
    </w:r>
    <w:r w:rsidRPr="00B06CA7">
      <w:rPr>
        <w:rStyle w:val="Pagina"/>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1E" w:rsidRDefault="003A531E">
      <w:pPr>
        <w:spacing w:after="0" w:line="240" w:lineRule="auto"/>
      </w:pPr>
      <w:r>
        <w:separator/>
      </w:r>
    </w:p>
  </w:footnote>
  <w:footnote w:type="continuationSeparator" w:id="0">
    <w:p w:rsidR="003A531E" w:rsidRDefault="003A531E">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cs="Times New Roman"/>
          <w:vertAlign w:val="superscript"/>
        </w:rPr>
        <w:footnoteRef/>
      </w:r>
      <w:r>
        <w:rPr>
          <w:rFonts w:ascii="Times New Roman" w:hAnsi="Times New Roman"/>
          <w:sz w:val="17"/>
          <w:szCs w:val="17"/>
        </w:rPr>
        <w:t> Se Europa-Parlamentets og Rådets direktiv (EU) 2015/1535 af 9. september 2015 om en informationsprocedure med hensyn til tekniske forskrifter samt forskrifter for informationssamfundets tjenester.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sz w:val="21"/>
        <w:szCs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10077"/>
    <w:rsid w:val="00224CE3"/>
    <w:rsid w:val="002534DF"/>
    <w:rsid w:val="00265800"/>
    <w:rsid w:val="003818B4"/>
    <w:rsid w:val="003A531E"/>
    <w:rsid w:val="003D5B62"/>
    <w:rsid w:val="00462030"/>
    <w:rsid w:val="005D32FE"/>
    <w:rsid w:val="0076436D"/>
    <w:rsid w:val="00971EE7"/>
    <w:rsid w:val="009774BE"/>
    <w:rsid w:val="00A457A5"/>
    <w:rsid w:val="00B06CA7"/>
    <w:rsid w:val="00B62056"/>
    <w:rsid w:val="00B64244"/>
    <w:rsid w:val="00B97BEE"/>
    <w:rsid w:val="00BD10A6"/>
    <w:rsid w:val="00BF1FD6"/>
    <w:rsid w:val="00C277C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efaultImageDpi w14:val="0"/>
  <w15:docId w15:val="{F7E30472-8631-4C01-9CC8-97F3B60B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lang w:eastAsia="sv-SE"/>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lang w:eastAsia="sv-SE"/>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lang w:eastAsia="sv-SE"/>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lang w:eastAsia="sv-SE"/>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lang w:eastAsia="sv-SE"/>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lang w:eastAsia="sv-SE"/>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lang w:eastAsia="sv-SE"/>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lang w:eastAsia="sv-SE"/>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lang w:eastAsia="sv-SE"/>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lang w:eastAsia="sv-SE"/>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lang w:eastAsia="sv-SE"/>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lang w:eastAsia="sv-SE"/>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lang w:eastAsia="sv-SE"/>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lang w:eastAsia="sv-SE"/>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lang w:eastAsia="sv-SE"/>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lang w:eastAsia="sv-SE"/>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lang w:eastAsia="sv-SE"/>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lang w:eastAsia="sv-SE"/>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lang w:eastAsia="sv-SE"/>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lang w:eastAsia="sv-SE"/>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lang w:eastAsia="sv-SE"/>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lang w:eastAsia="sv-SE"/>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lang w:eastAsia="sv-SE"/>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lang w:eastAsia="sv-SE"/>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lang w:eastAsia="sv-SE"/>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lang w:eastAsia="sv-SE"/>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lang w:eastAsia="sv-SE"/>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lang w:eastAsia="sv-SE"/>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rsid w:val="003D5B62"/>
    <w:rPr>
      <w:rFonts w:ascii="Consolas" w:hAnsi="Consolas"/>
      <w:sz w:val="21"/>
      <w:szCs w:val="2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2594</Words>
  <Characters>14789</Characters>
  <Application>Microsoft Office Word</Application>
  <DocSecurity>0</DocSecurity>
  <Lines>123</Lines>
  <Paragraphs>34</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euroscript Deutschland GmbH</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rkuser1</dc:creator>
  <cp:lastModifiedBy>VINDING, Anne</cp:lastModifiedBy>
  <cp:revision>4</cp:revision>
  <dcterms:created xsi:type="dcterms:W3CDTF">2018-11-16T12:45:00Z</dcterms:created>
  <dcterms:modified xsi:type="dcterms:W3CDTF">2018-11-20T13:56:00Z</dcterms:modified>
</cp:coreProperties>
</file>