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B92" w:rsidRPr="008F61B0" w:rsidRDefault="006B2B92" w:rsidP="006B2B92">
      <w:pPr>
        <w:pStyle w:val="PlainTex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1. ------IND- 2019 0518 F-- CS- ------ 20200930 --- --- FINAL </w:t>
      </w:r>
    </w:p>
    <w:p w:rsidR="00D8408E" w:rsidRPr="00621B9B" w:rsidRDefault="00DD2A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10. dubna 2020</w:t>
      </w:r>
    </w:p>
    <w:p w:rsidR="00621B9B" w:rsidRP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21B9B" w:rsidRP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8408E" w:rsidRPr="00621B9B" w:rsidRDefault="00DD2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Úřední věstník Francouzské republiky č. 0085 ze 7. dubna 2020</w:t>
      </w:r>
    </w:p>
    <w:p w:rsidR="00621B9B" w:rsidRP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8408E" w:rsidRPr="00621B9B" w:rsidRDefault="00DD2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Text č. 11</w:t>
      </w:r>
    </w:p>
    <w:p w:rsidR="00621B9B" w:rsidRP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21B9B" w:rsidRP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8408E" w:rsidRPr="00621B9B" w:rsidRDefault="00DD2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Vyhláška z 1. dubna 2020, kterou se stanoví obsah dokumentace k žádostem o registraci a povolení v případě hnojiv, pomocných látek pro hnojiva a pěstebních substrátů, a kritéria, která je třeba zohlednit při přípravě informací požadovaných k hodnocení</w:t>
      </w:r>
    </w:p>
    <w:p w:rsidR="00621B9B" w:rsidRP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8408E" w:rsidRPr="006B2B92" w:rsidRDefault="00DD2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NOR: AGRG2008998A</w:t>
      </w:r>
    </w:p>
    <w:p w:rsidR="00621B9B" w:rsidRPr="006B2B92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621B9B" w:rsidRPr="006B2B92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8408E" w:rsidRPr="006B2B92" w:rsidRDefault="00DD2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0"/>
          <w:szCs w:val="20"/>
        </w:rPr>
        <w:t>ELI:https://www.legifrance.gouv.fr/eli/arrete/2020/4/1/AGRG2008998A/jo/texte</w:t>
      </w:r>
    </w:p>
    <w:p w:rsidR="00621B9B" w:rsidRPr="006B2B92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621B9B" w:rsidRPr="006B2B92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621B9B" w:rsidRPr="006B2B92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621B9B" w:rsidRPr="006B2B92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Dotčené skupiny obyvatelstva: držitelé registrace nebo povolení v případě hnojiv, pomocných látek hnojiv a pěstebních substrátů.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Předmět: skladba dokumentace žádosti o registraci , povolení k provedení pokusu a povolení k zavádění hnojiv, jejich pomocných látek a pěstebních substrátů, obsah oznámení a prohlášení týkajících se těchto produktů.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Nabytí účinnosti: text nabývá účinnosti v den následující po jeho vyhlášení.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Poznámka: tato vyhláška stanov v případě každého typu žádosti, oznámení a prohlášení týkajícího se oprávnění nebo povolení v případě hnojiva, pomocné látky hnojiva nebo pěstebního substrátu skladbu dokumentace, která se předkládá Národní agentuře pro bezpečnost potravin, životního prostředí a práce.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Odkazy: tato vyhláška se přijímá na základě článků R. 255-13 a R. 255-14 zákoníku zemědělství a mořského rybolovu. Je k nahlédnutí na stránkách Légifrance (https://www.legifrance.gouv.fr).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Ministr zemědělství a výživy,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 ohledem na nařízení Evropského parlamentu a Rady (ES) č. 1907/2006 z 18. prosince 2006 o registraci, hodnocení a povolování chemických látek stejně jako o omezeních platných pro tyto látky (REACH), jež zřizuje evropskou agenturu pro chemické látky;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 ohledem na zákoník zemědělství a mořského rybolovu, zejména jeho na články R 255-13 a R. 255-14;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 ohledem na dekret č. 80-478 ze 16. června 1980, kterým se provádí článek L. 412-1 spotřebitelského zákoníku, pokud jde o hnojiva a pěstební substráty;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s ohledem na návrh generálního ředitele Národní agentury pro bezpečnost potravin, životního prostředí a práce z 2. srpna 2019,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nařizuje: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Článek 1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Oblast působnosti.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Ustanovení této vyhlášky se použijí v případě hnojiv, pomocných látek hnojiv a pěstebních substrátů, dále jen „produkt“, kterým se rozumí „produkt nebo soubor produktů“ ve smyslu článku R 255-1 zákoníku zemědělství a mořského rybolovu.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Článek 2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Společná ustanovení.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Jakákoli žádost o registraci, povolení k provedení pokusu nebo povolení k zavedení produktu, jakákoli žádost o změnu, obnovení nebo odebrání těchto povolení a jakékoli předání informací, oznámení nebo prohlášení o těchto produktech se podává Národní agentuře pro bezpečnost potravin, životního prostředí a práce (Anses). Vystavuje se ve formě dokumentace vedené ve francouzštině s výjimkou zvláštních ustanovení podle článku 3.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Tuto dokumentaci tvoří: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1. dopis se žádostí, předáním informace, oznámením nebo prohlášením;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2. formulář řádně vyplněný v souladu s příslušným návodem, datovaný a podepsaný. Formulář a návod k němu jsou k dispozici na internetových stránkách agentury (Anses);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3. případně další informace nezbytné k prošetření a posouzení žádosti nebo zaevidování oznámení nebo prohlášení podle článků 3 až 6 této vyhlášky.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Dokumentaci je nutné předložit v elektronické podobě na nosiči pro ukládání údajů. Dokumentace může obsahovat i tištěnou verzi ve dvou vyhotoveních, která musí být doplněna o potvrzení shodnosti dokumentů v tištěné podobě a dokumentů v elektronické podobě.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Dokumentace se předkládá podle pokynů přiložených k formuláři pro její podání.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Produkty, které jsou předmětem žádosti, musejí být popsány v souladu s přílohou této vyhlášky a „příručkou pro hodnocení dokumentace žádosti o registraci nebo povolení pro hnojiva, pomocné látky hnojiv a pěstební substráty“, která je k nahlédnutí na internetových stránkách agentury Anses.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Článek 3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Registrace.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I. - Žádost o registraci produktu, obnovení nebo změnu registrace s výjimkou žádostí podle odstavců III a IV, tvoří následující dodatečné informace nezbytné pro provedení posouzení podle článku L. 255-7 zákoníku zemědělství a mořského rybolovu: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údaje o sledovatelnosti produktu a jeho surovin na úrovni výrobních provozoven a výrobního místa, pokud se od sebe liší;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úplné složení produktu;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protokoly o analýze vlastností produktu;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informace týkající se stálosti složení produktu ve vztahu k zaručeným parametrům a hodnotám, jako jsou jeho homogenita, neměnnost a stabilita, stejně jako protokoly o odpovídajících analýzách;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informace týkající se výroby produktu, zejména popis použitých surovin a pomocných technologických látek, podrobnosti o výrobním procesu, postupech v rámci řízení jakosti, kontroly a vlastní kontroly, definice šarží a řízení neshod;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souhrnná agronomická zpráva a protokoly o zkouškách, které stanovují za předepsaných podmínek použití účinnost produktu ve vztahu ke konkrétně požadovaným účinkům. V případě žádosti o obnovení registrace odůvodní žadatel případné nepodání těchto souhrnných zpráv a zkušebních protokolů;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souhrnná zpráva a zprávy ze studií prokazující za předepsaných podmínek použití absenci škodlivých účinků produktu na lidské zdraví, zdraví zvířat a životní prostředí. V případě žádosti o obnovení registrace produktu žadatel odůvodní případné nepředání těchto zpráv;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v případě žádosti o obnovení registrace produktu výsledky následných kontrol výroby stejně jako další údaje po udělení registrace případně vyžadované v původním rozhodnutí;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navrhovaný štítek nebo informační list produktu;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bezpečnostní list produktu a všechny suroviny podle článku 31 nařízení (ES) č. 1907/2006 výše.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Souhrnné zprávy, zprávy o provedených studiích a zkouškách mohou být předány v angličtině.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II. - Žádost o registraci produktu na základě vzájemného uznání podle článku R. 255-17 zákoníku zemědělství a mořského rybolovu musí obsahovat tyto další dokumenty: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osvědčení o shodnosti produktu, který je předmětem žádosti, s produktem uvedeným na trh v souladu s právními předpisy v referenčním členském státě;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úplné složení produktu;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kopie správního rozhodnutí, normy nebo textu právního předpisu, na jehož základě je výrobek uvedený na trh v referenčním členském státě registrován, spolu s francouzským překladem tohoto textu;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vzor štítku produktu uvedeného na trh v referenčním členském státě spolu s překladem do francouzštiny nebo angličtiny;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seznam plodin, pro které je produkt určen, a podmínky jeho použití. U každé plodiny nebo typu půdy uvádí žadatel zejména způsob aplikace produktu, minimální a maximální dávky na aplikaci a na hektar, počet aplikací za rok, období a/nebo stav plodiny, na niž je produkt aplikován. Mohou být navržena opatření k regulaci rizik;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navrhovaný štítek nebo informační list produktu;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bezpečnostní list produktu a všechny suroviny podle článku 31 nařízení (ES) č. 1907/2006 výše.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III. - Žádost o registraci produktu totožného s již schváleným produktem zahrnuje tyto doplňující prvky: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údaje o sledovatelnosti produktu a jeho surovin na úrovni výrobních provozoven a výrobního místa, pokud se od sebe liší;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osvědčení o shodnosti mezi referenčním produktem a požadovaným produktem;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navrhovaný štítek nebo informační list produktu.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IV. - Žádost o změnu registrace produktu ve smyslu získání oprávnění k jednomu nebo více dalším použitím nebo způsobům použití zahrnuje pro každé z těchto použití tyto doplňující dokumenty: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souhrnná agronomická zpráva a protokoly o zkouškách prokazující za předepsaných podmínek použití účinnost produktu ve vztahu ke konkrétně uváděným účinkům;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souhrnná zpráva a zprávy ze studií, které prokazují za předepsaných podmínek použití absenci škodlivých účinků produktu na lidské zdraví, zdraví zvířat a životní prostředí;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navrhovaný štítek nebo informační list produktu.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Souhrnné zprávy, zprávy o provedených studiích a zkouškách mohou být předány v angličtině.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Článek 4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Povolení k provedení pokusu.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I.</w:t>
      </w:r>
      <w:r w:rsidR="0043228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- Žádost o povolení k provedení pokusu s produktem nebo obnovení tohoto povolení tvoří za účelem posouzení podle článku L. 255–8 zákoníku zemědělství a mořského rybolovu tyto doplňující dokumenty: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údaje o sledovatelnosti produktu a jeho surovin na úrovni výrobních provozoven a výrobního místa, pokud se od sebe liší;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úplné složení produktu;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protokoly o analýze vlastností produktu;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bezpečnostní list produktu a všech surovin podle článku 31 nařízení (ES) č. 1907/2006.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II. - Oznámení o změně podmínek provádění pokusu tvoří tyto doplňující prvky: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kopie povolení k provedení pokusu;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odpovídající odůvodňující prvky.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Článek 5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Povolení k zavedení produktu.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Žádost o povolení k zavedení produktu, o změnu nebo obnovení tohoto povolení musí obsahovat za účelem posouzení podle článku L. 255-7 zákoníku zemědělství a mořského rybolovu tyto doplňující prvky: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veškeré informace umožňující posouzení shodnosti produktů v souladu s článkem R. 255-20 zákoníku zemědělství a mořského rybolovu;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původní označení produktu, o jehož zavedení se uvažuje;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navrhovaný štítek nebo informačního listu ve francouzštině.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Článek 6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Ostatní požadavky nebo prohlášení.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I. - Žádost o převod registrace produktu nebo povolení podle článku R. 255-5 zákoníku zemědělství a mořského rybolovu zahrnuje tyto doplňující prvky: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originál rozhodnutí o oprávnění nebo povolení;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osvědčení od původního majitele o jeho souhlasu s převodem registrace nebo povolení.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II. - Žádost o přidání nového obchodního názvu již registrovaného produktu podle článku R. 255-5 zákoníku zemědělství a mořského rybolovu nebo prohlášení o změně obchodního názvu produktu podle článku R. 255-9 téhož zákoníku musí obsahovat tyto doplňující prvky: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kopie registrace produktu nebo povolení produktu;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osvědčení o shodnosti mezi referenčním produktem a požadovaným produktem.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III. - Prohlášení o změně adresy držitele registrace zahrnuje tyto doplňující prvky: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kopie registrace produktu nebo povolení produktu;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odůvodnění změny názvu adresy držitele registrace.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IV. - Prohlášení o změně obchodního názvu držitele registrace produktu nebo povolení podle článku R. 255-9 zákoníku zemědělství a mořského rybolovu zahrnuje tyto doplňující prvky: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kopie registrace produktu nebo povolení produktu;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odůvodnění změny obchodního jména.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/>
          <w:sz w:val="24"/>
          <w:szCs w:val="24"/>
        </w:rPr>
        <w:t>V. - Prohlášení o změně nebo doplnění výrobní provozovny nebo výrobního místa produktu podle článku R. 255-9 zákoníku zemědělství a mořského rybolovu zahrnuje tyto doplňující prvky: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údaje o sledovatelnosti produktu a jeho surovin na úrovni výrobních provozoven a výrobního místa, pokud se od sebe liší.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VI. - Žádost o změnu informací ohlášených ve vyhodnocovací dokumentaci zahrnuje tyto doplňující prvky: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v případě žádosti o převod produktu: osvědčení od původního majitele o jeho souhlasu s převodem oprávnění nebo povolení;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v případě změny adresy držitele registrace: odůvodnění pro změnu adresy držitele registrace;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v případě změny obchodního názvu držitele registrace: odůvodnění pro změnu obchodního názvu držitele registrace;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- v případě změny obchodního názvu produktu: osvědčení o shodnosti mezi referenčním produktem a požadovaným produktem.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Článek 7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Vyhláška z 21. prosince 1998 o schvalování hnojiv a pěstebních substrátů, v platném znění, se zrušuje.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Článek 8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Prováděním této vyhlášky, která bude zveřejněna v Úředním věstníku Francouzské republiky, je pověřen generální ředitel pro výživu.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Příloha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PŘÍLOHA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OBSAH STOPOVÝCH PRVKŮ KOVŮ A STOPOVÝCH ORGANICKÝCH SLOUČENIN – MIKROBIOLOGICKÁ KRITÉRIA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Níže uvedená kritéria představují kvalitativní referenční hodnoty produktů. V případě jejich překročení předloží žadatel nezbytná odůvodnění u prvků, u kterých došlo k tomuto překročení.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K celkovému poměru obohacení stopovými prvky kovů a stopovými sloučeninami z hnojiv, jejich pomocných látek a pěstebních substrátů se přihlíží při ověřování absence škodlivých účinků na zdraví lidí a zvířat a na životní prostředí na základě dávek a četnosti aplikace při doporučených podmínkách použití.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Tyto informace se podávají v souladu s „příručkou pro hodnocení dokumentace k žádosti o registraci nebo o povolení hnojiva, jejich pomocné látky a pěstební substráty“, která je uvedena v článku 2.</w:t>
      </w:r>
    </w:p>
    <w:p w:rsidR="00621B9B" w:rsidRP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Stopové prvky kovů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0"/>
        <w:gridCol w:w="3200"/>
        <w:gridCol w:w="3200"/>
        <w:gridCol w:w="30"/>
      </w:tblGrid>
      <w:tr w:rsidR="00D8408E" w:rsidRPr="00621B9B" w:rsidTr="00B553AE">
        <w:trPr>
          <w:gridAfter w:val="1"/>
          <w:wAfter w:w="2" w:type="dxa"/>
          <w:trHeight w:val="276"/>
        </w:trPr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D8408E" w:rsidRPr="00621B9B" w:rsidRDefault="00D8408E" w:rsidP="00990A0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 w:rsidP="00990A0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 w:rsidP="00990A0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Maximální obsah v případě hnojiva</w:t>
            </w:r>
          </w:p>
          <w:p w:rsidR="00621B9B" w:rsidRPr="00621B9B" w:rsidRDefault="00621B9B" w:rsidP="00990A0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 w:rsidP="00990A0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(v mg/kg sušiny)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 w:rsidP="00990A0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 w:rsidP="00990A0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Maximální obsah v případě pěstebního substrátu</w:t>
            </w:r>
          </w:p>
          <w:p w:rsidR="00621B9B" w:rsidRPr="00621B9B" w:rsidRDefault="00621B9B" w:rsidP="00990A0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 w:rsidP="00990A0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(v mg/kg sušiny)</w:t>
            </w:r>
          </w:p>
        </w:tc>
      </w:tr>
      <w:tr w:rsidR="00D8408E" w:rsidRPr="00621B9B" w:rsidTr="00B553AE"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As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40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40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8408E" w:rsidRPr="00621B9B" w:rsidRDefault="00D8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08E" w:rsidRPr="00621B9B" w:rsidTr="00B553AE"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Cd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8408E" w:rsidRPr="00621B9B" w:rsidRDefault="00D8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08E" w:rsidRPr="00621B9B" w:rsidTr="00B553AE"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Cr VI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8408E" w:rsidRPr="00621B9B" w:rsidRDefault="00D8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08E" w:rsidRPr="00621B9B" w:rsidTr="00B553AE"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Cr celkem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120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150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8408E" w:rsidRPr="00621B9B" w:rsidRDefault="00D8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08E" w:rsidRPr="00621B9B" w:rsidTr="00B553AE"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Cu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300 (*)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200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8408E" w:rsidRPr="00621B9B" w:rsidRDefault="00D8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08E" w:rsidRPr="00621B9B" w:rsidTr="00B553AE"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Hg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8408E" w:rsidRPr="00621B9B" w:rsidRDefault="00D8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08E" w:rsidRPr="00621B9B" w:rsidTr="00B553AE"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Ni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50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50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8408E" w:rsidRPr="00621B9B" w:rsidRDefault="00D8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08E" w:rsidRPr="00621B9B" w:rsidTr="00B553AE"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Pb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120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120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8408E" w:rsidRPr="00621B9B" w:rsidRDefault="00D8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08E" w:rsidRPr="00621B9B" w:rsidTr="00B553AE"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Zn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800 (*)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500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8408E" w:rsidRPr="00621B9B" w:rsidRDefault="00D8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1B9B" w:rsidRP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21B9B" w:rsidRPr="00621B9B" w:rsidRDefault="00DD2A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(*) s výjimkou případů uznané potřeby v souladu s příslušnou právní úpravou.</w:t>
      </w:r>
    </w:p>
    <w:p w:rsid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553AE" w:rsidRPr="00621B9B" w:rsidRDefault="00B553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8408E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Stopové organické sloučeniny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4800"/>
        <w:gridCol w:w="30"/>
      </w:tblGrid>
      <w:tr w:rsidR="00D8408E" w:rsidRPr="00621B9B"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Celkové množství 16 polycyklických aromatických uhlovodíků (PAU):</w:t>
            </w:r>
          </w:p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naftalen, acenaftylen, acenaften, fluoren, fenanthren, anthracen, fluoranthen, pyren, benzo[a]anthracen, chrysen, benzo[b]fluoranthen, benzo[k]fluoranthen, benzo[a]pyren, indeno[1,2,3-cd]pyren, dibenzo[a,h]anthracen a benzo[gi]perylen.</w:t>
            </w:r>
          </w:p>
        </w:tc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Maximální obsah:</w:t>
            </w:r>
          </w:p>
          <w:p w:rsidR="00621B9B" w:rsidRPr="00621B9B" w:rsidRDefault="0062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8408E" w:rsidRPr="00621B9B" w:rsidRDefault="00DD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 mg/kg hmotnosti v suchém stavu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8408E" w:rsidRPr="00621B9B" w:rsidRDefault="00D84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1B9B" w:rsidRP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21B9B" w:rsidRP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4831" w:rsidRDefault="00C34831" w:rsidP="00C3483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Mikrobiologická kritéria </w:t>
      </w:r>
    </w:p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0"/>
        <w:gridCol w:w="1264"/>
        <w:gridCol w:w="1440"/>
        <w:gridCol w:w="1350"/>
        <w:gridCol w:w="1440"/>
        <w:gridCol w:w="1260"/>
        <w:gridCol w:w="1286"/>
      </w:tblGrid>
      <w:tr w:rsidR="00C34831" w:rsidTr="00C34831">
        <w:tc>
          <w:tcPr>
            <w:tcW w:w="16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Plodiny</w:t>
            </w:r>
          </w:p>
        </w:tc>
      </w:tr>
      <w:tr w:rsidR="00C34831" w:rsidTr="00C5171F">
        <w:tc>
          <w:tcPr>
            <w:tcW w:w="16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Plodiny na orné půdě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Sadařství, vinařství</w:t>
            </w: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Malé plody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Trávníky</w:t>
            </w: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Louky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Lesnictví Školky okrasných stromků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Pěstování květin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Zelenina Jahody</w:t>
            </w:r>
          </w:p>
        </w:tc>
      </w:tr>
      <w:tr w:rsidR="00C34831" w:rsidTr="00C34831">
        <w:tc>
          <w:tcPr>
            <w:tcW w:w="96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Mikroorganismy patogenní pro lidi nebo zvířata:</w:t>
            </w:r>
          </w:p>
        </w:tc>
      </w:tr>
      <w:tr w:rsidR="00C34831" w:rsidTr="00C5171F"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Enterokoky</w:t>
            </w:r>
          </w:p>
        </w:tc>
        <w:tc>
          <w:tcPr>
            <w:tcW w:w="67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&lt; 10 000/g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&lt;100/g</w:t>
            </w:r>
          </w:p>
        </w:tc>
      </w:tr>
      <w:tr w:rsidR="00C34831" w:rsidTr="00C5171F"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Escherichia coli</w:t>
            </w:r>
          </w:p>
        </w:tc>
        <w:tc>
          <w:tcPr>
            <w:tcW w:w="67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&lt; 1 000/g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&lt;100/g</w:t>
            </w:r>
          </w:p>
        </w:tc>
      </w:tr>
      <w:tr w:rsidR="00C34831" w:rsidTr="00C5171F"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Clostridium perfringens (spóry a vegetativní formy)</w:t>
            </w:r>
          </w:p>
        </w:tc>
        <w:tc>
          <w:tcPr>
            <w:tcW w:w="2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&lt; 100/g*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&lt; 10/g*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&lt; 100/g*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&lt; 10/g*</w:t>
            </w:r>
          </w:p>
        </w:tc>
      </w:tr>
      <w:tr w:rsidR="00C34831" w:rsidTr="00C5171F"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Salmonela</w:t>
            </w:r>
          </w:p>
        </w:tc>
        <w:tc>
          <w:tcPr>
            <w:tcW w:w="67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Nepřítomnost v 1 g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Nepřítomnost v 25 g</w:t>
            </w:r>
          </w:p>
        </w:tc>
      </w:tr>
      <w:tr w:rsidR="00C34831" w:rsidTr="00C34831"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Staphylococcus aureus nebo</w:t>
            </w: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koaguláza +</w:t>
            </w:r>
          </w:p>
        </w:tc>
        <w:tc>
          <w:tcPr>
            <w:tcW w:w="80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&lt; 10/g</w:t>
            </w:r>
          </w:p>
        </w:tc>
      </w:tr>
      <w:tr w:rsidR="00C34831" w:rsidTr="00C5171F"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Listeria monocytogenes</w:t>
            </w:r>
          </w:p>
        </w:tc>
        <w:tc>
          <w:tcPr>
            <w:tcW w:w="2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Nepřítomnost v 25 g (louky)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Nepřítomnost v 25 g</w:t>
            </w:r>
          </w:p>
        </w:tc>
      </w:tr>
      <w:tr w:rsidR="00C34831" w:rsidTr="00C34831">
        <w:tc>
          <w:tcPr>
            <w:tcW w:w="96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Makroorganismy patogenní pro lidi nebo zvířata:</w:t>
            </w:r>
          </w:p>
        </w:tc>
      </w:tr>
      <w:tr w:rsidR="00C34831" w:rsidTr="00C5171F"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Háďátka (vejce a larvy)</w:t>
            </w:r>
          </w:p>
        </w:tc>
        <w:tc>
          <w:tcPr>
            <w:tcW w:w="54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Nepřítomnost v 1 g**</w:t>
            </w:r>
          </w:p>
        </w:tc>
        <w:tc>
          <w:tcPr>
            <w:tcW w:w="2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Nepřítomnost v 25 g**</w:t>
            </w:r>
          </w:p>
        </w:tc>
      </w:tr>
      <w:tr w:rsidR="00C34831" w:rsidTr="00C34831">
        <w:tc>
          <w:tcPr>
            <w:tcW w:w="96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Doporučené metody analýzy jsou uvedeny v příručce zveřejněné agenturou Anses.</w:t>
            </w: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* Doplňující analýzy doporučené podle povahy výrobků a plodin, kterých se žádost týká, jsou uvedeny v příručce zveřejněné agenturou Anses.</w:t>
            </w: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4831" w:rsidRDefault="00C34831" w:rsidP="005B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** V případě přítomnosti larev jsou v příručce zveřejněné agenturou Anses uvedeny dodatečné analýzy doporučené podle plodin, kterých se žádost týká.</w:t>
            </w:r>
          </w:p>
        </w:tc>
      </w:tr>
    </w:tbl>
    <w:p w:rsidR="00621B9B" w:rsidRP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21B9B" w:rsidRP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8408E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Antibiotická rezistence</w:t>
      </w:r>
    </w:p>
    <w:p w:rsidR="00621B9B" w:rsidRPr="00621B9B" w:rsidRDefault="00621B9B" w:rsidP="00990A0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U výrobků sestávajících z mikroorganismů (bakterií) nebo výrobků, do nichž byly začleněny mikroorganismy (bakterie), od kterých se očekává hnojící účinek, se stanoví antibiogram s odkazem na příručku EFSA (1) a třídy antibiotik podle Světové zdravotnické organizace (2).</w:t>
      </w:r>
    </w:p>
    <w:p w:rsidR="00621B9B" w:rsidRPr="00621B9B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B9B" w:rsidRPr="006B2B92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(1) Guidance on microorganisms used as feed additives or as production organisms, Table 2 (EFSA).</w:t>
      </w:r>
    </w:p>
    <w:p w:rsidR="00621B9B" w:rsidRPr="006B2B92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621B9B" w:rsidRPr="006B2B92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(2) WHO List of Essential Medicines (Světová zdravotnická organizace).</w:t>
      </w:r>
    </w:p>
    <w:p w:rsidR="00621B9B" w:rsidRPr="006B2B92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621B9B" w:rsidRPr="006B2B92" w:rsidRDefault="00621B9B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621B9B" w:rsidRPr="00621B9B" w:rsidRDefault="00DD2A33" w:rsidP="00990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Dne 1. dubna 2020.</w:t>
      </w:r>
    </w:p>
    <w:p w:rsidR="00621B9B" w:rsidRPr="00621B9B" w:rsidRDefault="00621B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21B9B" w:rsidRPr="00621B9B" w:rsidRDefault="00DD2A33" w:rsidP="00990A0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Za ministra a na základě pověření:</w:t>
      </w:r>
    </w:p>
    <w:p w:rsidR="00621B9B" w:rsidRPr="00621B9B" w:rsidRDefault="00DD2A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Náměstek generálního ředitele pro potravinářství,</w:t>
      </w:r>
    </w:p>
    <w:p w:rsidR="00621B9B" w:rsidRPr="00621B9B" w:rsidRDefault="00DD2A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L. Evain</w:t>
      </w:r>
    </w:p>
    <w:sectPr w:rsidR="00621B9B" w:rsidRPr="00621B9B"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178" w:rsidRDefault="00F15178" w:rsidP="00716768">
      <w:pPr>
        <w:spacing w:after="0" w:line="240" w:lineRule="auto"/>
      </w:pPr>
      <w:r>
        <w:separator/>
      </w:r>
    </w:p>
  </w:endnote>
  <w:endnote w:type="continuationSeparator" w:id="0">
    <w:p w:rsidR="00F15178" w:rsidRDefault="00F15178" w:rsidP="00716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178" w:rsidRDefault="00F15178" w:rsidP="00716768">
      <w:pPr>
        <w:spacing w:after="0" w:line="240" w:lineRule="auto"/>
      </w:pPr>
      <w:r>
        <w:separator/>
      </w:r>
    </w:p>
  </w:footnote>
  <w:footnote w:type="continuationSeparator" w:id="0">
    <w:p w:rsidR="00F15178" w:rsidRDefault="00F15178" w:rsidP="007167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C03F9B"/>
    <w:multiLevelType w:val="singleLevel"/>
    <w:tmpl w:val="53A5200D"/>
    <w:lvl w:ilvl="0">
      <w:start w:val="1"/>
      <w:numFmt w:val="bullet"/>
      <w:lvlText w:val="·"/>
      <w:lvlJc w:val="left"/>
      <w:rPr>
        <w:rFonts w:ascii="Times New Roman" w:hAnsi="Times New Roman" w:cs="Times New Roman"/>
      </w:rPr>
    </w:lvl>
  </w:abstractNum>
  <w:abstractNum w:abstractNumId="1" w15:restartNumberingAfterBreak="0">
    <w:nsid w:val="53C61E88"/>
    <w:multiLevelType w:val="singleLevel"/>
    <w:tmpl w:val="0EC5D46D"/>
    <w:lvl w:ilvl="0">
      <w:start w:val="1"/>
      <w:numFmt w:val="bullet"/>
      <w:lvlText w:val="·"/>
      <w:lvlJc w:val="left"/>
      <w:rPr>
        <w:rFonts w:ascii="Times New Roman" w:hAnsi="Times New Roman" w:cs="Times New Roman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C28"/>
    <w:rsid w:val="000C1AB6"/>
    <w:rsid w:val="0043228E"/>
    <w:rsid w:val="00510235"/>
    <w:rsid w:val="00621B9B"/>
    <w:rsid w:val="006B2B92"/>
    <w:rsid w:val="00716768"/>
    <w:rsid w:val="00755C28"/>
    <w:rsid w:val="00915AB1"/>
    <w:rsid w:val="00990A0D"/>
    <w:rsid w:val="00A619BA"/>
    <w:rsid w:val="00B553AE"/>
    <w:rsid w:val="00C34831"/>
    <w:rsid w:val="00C5171F"/>
    <w:rsid w:val="00D8408E"/>
    <w:rsid w:val="00DD2A33"/>
    <w:rsid w:val="00F1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97528802-E004-4F22-8A01-B9E922B27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676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768"/>
  </w:style>
  <w:style w:type="paragraph" w:styleId="Footer">
    <w:name w:val="footer"/>
    <w:basedOn w:val="Normal"/>
    <w:link w:val="FooterChar"/>
    <w:uiPriority w:val="99"/>
    <w:unhideWhenUsed/>
    <w:rsid w:val="0071676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768"/>
  </w:style>
  <w:style w:type="paragraph" w:styleId="PlainText">
    <w:name w:val="Plain Text"/>
    <w:basedOn w:val="Normal"/>
    <w:link w:val="PlainTextChar"/>
    <w:uiPriority w:val="99"/>
    <w:unhideWhenUsed/>
    <w:rsid w:val="006B2B92"/>
    <w:pPr>
      <w:spacing w:after="0" w:line="240" w:lineRule="auto"/>
    </w:pPr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B2B92"/>
    <w:rPr>
      <w:rFonts w:ascii="Consolas" w:eastAsia="Times New Roman" w:hAnsi="Consolas" w:cs="Times New Roman"/>
      <w:sz w:val="21"/>
      <w:szCs w:val="21"/>
      <w:lang w:val="cs-CZ" w:eastAsia="en-US"/>
    </w:rPr>
  </w:style>
  <w:style w:type="paragraph" w:styleId="ListParagraph">
    <w:name w:val="List Paragraph"/>
    <w:basedOn w:val="Normal"/>
    <w:uiPriority w:val="34"/>
    <w:qFormat/>
    <w:rsid w:val="00432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2182</Words>
  <Characters>12441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Liu, Lei</cp:lastModifiedBy>
  <cp:revision>8</cp:revision>
  <dcterms:created xsi:type="dcterms:W3CDTF">2020-04-10T08:50:00Z</dcterms:created>
  <dcterms:modified xsi:type="dcterms:W3CDTF">2020-10-09T02:18:00Z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Fri Apr 10 10:49:34 CEST 2020</vt:lpwstr>
  </property>
  <property fmtid="{D5CDD505-2E9C-101B-9397-08002B2CF9AE}" pid="3" name="jforVersion">
    <vt:lpwstr>jfor V0.7.2rc1 - see http://www.jfor.org</vt:lpwstr>
  </property>
</Properties>
</file>