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 xml:space="preserve">FRANCOSKA REPUBLIKA</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color w:val="auto"/>
                <w:rFonts w:eastAsia="Lucida Sans Unicode"/>
              </w:rPr>
            </w:pPr>
            <w:r>
              <w:rPr>
                <w:color w:val="auto"/>
              </w:rPr>
              <w:t xml:space="preserve">Ministrstvo za ekološki prehod in teritorialno kohezijo</w:t>
            </w:r>
          </w:p>
          <w:p w14:paraId="1882E8BD" w14:textId="77777777" w:rsidR="00A857F7" w:rsidRPr="00A857F7" w:rsidRDefault="00A857F7" w:rsidP="00BF6E47">
            <w:pPr>
              <w:widowControl w:val="0"/>
              <w:snapToGrid w:val="0"/>
              <w:spacing w:before="120" w:line="276" w:lineRule="auto"/>
              <w:ind w:hanging="57"/>
              <w:jc w:val="center"/>
              <w:rPr>
                <w:color w:val="auto"/>
                <w:rFonts w:eastAsia="Lucida Sans Unicode"/>
              </w:rPr>
            </w:pPr>
            <w:r>
              <w:rPr>
                <w:color w:val="auto"/>
              </w:rPr>
              <w:t xml:space="preserve">Ministrstvo za zdravje in preventivo</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Osnutek odloka </w:t>
      </w:r>
      <w:r>
        <w:rPr>
          <w:rStyle w:val="SNDateSignature"/>
        </w:rPr>
        <w:t xml:space="preserve">z dne […]</w:t>
      </w:r>
      <w:r>
        <w:rPr>
          <w:rStyle w:val="SNDateSignature"/>
        </w:rPr>
        <w:t xml:space="preserve"> </w:t>
      </w:r>
    </w:p>
    <w:p w14:paraId="204A034E" w14:textId="77777777" w:rsidR="008347CD" w:rsidRPr="00972079" w:rsidRDefault="00CE68A3">
      <w:pPr>
        <w:pStyle w:val="SNObjet"/>
        <w:jc w:val="center"/>
      </w:pPr>
      <w:r>
        <w:t xml:space="preserve">o določitvi podrobnosti v zvezi z vsebino in pogoji za predložitev informacij iz odstavkov I in II člena L. 5232-5 zakonika o javnem zdravju</w:t>
      </w:r>
      <w:r>
        <w:t xml:space="preserv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w:t>
      </w:r>
      <w:r>
        <w:t xml:space="preserve"> </w:t>
      </w:r>
      <w:r>
        <w:rPr>
          <w:highlight w:val="yellow"/>
        </w:rPr>
        <w:t xml:space="preserve">XXXXXXXXXX</w:t>
      </w:r>
    </w:p>
    <w:p w14:paraId="0BF7F525" w14:textId="77777777" w:rsidR="008347CD" w:rsidRPr="007636F9" w:rsidRDefault="00C46B5B" w:rsidP="007636F9">
      <w:pPr>
        <w:spacing w:before="720" w:after="120"/>
        <w:jc w:val="both"/>
      </w:pPr>
      <w:r>
        <w:rPr>
          <w:i/>
          <w:b/>
        </w:rPr>
        <w:t xml:space="preserve">Zadevna javnost:</w:t>
      </w:r>
      <w:r>
        <w:rPr>
          <w:i/>
        </w:rPr>
        <w:t xml:space="preserve"> </w:t>
      </w:r>
      <w:r>
        <w:rPr>
          <w:i/>
        </w:rPr>
        <w:t xml:space="preserve">Vsaka oseba, ki daje na trg proizvode, namenjene potrošnikom, ki ob koncu njihove proizvodnje vsebujejo snovi, ki jih Agencija za hrano, okolje ter zdravje in varnost pri delu (ANSES) uvršča med snovi z dokazanimi ali domnevnimi lastnostmi endokrinih motilcev ali pri katerih obstaja sum na lastnosti endokrinih motilcev.</w:t>
      </w:r>
    </w:p>
    <w:p w14:paraId="42843534" w14:textId="77777777" w:rsidR="00C30C40" w:rsidRPr="007636F9" w:rsidRDefault="00C46B5B" w:rsidP="007636F9">
      <w:pPr>
        <w:jc w:val="both"/>
        <w:rPr>
          <w:bCs/>
          <w:i/>
          <w:iCs/>
        </w:rPr>
      </w:pPr>
      <w:r>
        <w:rPr>
          <w:i/>
          <w:b/>
        </w:rPr>
        <w:t xml:space="preserve">Namen:</w:t>
      </w:r>
      <w:r>
        <w:rPr>
          <w:i/>
        </w:rPr>
        <w:t xml:space="preserve"> </w:t>
      </w:r>
      <w:r>
        <w:rPr>
          <w:i/>
        </w:rPr>
        <w:t xml:space="preserve">Ta odlok določa podrobnosti v zvezi z vsebino in pogoji za predložitev informacij iz odstavkov I in II člena L. 5232-5 zakonika o javnem zdravju, ki se nanašajo na:</w:t>
      </w:r>
    </w:p>
    <w:p w14:paraId="64F9DE89" w14:textId="77777777" w:rsidR="00026E60" w:rsidRPr="007636F9" w:rsidRDefault="00CE68A3" w:rsidP="007636F9">
      <w:pPr>
        <w:pStyle w:val="ListParagraph"/>
        <w:numPr>
          <w:ilvl w:val="0"/>
          <w:numId w:val="4"/>
        </w:numPr>
        <w:spacing w:before="120" w:after="200"/>
        <w:jc w:val="both"/>
        <w:rPr>
          <w:i/>
        </w:rPr>
      </w:pPr>
      <w:r>
        <w:rPr>
          <w:i/>
        </w:rPr>
        <w:t xml:space="preserve">prisotnost snovi z lastnostmi endokrinih motilcev, ki se štejejo za dokazane in domnevne, v proizvodih, opredeljenih v členu R. 5232-19 zakonika o javnem zdravju,</w:t>
      </w:r>
    </w:p>
    <w:p w14:paraId="60DB1505" w14:textId="77777777" w:rsidR="00C30C40" w:rsidRPr="007636F9" w:rsidRDefault="00C30C40" w:rsidP="007636F9">
      <w:pPr>
        <w:pStyle w:val="ListParagraph"/>
        <w:numPr>
          <w:ilvl w:val="0"/>
          <w:numId w:val="4"/>
        </w:numPr>
        <w:spacing w:before="120" w:after="200"/>
        <w:jc w:val="both"/>
        <w:rPr>
          <w:i/>
        </w:rPr>
      </w:pPr>
      <w:r>
        <w:rPr>
          <w:i/>
        </w:rPr>
        <w:t xml:space="preserve">prisotnost snovi z lastnostmi endokrinih motilcev, za katere se domneva, da obstajajo v kategorijah proizvodov s posebnim tveganjem izpostavljenosti iz odstavka II člena L. 5232-5 zakonika o javnem zdravju.</w:t>
      </w:r>
    </w:p>
    <w:p w14:paraId="4FC24632" w14:textId="77777777" w:rsidR="008347CD" w:rsidRPr="007636F9" w:rsidRDefault="00C46B5B" w:rsidP="007636F9">
      <w:pPr>
        <w:spacing w:before="120" w:after="120"/>
        <w:jc w:val="both"/>
      </w:pPr>
      <w:bookmarkStart w:id="0" w:name="move773304541"/>
      <w:bookmarkEnd w:id="0"/>
      <w:r>
        <w:rPr>
          <w:i/>
          <w:b/>
        </w:rPr>
        <w:t xml:space="preserve">Datum začetka veljavnosti:</w:t>
      </w:r>
      <w:r>
        <w:rPr>
          <w:i/>
        </w:rPr>
        <w:t xml:space="preserve"> </w:t>
      </w:r>
      <w:r>
        <w:rPr>
          <w:i/>
        </w:rPr>
        <w:t xml:space="preserve">Besedilo začne veljati dan po objavi.</w:t>
      </w:r>
    </w:p>
    <w:p w14:paraId="6B0BBCC9" w14:textId="77777777" w:rsidR="005C023A" w:rsidRPr="007636F9" w:rsidRDefault="00C46B5B" w:rsidP="007636F9">
      <w:pPr>
        <w:spacing w:after="120"/>
        <w:jc w:val="both"/>
        <w:rPr>
          <w:i/>
          <w:iCs/>
        </w:rPr>
      </w:pPr>
      <w:r>
        <w:rPr>
          <w:i/>
          <w:b/>
        </w:rPr>
        <w:t xml:space="preserve">Obvestilo:</w:t>
      </w:r>
      <w:r>
        <w:rPr>
          <w:i/>
        </w:rPr>
        <w:t xml:space="preserve"> </w:t>
      </w:r>
      <w:r>
        <w:rPr>
          <w:i/>
        </w:rPr>
        <w:t xml:space="preserve">Člen 13-II Zakona št. 2020-105 z dne 10. februarja 2020 o preprečevanju odpadkov in spodbujanju krožnega gospodarstva (Zakon AGEC) določa, da mora vsaka oseba, ki daje na trg proizvode, </w:t>
      </w:r>
      <w:r>
        <w:rPr>
          <w:i/>
          <w:color w:val="auto"/>
        </w:rPr>
        <w:t xml:space="preserve">namenjene potrošnikom, ki vsebujejo snovi, ki jih Agencija za hrano,</w:t>
      </w:r>
      <w:r>
        <w:rPr>
          <w:i/>
        </w:rPr>
        <w:t xml:space="preserve"> okolje ter zdravje in varnost pri delu (ANSES) uvršča med snovi z dokazanimi ali domnevnimi lastnostmi endokrinih motilcev, „javnosti zagotoviti informacije v elektronski obliki v odprtem formatu, ki se lahko enostavno ponovno uporabi ali je združljiv s sistemom avtomatizirane obdelave, za vsak zadevni proizvod, ki omogočajo ugotavljanje prisotnosti takšnih snovi v teh proizvodih“.</w:t>
      </w:r>
      <w:r>
        <w:rPr>
          <w:i/>
        </w:rPr>
        <w:t xml:space="preserve"> </w:t>
      </w:r>
      <w:r>
        <w:rPr>
          <w:i/>
        </w:rPr>
        <w:t xml:space="preserve">Ta obveznost velja tudi za nekatere kategorije proizvodov s posebnim tveganjem izpostavljenosti za snovi, ki jih ANSES uvršča med snovi, pri katerih obstaja sum, da imajo lastnosti endokrinih motilcev.</w:t>
      </w:r>
    </w:p>
    <w:p w14:paraId="3C5655F1" w14:textId="77777777" w:rsidR="00AD6125" w:rsidRPr="007636F9" w:rsidRDefault="005C023A" w:rsidP="007636F9">
      <w:pPr>
        <w:spacing w:after="120"/>
        <w:jc w:val="both"/>
        <w:rPr>
          <w:i/>
          <w:iCs/>
        </w:rPr>
      </w:pPr>
      <w:r>
        <w:rPr>
          <w:i/>
        </w:rPr>
        <w:t xml:space="preserve">Ta obveznost je v skladu s cilji druge nacionalne strategije o endokrinih motilcih (SNPE2).</w:t>
      </w:r>
      <w:r>
        <w:rPr>
          <w:i/>
        </w:rPr>
        <w:t xml:space="preserve"> </w:t>
      </w:r>
      <w:r>
        <w:rPr>
          <w:i/>
        </w:rPr>
        <w:t xml:space="preserve">Namen strategije je državljanom zagotoviti pregledne informacije o prisotnosti snovi z lastnostmi endokrinih motilcev v proizvodih v smislu snovi, zmesi, proizvodov in živil.</w:t>
      </w:r>
    </w:p>
    <w:p w14:paraId="572BE02E" w14:textId="77777777" w:rsidR="00AD6125" w:rsidRPr="007636F9" w:rsidRDefault="00AD6125" w:rsidP="007636F9">
      <w:pPr>
        <w:spacing w:after="120"/>
        <w:jc w:val="both"/>
        <w:rPr>
          <w:i/>
          <w:iCs/>
          <w:color w:val="auto"/>
        </w:rPr>
      </w:pPr>
      <w:r>
        <w:rPr>
          <w:i/>
          <w:color w:val="auto"/>
        </w:rPr>
        <w:t xml:space="preserve">Uporablja se za proizvode iz člena R. 5232-19 zakonika o javnem zdravju, ki so namenjeni potrošnikom.</w:t>
      </w:r>
      <w:r>
        <w:rPr>
          <w:i/>
          <w:color w:val="auto"/>
        </w:rPr>
        <w:t xml:space="preserve"> </w:t>
      </w:r>
      <w:r>
        <w:rPr>
          <w:i/>
          <w:color w:val="auto"/>
        </w:rPr>
        <w:t xml:space="preserve">Na področje uporabe te obveznosti spadajo tudi proizvodi za embalažo.</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 xml:space="preserve">Podrobna pravila za uporabo te zakonske določbe so določena v členih R. 5232-19 do R. 5232-22 zakonika o javnem zdravju.</w:t>
      </w:r>
      <w:r>
        <w:rPr>
          <w:i/>
        </w:rPr>
        <w:t xml:space="preserve"> </w:t>
      </w:r>
      <w:r>
        <w:rPr>
          <w:i/>
        </w:rPr>
        <w:t xml:space="preserve">Člen R. 5232-20 določa, da se v</w:t>
      </w:r>
      <w:r>
        <w:rPr>
          <w:sz w:val="27"/>
          <w:rFonts w:ascii="Arial" w:hAnsi="Arial"/>
        </w:rPr>
        <w:t xml:space="preserve"> </w:t>
      </w:r>
      <w:r>
        <w:rPr>
          <w:i/>
        </w:rPr>
        <w:t xml:space="preserve">skupnem odloku ministrov, pristojnih za zdravje in okolje, navedejo podrobnosti o vsebini in pogojih za predložitev informacij iz odstavkov I in II člena L. 5232-5 tega zakonika.</w:t>
      </w:r>
      <w:r>
        <w:rPr>
          <w:i/>
        </w:rPr>
        <w:t xml:space="preserve"> </w:t>
      </w:r>
      <w:r>
        <w:rPr>
          <w:i/>
        </w:rPr>
        <w:t xml:space="preserve">Dajanje na voljo teh informacij velja</w:t>
      </w:r>
      <w:r>
        <w:rPr>
          <w:i/>
          <w:color w:val="auto"/>
        </w:rPr>
        <w:t xml:space="preserve"> za celoten proizvod in njegovo primarno embalažo ali prodajno embalažo v smislu člena R. 543-43 okoljskega zakonika </w:t>
      </w:r>
      <w:r>
        <w:rPr>
          <w:i/>
        </w:rPr>
        <w:t xml:space="preserve">(na primer: posoda, steklenica, viala), pri čemer je na istem proizvodnem listu </w:t>
      </w:r>
      <w:r>
        <w:rPr>
          <w:i/>
          <w:color w:val="auto"/>
        </w:rPr>
        <w:t xml:space="preserve">jasno navedeno,</w:t>
      </w:r>
      <w:r>
        <w:rPr>
          <w:i/>
        </w:rPr>
        <w:t xml:space="preserve"> ali so zadevne snovi prisotne v proizvodu ali njegovi prodajni embalaži.</w:t>
      </w:r>
    </w:p>
    <w:p w14:paraId="2C832AA4" w14:textId="3E0A5100" w:rsidR="00C52692" w:rsidRPr="007636F9" w:rsidRDefault="00C970B9" w:rsidP="007636F9">
      <w:pPr>
        <w:jc w:val="both"/>
        <w:rPr>
          <w:bCs/>
          <w:i/>
          <w:iCs/>
          <w:color w:val="auto"/>
        </w:rPr>
      </w:pPr>
      <w:r>
        <w:rPr>
          <w:i/>
          <w:color w:val="auto"/>
        </w:rPr>
        <w:t xml:space="preserve">Za nekatere snovi bodo zaradi njihovih hranilnih lastnosti (vitamini, minerali) in njihovih koristi za zdravje do določenega odmerka (višje varnostne meje), kot je holekalciferol (vitamin D3), informacije o prisotnosti snovi z lastnostmi endokrinih motilcev prilagojene tako, da bo navedeno, da te snovi prinašajo koristi za zdravje</w:t>
      </w:r>
      <w:r>
        <w:rPr>
          <w:i/>
        </w:rPr>
        <w:t xml:space="preserve"> v skladu s previdnostnimi ukrepi za uporabo in odmerjanje, določenimi v navodilih za uporabo ali nalepki izdelka, ter da se je treba v primeru dvoma posvetovati z zdravnikom</w:t>
      </w:r>
      <w:r>
        <w:rPr>
          <w:i/>
        </w:rPr>
        <w:t xml:space="preserve"> </w:t>
      </w:r>
      <w:r>
        <w:rPr>
          <w:i/>
          <w:color w:val="auto"/>
        </w:rPr>
        <w:t xml:space="preserve">Te posebne informacije temeljijo zlasti na obvestilu o znanstveni in tehnični podpori Nacionalne agencije za prehrambeno in okoljsko varnost ter zdravje in varnost pri delu z dne 29. septembra 2022 o uporabi določb o snoveh z lastnostmi endokrinih motilcev v skladu z Zakonom št. 2020-105 z dne 10. februarja 2020 (Zakon AGEC), za holekalciferol (vitamin D3).</w:t>
      </w:r>
    </w:p>
    <w:p w14:paraId="3F07B2B7" w14:textId="4BAF7F61" w:rsidR="00C970B9" w:rsidRPr="007636F9" w:rsidRDefault="0067219E" w:rsidP="007636F9">
      <w:pPr>
        <w:spacing w:after="120"/>
        <w:jc w:val="both"/>
        <w:rPr>
          <w:bCs/>
          <w:i/>
          <w:iCs/>
          <w:color w:val="auto"/>
        </w:rPr>
      </w:pPr>
      <w:r>
        <w:rPr>
          <w:i/>
          <w:color w:val="auto"/>
        </w:rPr>
        <w:t xml:space="preserve">Snovi, na katere se nanašajo te posebne informacije, so navedene v preglednicah Aa in Ba v Prilogi k Odloku o določitvi seznama snovi z lastnostmi endokrinih motilcev iz odstavkov I in II člena L. 5232-5 zakonika o javnem zdravju, navedenih v členu R. 5232-19 istega zakonika.</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i/>
          <w:b/>
        </w:rPr>
        <w:t xml:space="preserve">Reference:</w:t>
      </w:r>
      <w:r>
        <w:rPr>
          <w:i/>
        </w:rPr>
        <w:t xml:space="preserve"> besedilo je na voljo na spletni strani Légifrance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 xml:space="preserve">Minister za ekološki prehod</w:t>
      </w:r>
      <w:r>
        <w:rPr>
          <w:color w:val="auto"/>
        </w:rPr>
        <w:t xml:space="preserve"> in teritorialno kohezijo</w:t>
      </w:r>
      <w:r>
        <w:t xml:space="preserve"> </w:t>
      </w:r>
      <w:r>
        <w:t xml:space="preserve">ter minister za zdravje</w:t>
      </w:r>
      <w:r>
        <w:rPr>
          <w:color w:val="auto"/>
        </w:rPr>
        <w:t xml:space="preserve"> in preventivo</w:t>
      </w:r>
    </w:p>
    <w:p w14:paraId="7BB39649" w14:textId="77777777" w:rsidR="00F131BD" w:rsidRPr="007636F9" w:rsidRDefault="00F131BD" w:rsidP="007636F9">
      <w:pPr>
        <w:pStyle w:val="SNVisa"/>
        <w:ind w:firstLine="708"/>
      </w:pPr>
      <w:r>
        <w:t xml:space="preserve">ob upoštevanju Uredbe (ES) št. 178/2002 Evropskega parlamenta in Sveta z dne 28. januarja 2002 o določitvi splošnih načel in zahtevah živilske zakonodaje, ustanovitvi Evropske agencije za varnost hrane in postopkih, ki zadevajo varnost hrane;</w:t>
      </w:r>
    </w:p>
    <w:p w14:paraId="33996EF3" w14:textId="77777777" w:rsidR="007F7405" w:rsidRPr="007636F9" w:rsidRDefault="00C46B5B" w:rsidP="007636F9">
      <w:pPr>
        <w:pStyle w:val="SNVisa"/>
        <w:ind w:firstLine="708"/>
      </w:pPr>
      <w:r>
        <w:t xml:space="preserve">ob upoštevanju Uredbe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w:t>
      </w:r>
    </w:p>
    <w:p w14:paraId="204220A5" w14:textId="77777777" w:rsidR="00A14477" w:rsidRPr="007636F9" w:rsidRDefault="00A14477" w:rsidP="007636F9">
      <w:pPr>
        <w:pStyle w:val="SNVisa"/>
        <w:ind w:firstLine="708"/>
      </w:pPr>
      <w:r>
        <w:t xml:space="preserve">ob upoštevanju Uredbe (ES) št. 1107/2009 Evropskega parlamenta in Sveta z dne 21. oktobra 2009 o dajanju fitofarmacevtskih sredstev v promet in razveljavitvi direktiv Sveta 79/117/EGS in 91/414/EGS;</w:t>
      </w:r>
    </w:p>
    <w:p w14:paraId="23EB0E8B" w14:textId="77777777" w:rsidR="008347CD" w:rsidRPr="007636F9" w:rsidRDefault="007F7405" w:rsidP="007636F9">
      <w:pPr>
        <w:pStyle w:val="SNVisa"/>
        <w:ind w:firstLine="708"/>
      </w:pPr>
      <w:r>
        <w:t xml:space="preserve">ob upoštevanju Uredbe (EU) št. 528/2012 Evropskega parlamenta in Sveta z dne 22. maja 2012 o dostopnosti na trgu in uporabi biocidnih proizvodov, kakor je bila spremenjena;</w:t>
      </w:r>
    </w:p>
    <w:p w14:paraId="0B99B19B" w14:textId="394CD111" w:rsidR="00F131BD" w:rsidRPr="007636F9" w:rsidRDefault="00F131BD" w:rsidP="007636F9">
      <w:pPr>
        <w:pStyle w:val="SNVisa"/>
        <w:ind w:firstLine="708"/>
      </w:pPr>
      <w:r>
        <w:t xml:space="preserve">ob upoštevanju Uredbe (EU) 2017/745 Evropskega parlamenta in Sveta z dne 5. aprila 2017 o medicinskih pripomočkih, spremembi Direktive 2001/83/ES, Uredbe (ES) št. 178/2002 in Uredbe (ES) št. 1223/2009 ter razveljavitvi direktiv Sveta 90/385/EGS in 93/42/EGS;</w:t>
      </w:r>
    </w:p>
    <w:p w14:paraId="1ACAA048" w14:textId="728F8935" w:rsidR="00ED26DC" w:rsidRPr="007636F9" w:rsidRDefault="00ED26DC" w:rsidP="007636F9">
      <w:pPr>
        <w:pStyle w:val="SNVisa"/>
        <w:ind w:firstLine="708"/>
      </w:pPr>
      <w:r>
        <w:t xml:space="preserve">ob upoštevanju Direktive (EU) 2015/1535 Evropskega parlamenta in Sveta </w:t>
      </w:r>
      <w:r>
        <w:rPr>
          <w:shd w:val="clear" w:color="auto" w:fill="FFFFFF"/>
        </w:rPr>
        <w:t xml:space="preserve">z dne 9. septembra 2015 o določitvi postopka za zbiranje informacij na področju tehničnih predpisov in pravil za storitve informacijske družbe,</w:t>
      </w:r>
      <w:r>
        <w:t xml:space="preserve"> zlasti uradnega obvestila št. 2023/XXX/F</w:t>
      </w:r>
      <w:r>
        <w:rPr>
          <w:shd w:val="clear" w:color="auto" w:fill="FFFFFF"/>
        </w:rPr>
        <w:t xml:space="preserve">;</w:t>
      </w:r>
    </w:p>
    <w:p w14:paraId="223F493F" w14:textId="77777777" w:rsidR="008347CD" w:rsidRPr="007636F9" w:rsidRDefault="00C46B5B" w:rsidP="007636F9">
      <w:pPr>
        <w:pStyle w:val="SNVisa"/>
        <w:ind w:firstLine="708"/>
        <w:rPr>
          <w:bCs/>
        </w:rPr>
      </w:pPr>
      <w:r>
        <w:t xml:space="preserve">ob upoštevanju </w:t>
      </w:r>
      <w:bookmarkStart w:id="1" w:name="__DdeLink__11050_299813634"/>
      <w:r>
        <w:t xml:space="preserve">zakonika o javnem zdravju, zlasti člena L. 5</w:t>
      </w:r>
      <w:bookmarkEnd w:id="1"/>
      <w:r>
        <w:t xml:space="preserve">232-5 v besedilu, ki izhaja iz člena 13 Zakona št. 2020-105 z dne 10. februarja 2020 o preprečevanju odpadkov in spodbujanju krožnega gospodarstva, in člena R. 5232-20 –</w:t>
      </w:r>
    </w:p>
    <w:p w14:paraId="70E9C9BB" w14:textId="77777777" w:rsidR="008347CD" w:rsidRPr="007636F9" w:rsidRDefault="00C46B5B" w:rsidP="007636F9">
      <w:pPr>
        <w:pStyle w:val="SNActe"/>
      </w:pPr>
      <w:r>
        <w:t xml:space="preserve">odrejata:</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 xml:space="preserve">Člen 1</w:t>
      </w:r>
    </w:p>
    <w:p w14:paraId="1B8249C1" w14:textId="77777777" w:rsidR="00AB6BA8" w:rsidRPr="007636F9" w:rsidRDefault="00AB6BA8" w:rsidP="007636F9">
      <w:pPr>
        <w:jc w:val="both"/>
        <w:rPr>
          <w:color w:val="auto"/>
        </w:rPr>
      </w:pPr>
      <w:r>
        <w:rPr>
          <w:color w:val="auto"/>
        </w:rPr>
        <w:t xml:space="preserve">Dajanje na voljo informacij iz odstavkov I in II člena L. 5232-5 zakonika o javnem zdravju o dokazani ali domnevni prisotnosti snovi, ki imajo lastnosti endokrinih motilcev, velja za proizvode iz člena R. 5232-19 istega zakonika, ki jih potrošniki pridobijo proti plačilu ali brezplačno.</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Zagotovijo jih proizvajalci, uvozniki ali distributerji za proizvode, ki so dani na trg pod njihovo lastno blagovno znamko, in sicer tako, tako da so dostopne vsem.</w:t>
      </w:r>
      <w:r>
        <w:rPr>
          <w:color w:val="auto"/>
        </w:rPr>
        <w:t xml:space="preserve">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 xml:space="preserve">Člen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Dajanje na voljo informacij iz člena L. 5232-5 zakonika o javnem zdravju velja </w:t>
      </w:r>
      <w:r>
        <w:rPr>
          <w:color w:val="auto"/>
        </w:rPr>
        <w:t xml:space="preserve">za celoten proizvod in njegovo primarno embalažo ali prodajno embalažo v smislu člena R. 543-43 okoljskega zakonika, </w:t>
      </w:r>
      <w:r>
        <w:t xml:space="preserve">kadar je koncentracija snovi z dokazanimi ali domnevnimi lastnostmi endokrinih motilcev večja od 0,1 mas. % v zadevnem proizvodu ali njegovi embalaži.</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Dajanje na voljo informacij iz odstavka II člena L. 5232-5 zakonika o javnem zdravju velja </w:t>
      </w:r>
      <w:r>
        <w:rPr>
          <w:color w:val="auto"/>
        </w:rPr>
        <w:t xml:space="preserve">za celoten proizvod, ki predstavlja posebno tveganje izpostavljenosti iz tega člena, in za njegovo primarno embalažo ali prodajno embalažo v smislu člena R. 543-43 okoljskega zakonika</w:t>
      </w:r>
      <w:r>
        <w:t xml:space="preserve">, kadar je koncentracija snovi z domnevnimi lastnostmi endokrinih motilcev večja od 0,1 mas. % v zadevnem proizvodu ali njegovi embalaži.</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 xml:space="preserve">Člen 3</w:t>
      </w:r>
    </w:p>
    <w:p w14:paraId="7BD2E729" w14:textId="77777777" w:rsidR="00220182" w:rsidRPr="007636F9" w:rsidRDefault="00220182" w:rsidP="007636F9">
      <w:pPr>
        <w:jc w:val="both"/>
      </w:pPr>
    </w:p>
    <w:p w14:paraId="64FB0993" w14:textId="77777777" w:rsidR="00804152" w:rsidRPr="007636F9" w:rsidRDefault="00DA3FFF" w:rsidP="007636F9">
      <w:pPr>
        <w:jc w:val="both"/>
      </w:pPr>
      <w:r>
        <w:t xml:space="preserve">Informacije iz odstavka I člena L. 5232-5 zakonika o javnem zdravju se izrazijo v obliki izjave „vsebuje snov ali snovi z dokazanimi ali domnevnimi lastnostmi endokrinih motilcev:“.</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Informacije iz odstavka II člena L. 5232-5 zakonika o javnem zdravju se izrazijo v obliki izjave „vsebuje snov ali snovi z domnevnimi lastnostmi endokrinih motilcev:“.</w:t>
      </w:r>
      <w:r>
        <w:t xml:space="preserve">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 xml:space="preserve">Informacije se dopolnijo z imenom zadevnih snovi v proizvodu.</w:t>
      </w:r>
      <w:r>
        <w:t xml:space="preserve"> </w:t>
      </w:r>
      <w:r>
        <w:t xml:space="preserve">To ime ustreza imenu snovi iz preglednic A, Aa, B ali Ba iz Priloge I k Skupnemu odloku ministrov, pristojnih za zdravje in okolje, sprejetemu v skladu s členom R. 5232-19 zakonika o javnem zdravju.</w:t>
      </w:r>
    </w:p>
    <w:p w14:paraId="68DC5B28" w14:textId="77777777" w:rsidR="00035EA0" w:rsidRPr="007636F9" w:rsidRDefault="00035EA0" w:rsidP="007636F9">
      <w:pPr>
        <w:jc w:val="both"/>
      </w:pPr>
    </w:p>
    <w:p w14:paraId="68A20723" w14:textId="77777777" w:rsidR="009B4F00" w:rsidRPr="007636F9" w:rsidRDefault="009B4F00" w:rsidP="007636F9">
      <w:pPr>
        <w:jc w:val="both"/>
      </w:pPr>
      <w:r>
        <w:t xml:space="preserve">V informacijah se navede tudi, ali so zadevne snovi prisotne v proizvodu ali njegovi embalaži.</w:t>
      </w:r>
    </w:p>
    <w:p w14:paraId="2AF8C25A" w14:textId="77777777" w:rsidR="009B4F00" w:rsidRPr="007636F9" w:rsidRDefault="009B4F00" w:rsidP="007636F9">
      <w:pPr>
        <w:jc w:val="both"/>
      </w:pPr>
    </w:p>
    <w:p w14:paraId="2444BB1B" w14:textId="5BE036B1" w:rsidR="00611350" w:rsidRPr="007636F9" w:rsidRDefault="00035EA0" w:rsidP="007636F9">
      <w:pPr>
        <w:jc w:val="both"/>
      </w:pPr>
      <w:r>
        <w:t xml:space="preserve">Kadar je ena od teh snovi navedena v preglednici Aa Priloge I k Skupnemu odloku ministrov, pristojnih za zdravje in okolje, sprejetemu v skladu s členom R. 5232-19 zakonika o javnem zdravju, in je proizvod, ki to snov vsebuje, živilo, kot je opredeljeno v členu 2 navedene Uredbe (ES) št. 178/2002, ali medicinski pripomoček, kot je opredeljen v členu 2 navedene Uredbe (EU) 2017/745, se informacije iz odstavka I člena L. 5232-5 zakonika o javnem zdravju izrazijo v obliki izjave „vsebuje snov [vstavi se ime snovi, kot je navedeno v preglednici Aa zgoraj]: ta snov ima koristi za zdravje, kadar se uporablja v skladu s previdnostnimi ukrepi in odmerjanjem, določenimi v navodilih za uporabo ali nalepki proizvoda.</w:t>
      </w:r>
      <w:r>
        <w:t xml:space="preserve"> </w:t>
      </w:r>
      <w:r>
        <w:t xml:space="preserve">Če ste v dvomih, se posvetujte z zdravstvenim delavcem.“.</w:t>
      </w:r>
    </w:p>
    <w:p w14:paraId="7BCACE6D" w14:textId="77777777" w:rsidR="00E165BB" w:rsidRPr="007636F9" w:rsidRDefault="00E165BB" w:rsidP="007636F9">
      <w:pPr>
        <w:jc w:val="both"/>
      </w:pPr>
    </w:p>
    <w:p w14:paraId="2E5E20B6" w14:textId="28F37E84" w:rsidR="00E165BB" w:rsidRPr="007636F9" w:rsidRDefault="00764BB0" w:rsidP="007636F9">
      <w:pPr>
        <w:jc w:val="both"/>
      </w:pPr>
      <w:r>
        <w:t xml:space="preserve">Kadar je ena od teh snovi navedena v preglednici Ba Priloge I k Skupnemu odloku ministrov, pristojnih za zdravje in okolje, sprejetemu v skladu s členom R. 5232-19 zakonika o javnem zdravju, in je proizvod, ki to snov vsebuje, živilo, kot je opredeljeno v členu 2 navedene Uredbe (ES) št. 178/2002, ali medicinski pripomoček, kot je opredeljen v členu 2 navedene Uredbe (EU) 2017/745, se informacije iz odstavka II člena L. 5232-5 zakonika o javnem zdravju izrazijo v obliki izjave „vsebuje snov [vstavi se ime snovi, kot je navedeno v preglednici Ba zgoraj]: ta snov ima koristi za zdravje, kadar se uporablja v skladu s previdnostnimi ukrepi in odmerjanjem, določenimi v navodilu za uporabo ali nalepki proizvoda.</w:t>
      </w:r>
      <w:r>
        <w:t xml:space="preserve"> </w:t>
      </w:r>
      <w:r>
        <w:t xml:space="preserve">Če ste v dvomih, se posvetujte z zdravstvenim delavcem.“.</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 xml:space="preserve">Člen 4</w:t>
      </w:r>
    </w:p>
    <w:p w14:paraId="254B1965" w14:textId="22EBED57" w:rsidR="008347CD" w:rsidRPr="007636F9" w:rsidRDefault="00C46B5B" w:rsidP="007636F9">
      <w:pPr>
        <w:pStyle w:val="SNArticle"/>
        <w:jc w:val="both"/>
        <w:rPr>
          <w:b w:val="0"/>
        </w:rPr>
      </w:pPr>
      <w:r>
        <w:rPr>
          <w:b w:val="0"/>
        </w:rPr>
        <w:t xml:space="preserve">Določbe tega odloka začnejo veljati dan po njegovi objavi.</w:t>
      </w:r>
      <w:r>
        <w:rPr>
          <w:b w:val="0"/>
        </w:rPr>
        <w:t xml:space="preserve">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 xml:space="preserve">Člen 5</w:t>
      </w:r>
    </w:p>
    <w:p w14:paraId="15F47E80" w14:textId="77777777" w:rsidR="008347CD" w:rsidRPr="007636F9" w:rsidRDefault="00C46B5B" w:rsidP="007636F9">
      <w:pPr>
        <w:pStyle w:val="BodyText"/>
        <w:jc w:val="both"/>
      </w:pPr>
      <w:r>
        <w:t xml:space="preserve">Ta odlok se objavi v </w:t>
      </w:r>
      <w:r>
        <w:rPr>
          <w:i/>
        </w:rPr>
        <w:t xml:space="preserve">Uradnem listu</w:t>
      </w:r>
      <w:r>
        <w:t xml:space="preserve"> Francoske republike.</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Dne […]</w:t>
      </w:r>
      <w:r>
        <w:t xml:space="preserve">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 xml:space="preserve">Minister za ekološki prehod in teritorialno kohezijo –</w:t>
      </w:r>
    </w:p>
    <w:p w14:paraId="655BCD5B" w14:textId="77777777" w:rsidR="008347CD" w:rsidRPr="007636F9" w:rsidRDefault="00C46B5B" w:rsidP="007636F9">
      <w:pPr>
        <w:pStyle w:val="SNSignatureDroite"/>
        <w:ind w:left="539" w:firstLine="0"/>
      </w:pPr>
      <w:r>
        <w:t xml:space="preserve">za ministra in v njegovem imenu:</w:t>
      </w:r>
    </w:p>
    <w:p w14:paraId="0DE20629" w14:textId="77777777" w:rsidR="008347CD" w:rsidRPr="007636F9" w:rsidRDefault="00C46B5B" w:rsidP="007636F9">
      <w:pPr>
        <w:pStyle w:val="SNSignatureDroite"/>
        <w:ind w:left="539" w:firstLine="0"/>
      </w:pPr>
      <w:r>
        <w:t xml:space="preserve">generalni direktor za preprečevanje tveganja</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 xml:space="preserve">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Minister za zdravje </w:t>
      </w:r>
      <w:r>
        <w:rPr>
          <w:color w:val="auto"/>
        </w:rPr>
        <w:t xml:space="preserve">in preventivo</w:t>
      </w:r>
      <w:r>
        <w:t xml:space="preserve"> –</w:t>
      </w:r>
    </w:p>
    <w:p w14:paraId="008C8C0E" w14:textId="77777777" w:rsidR="008347CD" w:rsidRPr="007636F9" w:rsidRDefault="00C46B5B" w:rsidP="007636F9">
      <w:pPr>
        <w:ind w:left="539"/>
      </w:pPr>
      <w:r>
        <w:t xml:space="preserve">za ministra in v njegovem imenu:</w:t>
      </w:r>
    </w:p>
    <w:p w14:paraId="2AE5AAA9" w14:textId="77777777" w:rsidR="008347CD" w:rsidRPr="007636F9" w:rsidRDefault="00C46B5B" w:rsidP="007636F9">
      <w:pPr>
        <w:ind w:left="539"/>
      </w:pPr>
      <w:r>
        <w:t xml:space="preserve">generalni direktor za zdravje</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 xml:space="preserve">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F75AD9">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F75AD9">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F75AD9">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dirty" w:grammar="dirty"/>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3</cp:revision>
  <cp:lastPrinted>2021-09-08T16:41:00Z</cp:lastPrinted>
  <dcterms:created xsi:type="dcterms:W3CDTF">2023-03-17T14:23:00Z</dcterms:created>
  <dcterms:modified xsi:type="dcterms:W3CDTF">2023-03-24T09:28:00Z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