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43EB" w14:textId="77777777" w:rsidR="00AA0AC6" w:rsidRDefault="005C5FA4">
      <w:pPr>
        <w:pStyle w:val="Heading10"/>
        <w:keepNext/>
        <w:keepLines/>
      </w:pPr>
      <w:bookmarkStart w:id="0" w:name="bookmark0"/>
      <w:r>
        <w:rPr>
          <w:rStyle w:val="Heading1"/>
        </w:rPr>
        <w:t>Entwurf von Gesetzesvorschlägen</w:t>
      </w:r>
      <w:bookmarkEnd w:id="0"/>
    </w:p>
    <w:p w14:paraId="08A98031" w14:textId="77777777" w:rsidR="00AA0AC6" w:rsidRDefault="005C5FA4">
      <w:pPr>
        <w:pStyle w:val="Heading20"/>
        <w:keepNext/>
        <w:keepLines/>
      </w:pPr>
      <w:bookmarkStart w:id="1" w:name="bookmark2"/>
      <w:r>
        <w:rPr>
          <w:rStyle w:val="Heading2"/>
        </w:rPr>
        <w:t>Zusätze und Änderungen sind in Kursivschrift angegeben.</w:t>
      </w:r>
      <w:bookmarkEnd w:id="1"/>
    </w:p>
    <w:p w14:paraId="69A787FA" w14:textId="77777777" w:rsidR="00AA0AC6" w:rsidRDefault="005C5FA4">
      <w:pPr>
        <w:pStyle w:val="Heading30"/>
        <w:keepNext/>
        <w:keepLines/>
        <w:spacing w:after="200" w:line="264" w:lineRule="auto"/>
      </w:pPr>
      <w:bookmarkStart w:id="2" w:name="bookmark4"/>
      <w:r>
        <w:rPr>
          <w:rStyle w:val="Heading3"/>
          <w:b/>
        </w:rPr>
        <w:t>Änderungsentwürfe des Gesetzes vom 9. März 1973 Nr. 14 über die Verhütung der schädlichen Wirkungen von Tabak</w:t>
      </w:r>
      <w:bookmarkEnd w:id="2"/>
    </w:p>
    <w:p w14:paraId="5B187A27" w14:textId="7E3EBB20" w:rsidR="00AA0AC6" w:rsidRDefault="001F37DB" w:rsidP="001F37DB">
      <w:pPr>
        <w:pStyle w:val="BodyText"/>
        <w:tabs>
          <w:tab w:val="left" w:pos="243"/>
        </w:tabs>
        <w:spacing w:after="120"/>
        <w:ind w:firstLine="0"/>
      </w:pPr>
      <w:r>
        <w:rPr>
          <w:rStyle w:val="BodyTextChar"/>
        </w:rPr>
        <w:t>§ 30. Standardisierte Gestaltung und Kennzeichnung von Verpackungen und Erzeugnissen</w:t>
      </w:r>
    </w:p>
    <w:p w14:paraId="55131F6E" w14:textId="77777777" w:rsidR="00AA0AC6" w:rsidRDefault="005C5FA4">
      <w:pPr>
        <w:pStyle w:val="BodyText"/>
        <w:ind w:firstLine="580"/>
      </w:pPr>
      <w:r>
        <w:rPr>
          <w:rStyle w:val="BodyTextChar"/>
        </w:rPr>
        <w:t>Die Einfuhr nach Norwegen oder der Verkauf von Tabakverpackun</w:t>
      </w:r>
      <w:r>
        <w:rPr>
          <w:rStyle w:val="BodyTextChar"/>
        </w:rPr>
        <w:t xml:space="preserve">gen und Tabakerzeugnissen, die nicht standardisiert sind, ist gemäß den vom Ministerium in Verordnungen festgelegten detaillierten Bestimmungen verboten. </w:t>
      </w:r>
      <w:r>
        <w:rPr>
          <w:rStyle w:val="BodyTextChar"/>
          <w:i/>
        </w:rPr>
        <w:t>Gleiches gilt für elektronische Zigaretten und Nachfüllbehälter, unabhängig vom Nikotingehalt.</w:t>
      </w:r>
      <w:r>
        <w:rPr>
          <w:rStyle w:val="BodyTextChar"/>
        </w:rPr>
        <w:t xml:space="preserve"> Die Nor</w:t>
      </w:r>
      <w:r>
        <w:rPr>
          <w:rStyle w:val="BodyTextChar"/>
        </w:rPr>
        <w:t>mierung kann u. a. für Farbe, Form, Aussehen, Material und Kennzeichnung gelten, einschließlich der Verwendung von Markennamen, Logos und anderen Elementen, die an die Markenbildung gebunden sind.</w:t>
      </w:r>
    </w:p>
    <w:p w14:paraId="59A9A310" w14:textId="77777777" w:rsidR="00AA0AC6" w:rsidRDefault="005C5FA4">
      <w:pPr>
        <w:pStyle w:val="BodyText"/>
        <w:spacing w:after="540"/>
        <w:ind w:firstLine="580"/>
      </w:pPr>
      <w:r>
        <w:rPr>
          <w:rStyle w:val="BodyTextChar"/>
        </w:rPr>
        <w:t>Das Ministerium kann Verordnungen in Bezug auf eine ähnlich</w:t>
      </w:r>
      <w:r>
        <w:rPr>
          <w:rStyle w:val="BodyTextChar"/>
        </w:rPr>
        <w:t>e Standardisierung der Kennzeichnung und Gestaltung von Verpackungen für Raucherzubehör und Tabakersatzstoffe erlassen und Ausnahmen für bestimmte Produktkategorien vorsehen. Das Ministerium kann mittels Verordnungen begrenzen, welche Art von Einzelhandels</w:t>
      </w:r>
      <w:r>
        <w:rPr>
          <w:rStyle w:val="BodyTextChar"/>
        </w:rPr>
        <w:t>geschäften Produkte verkaufen dürfen, die von der Normierungspflicht ausgenommen sind.</w:t>
      </w:r>
    </w:p>
    <w:p w14:paraId="5BE1906D" w14:textId="060A2BBD" w:rsidR="00AA0AC6" w:rsidRDefault="001F37DB" w:rsidP="001F37DB">
      <w:pPr>
        <w:pStyle w:val="BodyText"/>
        <w:tabs>
          <w:tab w:val="left" w:pos="243"/>
        </w:tabs>
        <w:spacing w:after="200"/>
        <w:ind w:firstLine="0"/>
      </w:pPr>
      <w:r>
        <w:rPr>
          <w:rStyle w:val="BodyTextChar"/>
        </w:rPr>
        <w:t>§ 30a. Gesundheitswarnung und Produktpräsentation</w:t>
      </w:r>
    </w:p>
    <w:p w14:paraId="776E89D9" w14:textId="652A9ACA" w:rsidR="00AA0AC6" w:rsidRDefault="005C5FA4">
      <w:pPr>
        <w:pStyle w:val="BodyText"/>
        <w:spacing w:after="200" w:line="240" w:lineRule="auto"/>
        <w:ind w:firstLine="500"/>
      </w:pPr>
      <w:r>
        <w:rPr>
          <w:rStyle w:val="BodyTextChar"/>
        </w:rPr>
        <w:t>Es ist verboten, Tabakerzeugnisse, elektronische Zigaretten und Nachfüllbehälter sowie pflanzliche Raucherzeugnisse, di</w:t>
      </w:r>
      <w:r>
        <w:rPr>
          <w:rStyle w:val="BodyTextChar"/>
        </w:rPr>
        <w:t>e nicht mit Gesundheitswarnungen gekennzeichnet sind, nach Norwegen einzuführen oder zu verkaufen.</w:t>
      </w:r>
    </w:p>
    <w:p w14:paraId="66AB4B62" w14:textId="77777777" w:rsidR="00AA0AC6" w:rsidRDefault="005C5FA4">
      <w:pPr>
        <w:pStyle w:val="BodyText"/>
        <w:spacing w:line="240" w:lineRule="auto"/>
        <w:ind w:firstLine="500"/>
      </w:pPr>
      <w:r>
        <w:rPr>
          <w:rStyle w:val="BodyTextChar"/>
        </w:rPr>
        <w:t xml:space="preserve">[Es ist verboten, Tabakerzeugnisse, pflanzliche Raucherzeugnisse, elektronische Zigaretten und Nachfüllbehälter nach Norwegen einzuführen oder zu verkaufen, </w:t>
      </w:r>
      <w:r>
        <w:rPr>
          <w:rStyle w:val="BodyTextChar"/>
        </w:rPr>
        <w:t>die mit Elementen oder Merkmalen, einschließlich Texten, Namen, Marken, Symbolen, figurativen oder anderen Zeichen, versehen sind, die:</w:t>
      </w:r>
    </w:p>
    <w:p w14:paraId="5477CAB0" w14:textId="77777777" w:rsidR="00AA0AC6" w:rsidRDefault="005C5FA4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Tabakerzeugnisse oder deren Konsum fördert oder ermutigt, indem falsche Eindrücke über die Merkmale, Gesundheitsauswirku</w:t>
      </w:r>
      <w:r>
        <w:rPr>
          <w:rStyle w:val="BodyTextChar"/>
        </w:rPr>
        <w:t>ngen, Risiken oder Emissionen geschaffen werden,</w:t>
      </w:r>
    </w:p>
    <w:p w14:paraId="12A7A4D9" w14:textId="77777777" w:rsidR="00AA0AC6" w:rsidRDefault="005C5FA4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Informationen über den Nikotin-, Teer- oder Kohlenmonoxidgehalt des Tabakerzeugnisses enthalten;</w:t>
      </w:r>
    </w:p>
    <w:p w14:paraId="446BC351" w14:textId="77777777" w:rsidR="00AA0AC6" w:rsidRDefault="005C5FA4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vorschlagen, dass ein bestimmtes Produkt weniger schädlich ist als andere oder vitalisierende, energetische, h</w:t>
      </w:r>
      <w:r>
        <w:rPr>
          <w:rStyle w:val="BodyTextChar"/>
        </w:rPr>
        <w:t>eilende, verjüngende, natürliche, organische Eigenschaften, oder andere gesundheitliche oder Lifestyle-Vorteile hat;</w:t>
      </w:r>
    </w:p>
    <w:p w14:paraId="7530D3E3" w14:textId="77777777" w:rsidR="00AA0AC6" w:rsidRDefault="005C5FA4" w:rsidP="005C5FA4">
      <w:pPr>
        <w:pStyle w:val="BodyText"/>
        <w:numPr>
          <w:ilvl w:val="0"/>
          <w:numId w:val="2"/>
        </w:numPr>
        <w:tabs>
          <w:tab w:val="left" w:pos="732"/>
        </w:tabs>
        <w:ind w:left="740" w:hanging="360"/>
      </w:pPr>
      <w:r>
        <w:rPr>
          <w:rStyle w:val="BodyTextChar"/>
        </w:rPr>
        <w:t>sich auf den Geschmack, Geruch, eventuelle Aromastoffe oder sonstige Zusatzstoffe oder auf deren Fehlen beziehen;</w:t>
      </w:r>
    </w:p>
    <w:p w14:paraId="6D3DA705" w14:textId="77777777" w:rsidR="00AA0AC6" w:rsidRDefault="005C5FA4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>einem Lebensmittel oder e</w:t>
      </w:r>
      <w:r>
        <w:rPr>
          <w:rStyle w:val="BodyTextChar"/>
        </w:rPr>
        <w:t>inem kosmetischen Mittel ähneln;</w:t>
      </w:r>
    </w:p>
    <w:p w14:paraId="713D58E2" w14:textId="77777777" w:rsidR="00AA0AC6" w:rsidRDefault="005C5FA4" w:rsidP="005C5FA4">
      <w:pPr>
        <w:pStyle w:val="BodyText"/>
        <w:numPr>
          <w:ilvl w:val="0"/>
          <w:numId w:val="2"/>
        </w:numPr>
        <w:tabs>
          <w:tab w:val="left" w:pos="735"/>
          <w:tab w:val="left" w:pos="735"/>
        </w:tabs>
        <w:spacing w:after="200"/>
        <w:ind w:left="737" w:hanging="357"/>
      </w:pPr>
      <w:r>
        <w:rPr>
          <w:rStyle w:val="BodyTextChar"/>
        </w:rPr>
        <w:t>vorschlagen, dass ein bestimmtes Tabakprodukt ökologische oder finanzielle Vorteile hat.</w:t>
      </w:r>
    </w:p>
    <w:p w14:paraId="5987CFDC" w14:textId="77777777" w:rsidR="00AA0AC6" w:rsidRDefault="005C5FA4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Die Bestimmungen des ersten </w:t>
      </w:r>
      <w:r>
        <w:rPr>
          <w:rStyle w:val="BodyTextChar"/>
          <w:strike/>
        </w:rPr>
        <w:t>und des zweiten</w:t>
      </w:r>
      <w:r>
        <w:rPr>
          <w:rStyle w:val="BodyTextChar"/>
        </w:rPr>
        <w:t xml:space="preserve"> Absatzes gelten nicht für Einweg-E-Zigaretten ohne Nikotin und Nachfüllbehälter ohne Nikotin. Das Verbot von Informationen über den Nikotingehalt in Absatz 2 Buchstabe b </w:t>
      </w:r>
      <w:r>
        <w:rPr>
          <w:rStyle w:val="BodyTextChar"/>
          <w:strike/>
        </w:rPr>
        <w:t>und der Hinweis auf Aromen in Buchstabe d</w:t>
      </w:r>
      <w:r>
        <w:rPr>
          <w:rStyle w:val="BodyTextChar"/>
          <w:i/>
        </w:rPr>
        <w:t xml:space="preserve"> gilt</w:t>
      </w:r>
      <w:r>
        <w:rPr>
          <w:rStyle w:val="BodyTextChar"/>
        </w:rPr>
        <w:t xml:space="preserve"> nicht </w:t>
      </w:r>
      <w:r>
        <w:rPr>
          <w:rStyle w:val="BodyTextChar"/>
        </w:rPr>
        <w:lastRenderedPageBreak/>
        <w:t>für elektronische Zigaretten und</w:t>
      </w:r>
      <w:r>
        <w:rPr>
          <w:rStyle w:val="BodyTextChar"/>
        </w:rPr>
        <w:t xml:space="preserve"> Nachfüllbehälter. Absatz 2 Buchstabe d und Buchstabe f gelten nicht für pflanzliche Erzeugnisse zum Rauchen, es ist jedoch nicht zulässig, anzugeben, dass das Erzeugnis frei von Zusatzstoffen oder Aromen ist.</w:t>
      </w:r>
    </w:p>
    <w:p w14:paraId="4A3E0B34" w14:textId="77777777" w:rsidR="00AA0AC6" w:rsidRDefault="005C5FA4">
      <w:pPr>
        <w:pStyle w:val="BodyText"/>
        <w:spacing w:after="200" w:line="240" w:lineRule="auto"/>
        <w:ind w:firstLine="500"/>
      </w:pPr>
      <w:r>
        <w:rPr>
          <w:rStyle w:val="BodyTextChar"/>
        </w:rPr>
        <w:t>Das Ministerium kann in Verordnungen zusätzlic</w:t>
      </w:r>
      <w:r>
        <w:rPr>
          <w:rStyle w:val="BodyTextChar"/>
        </w:rPr>
        <w:t>he Bestimmungen zur Umsetzung der Anforderungen in den Absätzen 1 und 2 festlegen und von diesen Ausnahmen befreien.</w:t>
      </w:r>
    </w:p>
    <w:p w14:paraId="4940B364" w14:textId="77777777" w:rsidR="00AA0AC6" w:rsidRDefault="005C5FA4" w:rsidP="001F37DB">
      <w:pPr>
        <w:pStyle w:val="BodyText"/>
        <w:keepNext/>
        <w:spacing w:after="140"/>
        <w:ind w:firstLine="0"/>
      </w:pPr>
      <w:r>
        <w:rPr>
          <w:rStyle w:val="BodyTextChar"/>
        </w:rPr>
        <w:t>Neuer § 32 a. Verbot der Charakterisierung von Aromen in elektronischen Zigaretten usw.</w:t>
      </w:r>
    </w:p>
    <w:p w14:paraId="522ED393" w14:textId="77777777" w:rsidR="00AA0AC6" w:rsidRDefault="005C5FA4">
      <w:pPr>
        <w:pStyle w:val="BodyText"/>
        <w:ind w:firstLine="580"/>
      </w:pPr>
      <w:r>
        <w:rPr>
          <w:rStyle w:val="BodyTextChar"/>
          <w:i/>
        </w:rPr>
        <w:t>Es ist verboten, elektronische Zigaretten und Nachf</w:t>
      </w:r>
      <w:r>
        <w:rPr>
          <w:rStyle w:val="BodyTextChar"/>
          <w:i/>
        </w:rPr>
        <w:t>üllbehälter mit charakteristischen Aromen nach Norwegen einzuführen oder zu verkaufen, unabhängig vom Nikotingehalt. Gleiches gilt für getrennte Behältnisse von Aromazusatzstoffen zur Verwendung in elektronischen Zigaretten.</w:t>
      </w:r>
    </w:p>
    <w:p w14:paraId="69779CD8" w14:textId="77777777" w:rsidR="00AA0AC6" w:rsidRDefault="005C5FA4">
      <w:pPr>
        <w:pStyle w:val="BodyText"/>
        <w:ind w:firstLine="580"/>
      </w:pPr>
      <w:r>
        <w:rPr>
          <w:rStyle w:val="BodyTextChar"/>
          <w:i/>
        </w:rPr>
        <w:t>Das Verbot in Absatz 1 gilt auc</w:t>
      </w:r>
      <w:r>
        <w:rPr>
          <w:rStyle w:val="BodyTextChar"/>
          <w:i/>
        </w:rPr>
        <w:t>h für Geräte und Bestandteile, die im Zusammenhang mit elektronischen Zigaretten verwendet werden, was die Veränderung des Geschmacks oder Geruchs der Erzeugnisse ermöglicht.</w:t>
      </w:r>
    </w:p>
    <w:p w14:paraId="2CC900A2" w14:textId="77777777" w:rsidR="00AA0AC6" w:rsidRDefault="005C5FA4">
      <w:pPr>
        <w:pStyle w:val="BodyText"/>
        <w:spacing w:after="420"/>
        <w:ind w:firstLine="580"/>
      </w:pPr>
      <w:r>
        <w:rPr>
          <w:rStyle w:val="BodyTextChar"/>
          <w:i/>
        </w:rPr>
        <w:t>Das Ministerium kann ergänzende Verordnungen zu den Verboten in den Absätzen 1 un</w:t>
      </w:r>
      <w:r>
        <w:rPr>
          <w:rStyle w:val="BodyTextChar"/>
          <w:i/>
        </w:rPr>
        <w:t>d 2 erlassen, Ausnahmen erlassen, Höchstwerte an Zusatzstoffen oder Kombinationen von Zusatzstoffen, die ein charakteristisches Aroma verleihen, festlegen und Gebühren zur Deckung der Kosten für die staatliche Handhabung und Überwachung der Verbote erheben</w:t>
      </w:r>
      <w:r>
        <w:rPr>
          <w:rStyle w:val="BodyTextChar"/>
          <w:i/>
        </w:rPr>
        <w:t>. Das Ministerium kann auch in Verordnungen eine Liste der geschmacksbestimmenden Zusatzstoffe festlegen, die als Inhaltsstoffe in elektronischen Zigaretten und Nachfüllbehältern verwendet werden dürfen.</w:t>
      </w:r>
    </w:p>
    <w:p w14:paraId="362A0B7D" w14:textId="77777777" w:rsidR="00AA0AC6" w:rsidRDefault="005C5FA4">
      <w:pPr>
        <w:pStyle w:val="Heading30"/>
        <w:keepNext/>
        <w:keepLines/>
        <w:spacing w:after="140" w:line="259" w:lineRule="auto"/>
      </w:pPr>
      <w:bookmarkStart w:id="3" w:name="bookmark6"/>
      <w:r>
        <w:rPr>
          <w:rStyle w:val="Heading3"/>
          <w:b/>
        </w:rPr>
        <w:t>Änderungsentwürfe der Verordnungen vom 6. Februar 20</w:t>
      </w:r>
      <w:r>
        <w:rPr>
          <w:rStyle w:val="Heading3"/>
          <w:b/>
        </w:rPr>
        <w:t>03 Nr. 141 über den Inhalt, die Etikettierung und die Gestaltung von Tabakerzeugnissen usw.</w:t>
      </w:r>
      <w:bookmarkEnd w:id="3"/>
    </w:p>
    <w:p w14:paraId="06077C93" w14:textId="2B6CC7A0" w:rsidR="00AA0AC6" w:rsidRDefault="001F37DB" w:rsidP="001F37DB">
      <w:pPr>
        <w:pStyle w:val="BodyText"/>
        <w:tabs>
          <w:tab w:val="left" w:pos="278"/>
        </w:tabs>
        <w:spacing w:after="140"/>
        <w:ind w:firstLine="0"/>
      </w:pPr>
      <w:r>
        <w:rPr>
          <w:rStyle w:val="BodyTextChar"/>
        </w:rPr>
        <w:t>§ 31. Mindestgröße und Gewicht von Tabakerzeugnissen</w:t>
      </w:r>
    </w:p>
    <w:p w14:paraId="6842D5C9" w14:textId="77777777" w:rsidR="00AA0AC6" w:rsidRDefault="005C5FA4">
      <w:pPr>
        <w:pStyle w:val="BodyText"/>
        <w:ind w:firstLine="580"/>
      </w:pPr>
      <w:r>
        <w:rPr>
          <w:rStyle w:val="BodyTextChar"/>
        </w:rPr>
        <w:t>Eine für den Verkauf an Verbraucher bestimmte Packung, die</w:t>
      </w:r>
    </w:p>
    <w:p w14:paraId="67107DAC" w14:textId="77777777" w:rsidR="00AA0AC6" w:rsidRDefault="005C5FA4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</w:rPr>
        <w:t>Zigaretten enthält, muss mindestens 20 Zigaretten en</w:t>
      </w:r>
      <w:r>
        <w:rPr>
          <w:rStyle w:val="BodyTextChar"/>
        </w:rPr>
        <w:t>thalten</w:t>
      </w:r>
    </w:p>
    <w:p w14:paraId="7EB220C6" w14:textId="77777777" w:rsidR="00AA0AC6" w:rsidRDefault="005C5FA4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</w:rPr>
        <w:t>Tabak zum Selbstdrehen enthält, muss mindestens 30 Gramm enthalten</w:t>
      </w:r>
    </w:p>
    <w:p w14:paraId="12A03E59" w14:textId="77777777" w:rsidR="00AA0AC6" w:rsidRDefault="005C5FA4" w:rsidP="005C5FA4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left="1276" w:hanging="336"/>
      </w:pPr>
      <w:r>
        <w:rPr>
          <w:rStyle w:val="BodyTextChar"/>
          <w:i/>
        </w:rPr>
        <w:t>Tabakportionen zum oralen Gebrauch enthält, muss mindestens 20 Portionen und 15 Gramm enthalten</w:t>
      </w:r>
    </w:p>
    <w:p w14:paraId="28849DE5" w14:textId="77777777" w:rsidR="00AA0AC6" w:rsidRDefault="005C5FA4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  <w:i/>
        </w:rPr>
        <w:t>losen Tabak für oralen Snus enthält, muss mindestens 30 Gramm enthalten.</w:t>
      </w:r>
    </w:p>
    <w:p w14:paraId="02AA3190" w14:textId="77777777" w:rsidR="00AA0AC6" w:rsidRDefault="005C5FA4">
      <w:pPr>
        <w:pStyle w:val="BodyText"/>
        <w:ind w:firstLine="580"/>
      </w:pPr>
      <w:r>
        <w:rPr>
          <w:rStyle w:val="BodyTextChar"/>
        </w:rPr>
        <w:t>Diese Einhei</w:t>
      </w:r>
      <w:r>
        <w:rPr>
          <w:rStyle w:val="BodyTextChar"/>
        </w:rPr>
        <w:t>tspakete dürfen keine kleineren Pakete enthalten und dürfen nicht in kleinere Pakete unterteilt werden.</w:t>
      </w:r>
    </w:p>
    <w:p w14:paraId="563C0CD8" w14:textId="77777777" w:rsidR="00AA0AC6" w:rsidRDefault="005C5FA4">
      <w:pPr>
        <w:pStyle w:val="BodyText"/>
        <w:spacing w:after="80"/>
        <w:ind w:firstLine="580"/>
      </w:pPr>
      <w:r>
        <w:rPr>
          <w:rStyle w:val="BodyTextChar"/>
        </w:rPr>
        <w:t>Zigarren können einzeln mit gesundheitsbezogenen Warnhinweisen auf der Verpackung verkauft werden.</w:t>
      </w:r>
    </w:p>
    <w:sectPr w:rsidR="00AA0AC6">
      <w:footerReference w:type="default" r:id="rId7"/>
      <w:pgSz w:w="11900" w:h="16840"/>
      <w:pgMar w:top="1599" w:right="1432" w:bottom="1855" w:left="1396" w:header="117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4F89" w14:textId="77777777" w:rsidR="002E616B" w:rsidRDefault="002E616B">
      <w:r>
        <w:separator/>
      </w:r>
    </w:p>
  </w:endnote>
  <w:endnote w:type="continuationSeparator" w:id="0">
    <w:p w14:paraId="43C0479E" w14:textId="77777777" w:rsidR="002E616B" w:rsidRDefault="002E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2050" w14:textId="77777777" w:rsidR="00AA0AC6" w:rsidRDefault="005C5FA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88FE458" wp14:editId="5337D9B0">
              <wp:simplePos x="0" y="0"/>
              <wp:positionH relativeFrom="page">
                <wp:posOffset>3745865</wp:posOffset>
              </wp:positionH>
              <wp:positionV relativeFrom="page">
                <wp:posOffset>10006965</wp:posOffset>
              </wp:positionV>
              <wp:extent cx="3683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706FC" w14:textId="77777777" w:rsidR="00AA0AC6" w:rsidRDefault="005C5FA4">
                          <w:pPr>
                            <w:pStyle w:val="Headerorfooter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"/>
                            </w:rPr>
                            <w:t>#</w:t>
                          </w:r>
                          <w:r>
                            <w:rPr>
                              <w:rStyle w:val="Headerorfoot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FE458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95pt;margin-top:787.95pt;width:2.9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" filled="f" stroked="f">
              <v:textbox style="mso-fit-shape-to-text:t" inset="0,0,0,0">
                <w:txbxContent>
                  <w:p w14:paraId="20A706FC" w14:textId="77777777" w:rsidR="00AA0AC6" w:rsidRDefault="005C5FA4">
                    <w:pPr>
                      <w:pStyle w:val="Headerorfooter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"/>
                      </w:rPr>
                      <w:t>#</w:t>
                    </w:r>
                    <w:r>
                      <w:rPr>
                        <w:rStyle w:val="Headerorfoot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99E2" w14:textId="77777777" w:rsidR="002E616B" w:rsidRDefault="002E616B"/>
  </w:footnote>
  <w:footnote w:type="continuationSeparator" w:id="0">
    <w:p w14:paraId="7675EB7F" w14:textId="77777777" w:rsidR="002E616B" w:rsidRDefault="002E6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B29"/>
    <w:multiLevelType w:val="multilevel"/>
    <w:tmpl w:val="8A46022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7D21F6"/>
    <w:multiLevelType w:val="multilevel"/>
    <w:tmpl w:val="3BBAA5D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CD7421"/>
    <w:multiLevelType w:val="multilevel"/>
    <w:tmpl w:val="BD6C5884"/>
    <w:lvl w:ilvl="0">
      <w:start w:val="4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5376501">
    <w:abstractNumId w:val="2"/>
  </w:num>
  <w:num w:numId="2" w16cid:durableId="1832718140">
    <w:abstractNumId w:val="1"/>
  </w:num>
  <w:num w:numId="3" w16cid:durableId="122290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C6"/>
    <w:rsid w:val="001F37DB"/>
    <w:rsid w:val="002E616B"/>
    <w:rsid w:val="005C5FA4"/>
    <w:rsid w:val="00A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F1CA"/>
  <w15:docId w15:val="{D0ABA9B6-12DE-4D0E-9488-FFC0253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de-DE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E74B5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pPr>
      <w:spacing w:after="260"/>
      <w:outlineLvl w:val="0"/>
    </w:pPr>
    <w:rPr>
      <w:rFonts w:ascii="Cambria" w:eastAsia="Cambria" w:hAnsi="Cambria" w:cs="Cambria"/>
      <w:color w:val="2E74B5"/>
      <w:sz w:val="32"/>
      <w:szCs w:val="32"/>
    </w:rPr>
  </w:style>
  <w:style w:type="paragraph" w:customStyle="1" w:styleId="Headerorfooter0">
    <w:name w:val="Header or footer"/>
    <w:basedOn w:val="Normal"/>
    <w:link w:val="Headerorfooter"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44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al"/>
    <w:link w:val="Heading3"/>
    <w:pPr>
      <w:spacing w:after="170" w:line="262" w:lineRule="auto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Helena</dc:creator>
  <cp:keywords/>
  <cp:lastModifiedBy>Liana Brili</cp:lastModifiedBy>
  <cp:revision>3</cp:revision>
  <dcterms:created xsi:type="dcterms:W3CDTF">2023-01-30T12:45:00Z</dcterms:created>
  <dcterms:modified xsi:type="dcterms:W3CDTF">2023-02-06T08:57:00Z</dcterms:modified>
</cp:coreProperties>
</file>