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43EB" w14:textId="77777777" w:rsidR="00AA0AC6" w:rsidRDefault="006A5822">
      <w:pPr>
        <w:pStyle w:val="Heading10"/>
        <w:keepNext/>
        <w:keepLines/>
      </w:pPr>
      <w:bookmarkStart w:id="0" w:name="bookmark0"/>
      <w:r>
        <w:rPr>
          <w:rStyle w:val="Heading1"/>
        </w:rPr>
        <w:t>Luonnokset lainsäädäntöehdotuksiksi</w:t>
      </w:r>
      <w:bookmarkEnd w:id="0"/>
    </w:p>
    <w:p w14:paraId="08A98031" w14:textId="77777777" w:rsidR="00AA0AC6" w:rsidRDefault="006A5822">
      <w:pPr>
        <w:pStyle w:val="Heading20"/>
        <w:keepNext/>
        <w:keepLines/>
      </w:pPr>
      <w:bookmarkStart w:id="1" w:name="bookmark2"/>
      <w:r>
        <w:rPr>
          <w:rStyle w:val="Heading2"/>
        </w:rPr>
        <w:t>Lisäykset ja tarkistukset on kursivoitu.</w:t>
      </w:r>
      <w:bookmarkEnd w:id="1"/>
    </w:p>
    <w:p w14:paraId="69A787FA" w14:textId="77777777" w:rsidR="00AA0AC6" w:rsidRDefault="006A5822">
      <w:pPr>
        <w:pStyle w:val="Heading30"/>
        <w:keepNext/>
        <w:keepLines/>
        <w:spacing w:after="200" w:line="264" w:lineRule="auto"/>
      </w:pPr>
      <w:bookmarkStart w:id="2" w:name="bookmark4"/>
      <w:r>
        <w:rPr>
          <w:rStyle w:val="Heading3"/>
          <w:b/>
        </w:rPr>
        <w:t>Luonnokset tupakan haitallisten vaikutusten ehkäisemisestä 9 päivänä maaliskuuta 1973 annetun lain nro 14 muuttamisesta</w:t>
      </w:r>
      <w:bookmarkEnd w:id="2"/>
    </w:p>
    <w:p w14:paraId="5B187A27" w14:textId="7E3EBB20" w:rsidR="00AA0AC6" w:rsidRDefault="001F37DB" w:rsidP="001F37DB">
      <w:pPr>
        <w:pStyle w:val="BodyText"/>
        <w:tabs>
          <w:tab w:val="left" w:pos="243"/>
        </w:tabs>
        <w:spacing w:after="120"/>
        <w:ind w:firstLine="0"/>
      </w:pPr>
      <w:r>
        <w:rPr>
          <w:rStyle w:val="BodyTextChar"/>
        </w:rPr>
        <w:t>30 §. Pakkausten ja tuotteiden yhdenmukaistettu muotoilu ja merkinnät</w:t>
      </w:r>
    </w:p>
    <w:p w14:paraId="55131F6E" w14:textId="77777777" w:rsidR="00AA0AC6" w:rsidRDefault="006A5822">
      <w:pPr>
        <w:pStyle w:val="BodyText"/>
        <w:ind w:firstLine="580"/>
      </w:pPr>
      <w:r>
        <w:rPr>
          <w:rStyle w:val="BodyTextChar"/>
        </w:rPr>
        <w:t>On kiellettyä tuoda Norjaan tai myydä tupakkapakkauksia ja tupakka</w:t>
      </w:r>
      <w:r>
        <w:rPr>
          <w:rStyle w:val="BodyTextChar"/>
        </w:rPr>
        <w:t xml:space="preserve">tuotteita, joiden muotoilu ei ole yhdenmukaistettu ministeriön määräysten yksityiskohtaisten säännösten mukaisesti. </w:t>
      </w:r>
      <w:r>
        <w:rPr>
          <w:rStyle w:val="BodyTextChar"/>
          <w:i/>
        </w:rPr>
        <w:t>Sama koskee sähkösavukkeita ja täyttösäiliöitä nikotiinipitoisuudesta riippumatta.</w:t>
      </w:r>
      <w:r>
        <w:rPr>
          <w:rStyle w:val="BodyTextChar"/>
        </w:rPr>
        <w:t xml:space="preserve"> Yhdenmukaistamista voidaan soveltaa muun muassa väriin, m</w:t>
      </w:r>
      <w:r>
        <w:rPr>
          <w:rStyle w:val="BodyTextChar"/>
        </w:rPr>
        <w:t>uotoon, ulkonäköön, materiaaliin ja merkintöihin, mukaan lukien tuotemerkkien, logojen ja muiden merkkiin sidottujen tekijöiden käyttö.</w:t>
      </w:r>
    </w:p>
    <w:p w14:paraId="59A9A310" w14:textId="77777777" w:rsidR="00AA0AC6" w:rsidRDefault="006A5822">
      <w:pPr>
        <w:pStyle w:val="BodyText"/>
        <w:spacing w:after="540"/>
        <w:ind w:firstLine="580"/>
      </w:pPr>
      <w:r>
        <w:rPr>
          <w:rStyle w:val="BodyTextChar"/>
        </w:rPr>
        <w:t>Ministeriö voi antaa määräyksiä tupakointituotteiden ja tupakankorvikkeiden pakkausmerkintöjen ja pakkausten samankaltai</w:t>
      </w:r>
      <w:r>
        <w:rPr>
          <w:rStyle w:val="BodyTextChar"/>
        </w:rPr>
        <w:t>sesta yhdenmukaistamisesta ja myöntää poikkeuksia tietyille tuoteluokille. Ministeriö voi määräyksissä rajoittaa sitä, minkä tyyppisten vähittäismyymälöiden sallitaan myyvän tuotteita, jotka on vapautettu yhdenmukaistamisvaatimuksesta.</w:t>
      </w:r>
    </w:p>
    <w:p w14:paraId="5BE1906D" w14:textId="060A2BBD" w:rsidR="00AA0AC6" w:rsidRDefault="001F37DB" w:rsidP="001F37DB">
      <w:pPr>
        <w:pStyle w:val="BodyText"/>
        <w:tabs>
          <w:tab w:val="left" w:pos="243"/>
        </w:tabs>
        <w:spacing w:after="200"/>
        <w:ind w:firstLine="0"/>
      </w:pPr>
      <w:r>
        <w:rPr>
          <w:rStyle w:val="BodyTextChar"/>
        </w:rPr>
        <w:t>30 a §. Terveysvaroitus ja tuotteen esittely</w:t>
      </w:r>
    </w:p>
    <w:p w14:paraId="776E89D9" w14:textId="652A9ACA" w:rsidR="00AA0AC6" w:rsidRDefault="006A5822">
      <w:pPr>
        <w:pStyle w:val="BodyText"/>
        <w:spacing w:after="200" w:line="240" w:lineRule="auto"/>
        <w:ind w:firstLine="500"/>
      </w:pPr>
      <w:r>
        <w:rPr>
          <w:rStyle w:val="BodyTextChar"/>
        </w:rPr>
        <w:t>On kiellettyä tuoda Norjaan tai myydä tupakkatuotteita, sähkösavukkeita ja täyttösäiliöitä sekä poltettavaksi tarkoitettuja kasviperäisiä tuotteita, joita ei ole merkitty terveysvaroituksin.</w:t>
      </w:r>
    </w:p>
    <w:p w14:paraId="66AB4B62" w14:textId="77777777" w:rsidR="00AA0AC6" w:rsidRDefault="006A5822">
      <w:pPr>
        <w:pStyle w:val="BodyText"/>
        <w:spacing w:line="240" w:lineRule="auto"/>
        <w:ind w:firstLine="500"/>
      </w:pPr>
      <w:r>
        <w:rPr>
          <w:rStyle w:val="BodyTextChar"/>
        </w:rPr>
        <w:t>[On kiellettyä tuoda Norjaan tupakkatuot</w:t>
      </w:r>
      <w:r>
        <w:rPr>
          <w:rStyle w:val="BodyTextChar"/>
        </w:rPr>
        <w:t>teita, poltettavaksi tarkoitettuja kasviperäisiä tuotteita, sähkösavukkeita ja täyttösäiliöitä, joissa on mitä tahansa sellaisia tekijöitä tai ominaisuuksia, mukaan lukien tekstit, nimet, tavaramerkit, symbolit, kuvalliset tai muut merkit, jotka</w:t>
      </w:r>
    </w:p>
    <w:p w14:paraId="5477CAB0" w14:textId="77777777" w:rsidR="00AA0AC6" w:rsidRDefault="006A5822">
      <w:pPr>
        <w:pStyle w:val="BodyText"/>
        <w:numPr>
          <w:ilvl w:val="0"/>
          <w:numId w:val="2"/>
        </w:numPr>
        <w:tabs>
          <w:tab w:val="left" w:pos="735"/>
        </w:tabs>
        <w:ind w:left="740" w:hanging="360"/>
      </w:pPr>
      <w:r>
        <w:rPr>
          <w:rStyle w:val="BodyTextChar"/>
        </w:rPr>
        <w:t>a) edistäv</w:t>
      </w:r>
      <w:r>
        <w:rPr>
          <w:rStyle w:val="BodyTextChar"/>
        </w:rPr>
        <w:t>ät tupakkatuotteen myyntiä tai kannustavat sen kulutukseen antamalla väärän vaikutelman tuotteen ominaisuuksista, terveysvaikutuksista, riskeistä tai päästöistä;</w:t>
      </w:r>
    </w:p>
    <w:p w14:paraId="12A7A4D9" w14:textId="77777777" w:rsidR="00AA0AC6" w:rsidRDefault="006A5822">
      <w:pPr>
        <w:pStyle w:val="BodyText"/>
        <w:numPr>
          <w:ilvl w:val="0"/>
          <w:numId w:val="2"/>
        </w:numPr>
        <w:tabs>
          <w:tab w:val="left" w:pos="735"/>
        </w:tabs>
        <w:ind w:left="740" w:hanging="360"/>
      </w:pPr>
      <w:r>
        <w:rPr>
          <w:rStyle w:val="BodyTextChar"/>
        </w:rPr>
        <w:t>merkinnät eivät saa sisältää mitään tietoja tupakkatuotteen sisältämästä nikotiinista, tervast</w:t>
      </w:r>
      <w:r>
        <w:rPr>
          <w:rStyle w:val="BodyTextChar"/>
        </w:rPr>
        <w:t>a tai hiilimonoksidista;</w:t>
      </w:r>
    </w:p>
    <w:p w14:paraId="446BC351" w14:textId="77777777" w:rsidR="00AA0AC6" w:rsidRDefault="006A5822">
      <w:pPr>
        <w:pStyle w:val="BodyText"/>
        <w:numPr>
          <w:ilvl w:val="0"/>
          <w:numId w:val="2"/>
        </w:numPr>
        <w:tabs>
          <w:tab w:val="left" w:pos="735"/>
        </w:tabs>
        <w:ind w:left="740" w:hanging="360"/>
      </w:pPr>
      <w:r>
        <w:rPr>
          <w:rStyle w:val="BodyTextChar"/>
        </w:rPr>
        <w:t>antavat ymmärtää, että tietty tupakkatuote on vähemmän haitallinen kuin muut tai antaa ymmärtää, että sillä on elinvoimaa ja energiaa lisääviä, parantavia, nuorentavia, luonnollisia tai orgaanisia ominaisuuksia tai että siitä on mu</w:t>
      </w:r>
      <w:r>
        <w:rPr>
          <w:rStyle w:val="BodyTextChar"/>
        </w:rPr>
        <w:t>uta terveyteen tai elämäntapoihin liittyvää hyötyä;</w:t>
      </w:r>
    </w:p>
    <w:p w14:paraId="7530D3E3" w14:textId="5B52CC21" w:rsidR="00AA0AC6" w:rsidRDefault="006A5822" w:rsidP="006A5822">
      <w:pPr>
        <w:pStyle w:val="BodyText"/>
        <w:numPr>
          <w:ilvl w:val="0"/>
          <w:numId w:val="2"/>
        </w:numPr>
        <w:tabs>
          <w:tab w:val="left" w:pos="732"/>
        </w:tabs>
        <w:ind w:left="740" w:hanging="360"/>
      </w:pPr>
      <w:r>
        <w:rPr>
          <w:rStyle w:val="BodyTextChar"/>
        </w:rPr>
        <w:t>viittaavat makuun, tuoksuun, joihinkin aromi- tai makuaineisiin tai muihin lisäaineisiin tai niiden puutteeseen;</w:t>
      </w:r>
    </w:p>
    <w:p w14:paraId="6D3DA705" w14:textId="77777777" w:rsidR="00AA0AC6" w:rsidRDefault="006A5822">
      <w:pPr>
        <w:pStyle w:val="BodyText"/>
        <w:numPr>
          <w:ilvl w:val="0"/>
          <w:numId w:val="2"/>
        </w:numPr>
        <w:tabs>
          <w:tab w:val="left" w:pos="732"/>
        </w:tabs>
        <w:ind w:firstLine="380"/>
      </w:pPr>
      <w:r>
        <w:rPr>
          <w:rStyle w:val="BodyTextChar"/>
        </w:rPr>
        <w:t>muistuttavat elintarviketta tai kosmeettista tuotetta;</w:t>
      </w:r>
    </w:p>
    <w:p w14:paraId="713D58E2" w14:textId="77777777" w:rsidR="00AA0AC6" w:rsidRDefault="006A5822" w:rsidP="006A5822">
      <w:pPr>
        <w:pStyle w:val="BodyText"/>
        <w:numPr>
          <w:ilvl w:val="0"/>
          <w:numId w:val="2"/>
        </w:numPr>
        <w:spacing w:after="200"/>
        <w:ind w:left="737" w:hanging="357"/>
      </w:pPr>
      <w:r>
        <w:rPr>
          <w:rStyle w:val="BodyTextChar"/>
        </w:rPr>
        <w:t>antavat ymmärtää, että tietyllä tupakkatuotteella on ympäristöön liittyviä tai taloudellisia etuja.</w:t>
      </w:r>
    </w:p>
    <w:p w14:paraId="5987CFDC" w14:textId="77777777" w:rsidR="00AA0AC6" w:rsidRDefault="006A5822">
      <w:pPr>
        <w:pStyle w:val="BodyText"/>
        <w:spacing w:after="200" w:line="240" w:lineRule="auto"/>
        <w:ind w:firstLine="500"/>
      </w:pPr>
      <w:r>
        <w:rPr>
          <w:rStyle w:val="BodyTextChar"/>
        </w:rPr>
        <w:t xml:space="preserve">Ensimmäisen </w:t>
      </w:r>
      <w:r>
        <w:rPr>
          <w:rStyle w:val="BodyTextChar"/>
          <w:strike/>
        </w:rPr>
        <w:t>ja t</w:t>
      </w:r>
      <w:r>
        <w:rPr>
          <w:rStyle w:val="BodyTextChar"/>
        </w:rPr>
        <w:t>o</w:t>
      </w:r>
      <w:r>
        <w:rPr>
          <w:rStyle w:val="BodyTextChar"/>
          <w:strike/>
        </w:rPr>
        <w:t>isen</w:t>
      </w:r>
      <w:r>
        <w:rPr>
          <w:rStyle w:val="BodyTextChar"/>
        </w:rPr>
        <w:t xml:space="preserve"> momentin määräyksiä ei sovelleta kertakäyttöisiin sähkösavukkeisiin, joissa ei ole nikotiinia, ja täyttösäiliöihin, joissa ei ole niko</w:t>
      </w:r>
      <w:r>
        <w:rPr>
          <w:rStyle w:val="BodyTextChar"/>
        </w:rPr>
        <w:t xml:space="preserve">tiinia. Toisen momentin b kohdan kieltoa antaa tietoja nikotiinipitoisuudesta </w:t>
      </w:r>
      <w:r>
        <w:rPr>
          <w:rStyle w:val="BodyTextChar"/>
          <w:strike/>
        </w:rPr>
        <w:t>ja toisen momentin d kohdassa tarkoitettuja aromiaineita koskevaa kieltoa</w:t>
      </w:r>
      <w:r>
        <w:rPr>
          <w:rStyle w:val="BodyTextChar"/>
        </w:rPr>
        <w:t xml:space="preserve"> ei </w:t>
      </w:r>
      <w:r>
        <w:rPr>
          <w:rStyle w:val="BodyTextChar"/>
          <w:i/>
        </w:rPr>
        <w:t>sovelleta</w:t>
      </w:r>
      <w:r>
        <w:rPr>
          <w:rStyle w:val="BodyTextChar"/>
        </w:rPr>
        <w:t xml:space="preserve"> sähkösavukkeisiin ja täyttösäiliöihin. </w:t>
      </w:r>
      <w:r>
        <w:rPr>
          <w:rStyle w:val="BodyTextChar"/>
        </w:rPr>
        <w:lastRenderedPageBreak/>
        <w:t>Toisen momentin d ja f kohtaa ei sovelleta poltettav</w:t>
      </w:r>
      <w:r>
        <w:rPr>
          <w:rStyle w:val="BodyTextChar"/>
        </w:rPr>
        <w:t>aksi tarkoitettuihin kasviperäisiin tuotteisiin, mutta ei kuitenkaan ole sallittua mainita, että tuotteessa ei ole lisäaineita tai aromeja.</w:t>
      </w:r>
    </w:p>
    <w:p w14:paraId="4A3E0B34" w14:textId="77777777" w:rsidR="00AA0AC6" w:rsidRDefault="006A5822">
      <w:pPr>
        <w:pStyle w:val="BodyText"/>
        <w:spacing w:after="200" w:line="240" w:lineRule="auto"/>
        <w:ind w:firstLine="500"/>
      </w:pPr>
      <w:r>
        <w:rPr>
          <w:rStyle w:val="BodyTextChar"/>
        </w:rPr>
        <w:t xml:space="preserve">Ministeriö voi määräyksillä asettaa lisäsäännöksiä ensimmäisen ja toisen momentin vaatimusten täytäntöönpanemiseksi </w:t>
      </w:r>
      <w:r>
        <w:rPr>
          <w:rStyle w:val="BodyTextChar"/>
        </w:rPr>
        <w:t>ja säätää niistä vapautuksia.</w:t>
      </w:r>
    </w:p>
    <w:p w14:paraId="4940B364" w14:textId="77777777" w:rsidR="00AA0AC6" w:rsidRDefault="006A5822" w:rsidP="001F37DB">
      <w:pPr>
        <w:pStyle w:val="BodyText"/>
        <w:keepNext/>
        <w:spacing w:after="140"/>
        <w:ind w:firstLine="0"/>
      </w:pPr>
      <w:r>
        <w:rPr>
          <w:rStyle w:val="BodyTextChar"/>
        </w:rPr>
        <w:t>Uusi 32 a § Sähkösavukkeiden jne. tunnusomaisten makujen kieltäminen.</w:t>
      </w:r>
    </w:p>
    <w:p w14:paraId="522ED393" w14:textId="77777777" w:rsidR="00AA0AC6" w:rsidRDefault="006A5822">
      <w:pPr>
        <w:pStyle w:val="BodyText"/>
        <w:ind w:firstLine="580"/>
      </w:pPr>
      <w:r>
        <w:rPr>
          <w:rStyle w:val="BodyTextChar"/>
          <w:i/>
        </w:rPr>
        <w:t>On kiellettyä tuoda tai myydä Norjassa sähkösavukkeita ja täyttösäiliöitä, joissa on tunnusomaisia makuja nikotiinipitoisuudesta riippumatta. Sama koskee sä</w:t>
      </w:r>
      <w:r>
        <w:rPr>
          <w:rStyle w:val="BodyTextChar"/>
          <w:i/>
        </w:rPr>
        <w:t>hkösavukkeissa käytettäviä aromiaineita sisältäviä erillisiä säiliöitä.</w:t>
      </w:r>
    </w:p>
    <w:p w14:paraId="69779CD8" w14:textId="77777777" w:rsidR="00AA0AC6" w:rsidRDefault="006A5822">
      <w:pPr>
        <w:pStyle w:val="BodyText"/>
        <w:ind w:firstLine="580"/>
      </w:pPr>
      <w:r>
        <w:rPr>
          <w:rStyle w:val="BodyTextChar"/>
          <w:i/>
        </w:rPr>
        <w:t>Ensimmäisessä momentissa säädettyä kieltoa sovelletaan myös sähkösavukkeiden yhteydessä käytettäviin laitteisiin ja komponentteihin, jotka mahdollistavat tuotteiden maun tai hajun muut</w:t>
      </w:r>
      <w:r>
        <w:rPr>
          <w:rStyle w:val="BodyTextChar"/>
          <w:i/>
        </w:rPr>
        <w:t>tumisen.</w:t>
      </w:r>
    </w:p>
    <w:p w14:paraId="2CC900A2" w14:textId="77777777" w:rsidR="00AA0AC6" w:rsidRDefault="006A5822">
      <w:pPr>
        <w:pStyle w:val="BodyText"/>
        <w:spacing w:after="420"/>
        <w:ind w:firstLine="580"/>
      </w:pPr>
      <w:r>
        <w:rPr>
          <w:rStyle w:val="BodyTextChar"/>
          <w:i/>
        </w:rPr>
        <w:t>Ministeriö voi antaa lisämääräyksiä ensimmäisessä ja toisessa momentissa säädetyistä kielloista, säätää vapautuksia, vahvistaa enimmäismäärät sellaisille lisäaineille tai lisäaineiden yhdistelmille, jotka antavat tunnusomaisen maun, sekä asettaa m</w:t>
      </w:r>
      <w:r>
        <w:rPr>
          <w:rStyle w:val="BodyTextChar"/>
          <w:i/>
        </w:rPr>
        <w:t>aksuja kattamaan viranomaisille kieltojen käsittelystä ja valvonnasta aiheutuvat kulut. Ministeriö voi myös antaa määräyksellä luettelon siitä, mitä aromia määrittäviä lisäaineita voidaan käyttää ainesosina sähkösavukkeissa ja täyttösäiliöissä.</w:t>
      </w:r>
    </w:p>
    <w:p w14:paraId="362A0B7D" w14:textId="77777777" w:rsidR="00AA0AC6" w:rsidRDefault="006A5822">
      <w:pPr>
        <w:pStyle w:val="Heading30"/>
        <w:keepNext/>
        <w:keepLines/>
        <w:spacing w:after="140" w:line="259" w:lineRule="auto"/>
      </w:pPr>
      <w:bookmarkStart w:id="3" w:name="bookmark6"/>
      <w:r>
        <w:rPr>
          <w:rStyle w:val="Heading3"/>
          <w:b/>
        </w:rPr>
        <w:t>Luonnos tup</w:t>
      </w:r>
      <w:r>
        <w:rPr>
          <w:rStyle w:val="Heading3"/>
          <w:b/>
        </w:rPr>
        <w:t>akkatuotteiden sisällöstä, merkinnöistä ja muotoilusta 6 päivänä helmikuuta 2003 annetun asetuksen nro 141 muuttamisesta.</w:t>
      </w:r>
      <w:bookmarkEnd w:id="3"/>
    </w:p>
    <w:p w14:paraId="06077C93" w14:textId="2B6CC7A0" w:rsidR="00AA0AC6" w:rsidRDefault="001F37DB" w:rsidP="001F37DB">
      <w:pPr>
        <w:pStyle w:val="BodyText"/>
        <w:tabs>
          <w:tab w:val="left" w:pos="278"/>
        </w:tabs>
        <w:spacing w:after="140"/>
        <w:ind w:firstLine="0"/>
      </w:pPr>
      <w:r>
        <w:rPr>
          <w:rStyle w:val="BodyTextChar"/>
        </w:rPr>
        <w:t>31 §. Tupakkatuotteiden vähimmäiskoko ja -paino</w:t>
      </w:r>
    </w:p>
    <w:p w14:paraId="6842D5C9" w14:textId="77777777" w:rsidR="00AA0AC6" w:rsidRDefault="006A5822">
      <w:pPr>
        <w:pStyle w:val="BodyText"/>
        <w:ind w:firstLine="580"/>
      </w:pPr>
      <w:r>
        <w:rPr>
          <w:rStyle w:val="BodyTextChar"/>
        </w:rPr>
        <w:t>Kuluttajille myytävässä vähittäismyyntipakkauksessa, jossa on</w:t>
      </w:r>
    </w:p>
    <w:p w14:paraId="67107DAC" w14:textId="77777777" w:rsidR="00AA0AC6" w:rsidRDefault="006A5822">
      <w:pPr>
        <w:pStyle w:val="BodyText"/>
        <w:numPr>
          <w:ilvl w:val="0"/>
          <w:numId w:val="3"/>
        </w:numPr>
        <w:tabs>
          <w:tab w:val="left" w:pos="1286"/>
        </w:tabs>
        <w:spacing w:line="240" w:lineRule="auto"/>
        <w:ind w:firstLine="940"/>
      </w:pPr>
      <w:r>
        <w:rPr>
          <w:rStyle w:val="BodyTextChar"/>
        </w:rPr>
        <w:t>savukkeita, on oltava vä</w:t>
      </w:r>
      <w:r>
        <w:rPr>
          <w:rStyle w:val="BodyTextChar"/>
        </w:rPr>
        <w:t>hintään 20 savuketta.</w:t>
      </w:r>
    </w:p>
    <w:p w14:paraId="7EB220C6" w14:textId="77777777" w:rsidR="00AA0AC6" w:rsidRDefault="006A5822">
      <w:pPr>
        <w:pStyle w:val="BodyText"/>
        <w:numPr>
          <w:ilvl w:val="0"/>
          <w:numId w:val="3"/>
        </w:numPr>
        <w:tabs>
          <w:tab w:val="left" w:pos="1286"/>
          <w:tab w:val="left" w:pos="1300"/>
        </w:tabs>
        <w:spacing w:line="240" w:lineRule="auto"/>
        <w:ind w:firstLine="940"/>
      </w:pPr>
      <w:r>
        <w:rPr>
          <w:rStyle w:val="BodyTextChar"/>
        </w:rPr>
        <w:t>kääretupakkaa on oltava vähintään 30 grammaa</w:t>
      </w:r>
    </w:p>
    <w:p w14:paraId="12A03E59" w14:textId="77777777" w:rsidR="00AA0AC6" w:rsidRDefault="006A5822">
      <w:pPr>
        <w:pStyle w:val="BodyText"/>
        <w:numPr>
          <w:ilvl w:val="0"/>
          <w:numId w:val="3"/>
        </w:numPr>
        <w:tabs>
          <w:tab w:val="left" w:pos="1286"/>
          <w:tab w:val="left" w:pos="1300"/>
        </w:tabs>
        <w:spacing w:line="240" w:lineRule="auto"/>
        <w:ind w:firstLine="940"/>
      </w:pPr>
      <w:r>
        <w:rPr>
          <w:rStyle w:val="BodyTextChar"/>
          <w:i/>
        </w:rPr>
        <w:t>annosnuuskaa on oltava vähintään 20 annosta ja 15 grammaa</w:t>
      </w:r>
    </w:p>
    <w:p w14:paraId="28849DE5" w14:textId="77777777" w:rsidR="00AA0AC6" w:rsidRDefault="006A5822">
      <w:pPr>
        <w:pStyle w:val="BodyText"/>
        <w:numPr>
          <w:ilvl w:val="0"/>
          <w:numId w:val="3"/>
        </w:numPr>
        <w:tabs>
          <w:tab w:val="left" w:pos="1286"/>
        </w:tabs>
        <w:spacing w:line="240" w:lineRule="auto"/>
        <w:ind w:firstLine="940"/>
      </w:pPr>
      <w:r>
        <w:rPr>
          <w:rStyle w:val="BodyTextChar"/>
          <w:i/>
        </w:rPr>
        <w:t>irtonuuskaa on oltava vähintään 30 grammaa.</w:t>
      </w:r>
    </w:p>
    <w:p w14:paraId="02AA3190" w14:textId="77777777" w:rsidR="00AA0AC6" w:rsidRDefault="006A5822">
      <w:pPr>
        <w:pStyle w:val="BodyText"/>
        <w:ind w:firstLine="580"/>
      </w:pPr>
      <w:r>
        <w:rPr>
          <w:rStyle w:val="BodyTextChar"/>
        </w:rPr>
        <w:t xml:space="preserve">Nämä vähittäismyyntipakkaukset eivät saa sisältää pienempiä pakkauksia, eikä niitä saa </w:t>
      </w:r>
      <w:r>
        <w:rPr>
          <w:rStyle w:val="BodyTextChar"/>
        </w:rPr>
        <w:t>jakaa pienempiin pakkauksiin.</w:t>
      </w:r>
    </w:p>
    <w:p w14:paraId="563C0CD8" w14:textId="77777777" w:rsidR="00AA0AC6" w:rsidRDefault="006A5822">
      <w:pPr>
        <w:pStyle w:val="BodyText"/>
        <w:spacing w:after="80"/>
        <w:ind w:firstLine="580"/>
      </w:pPr>
      <w:r>
        <w:rPr>
          <w:rStyle w:val="BodyTextChar"/>
        </w:rPr>
        <w:t>Sikareita voidaan myydä yksittäin pakkauksissa, joissa on terveysvaroitus.</w:t>
      </w:r>
    </w:p>
    <w:sectPr w:rsidR="00AA0AC6">
      <w:footerReference w:type="default" r:id="rId7"/>
      <w:pgSz w:w="11900" w:h="16840"/>
      <w:pgMar w:top="1599" w:right="1432" w:bottom="1855" w:left="1396" w:header="1171"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4F89" w14:textId="77777777" w:rsidR="002E616B" w:rsidRDefault="002E616B">
      <w:r>
        <w:separator/>
      </w:r>
    </w:p>
  </w:endnote>
  <w:endnote w:type="continuationSeparator" w:id="0">
    <w:p w14:paraId="43C0479E" w14:textId="77777777" w:rsidR="002E616B" w:rsidRDefault="002E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2050" w14:textId="77777777" w:rsidR="00AA0AC6" w:rsidRDefault="006A5822">
    <w:pPr>
      <w:spacing w:line="1" w:lineRule="exact"/>
    </w:pPr>
    <w:r>
      <w:rPr>
        <w:noProof/>
      </w:rPr>
      <mc:AlternateContent>
        <mc:Choice Requires="wps">
          <w:drawing>
            <wp:anchor distT="0" distB="0" distL="0" distR="0" simplePos="0" relativeHeight="62914690" behindDoc="1" locked="0" layoutInCell="1" allowOverlap="1" wp14:anchorId="488FE458" wp14:editId="5337D9B0">
              <wp:simplePos x="0" y="0"/>
              <wp:positionH relativeFrom="page">
                <wp:posOffset>3745865</wp:posOffset>
              </wp:positionH>
              <wp:positionV relativeFrom="page">
                <wp:posOffset>10006965</wp:posOffset>
              </wp:positionV>
              <wp:extent cx="3683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0330"/>
                      </a:xfrm>
                      <a:prstGeom prst="rect">
                        <a:avLst/>
                      </a:prstGeom>
                      <a:noFill/>
                    </wps:spPr>
                    <wps:txbx>
                      <w:txbxContent>
                        <w:p w14:paraId="20A706FC" w14:textId="77777777" w:rsidR="00AA0AC6" w:rsidRDefault="006A5822">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w14:anchorId="488FE458" id="_x0000_t202" coordsize="21600,21600" o:spt="202" path="m,l,21600r21600,l21600,xe">
              <v:stroke joinstyle="miter"/>
              <v:path gradientshapeok="t" o:connecttype="rect"/>
            </v:shapetype>
            <v:shape id="Shape 1" o:spid="_x0000_s1026" type="#_x0000_t202" style="position:absolute;margin-left:294.95pt;margin-top:787.95pt;width:2.9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" filled="f" stroked="f">
              <v:textbox style="mso-fit-shape-to-text:t" inset="0,0,0,0">
                <w:txbxContent>
                  <w:p w14:paraId="20A706FC" w14:textId="77777777" w:rsidR="00AA0AC6" w:rsidRDefault="006A5822">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99E2" w14:textId="77777777" w:rsidR="002E616B" w:rsidRDefault="002E616B"/>
  </w:footnote>
  <w:footnote w:type="continuationSeparator" w:id="0">
    <w:p w14:paraId="7675EB7F" w14:textId="77777777" w:rsidR="002E616B" w:rsidRDefault="002E61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B29"/>
    <w:multiLevelType w:val="multilevel"/>
    <w:tmpl w:val="8A4602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7D21F6"/>
    <w:multiLevelType w:val="multilevel"/>
    <w:tmpl w:val="3BBAA5D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CD7421"/>
    <w:multiLevelType w:val="multilevel"/>
    <w:tmpl w:val="BD6C5884"/>
    <w:lvl w:ilvl="0">
      <w:start w:val="4"/>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5376501">
    <w:abstractNumId w:val="2"/>
  </w:num>
  <w:num w:numId="2" w16cid:durableId="1832718140">
    <w:abstractNumId w:val="1"/>
  </w:num>
  <w:num w:numId="3" w16cid:durableId="122290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C6"/>
    <w:rsid w:val="001F37DB"/>
    <w:rsid w:val="002E616B"/>
    <w:rsid w:val="006A5822"/>
    <w:rsid w:val="00AA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F1CA"/>
  <w15:docId w15:val="{D0ABA9B6-12DE-4D0E-9488-FFC0253F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fi-FI"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Cambria" w:eastAsia="Cambria" w:hAnsi="Cambria" w:cs="Cambria"/>
      <w:b w:val="0"/>
      <w:bCs w:val="0"/>
      <w:i w:val="0"/>
      <w:iCs w:val="0"/>
      <w:smallCaps w:val="0"/>
      <w:strike w:val="0"/>
      <w:color w:val="2E74B5"/>
      <w:sz w:val="32"/>
      <w:szCs w:val="32"/>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22"/>
      <w:szCs w:val="22"/>
      <w:u w:val="none"/>
    </w:rPr>
  </w:style>
  <w:style w:type="character" w:customStyle="1" w:styleId="Heading3">
    <w:name w:val="Heading #3_"/>
    <w:basedOn w:val="DefaultParagraphFont"/>
    <w:link w:val="Heading30"/>
    <w:rPr>
      <w:rFonts w:ascii="Cambria" w:eastAsia="Cambria" w:hAnsi="Cambria" w:cs="Cambria"/>
      <w:b/>
      <w:bCs/>
      <w:i w:val="0"/>
      <w:iCs w:val="0"/>
      <w:smallCaps w:val="0"/>
      <w:strike w:val="0"/>
      <w:sz w:val="22"/>
      <w:szCs w:val="22"/>
      <w:u w:val="none"/>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sz w:val="22"/>
      <w:szCs w:val="22"/>
      <w:u w:val="none"/>
    </w:rPr>
  </w:style>
  <w:style w:type="paragraph" w:customStyle="1" w:styleId="Heading10">
    <w:name w:val="Heading #1"/>
    <w:basedOn w:val="Normal"/>
    <w:link w:val="Heading1"/>
    <w:pPr>
      <w:spacing w:after="260"/>
      <w:outlineLvl w:val="0"/>
    </w:pPr>
    <w:rPr>
      <w:rFonts w:ascii="Cambria" w:eastAsia="Cambria" w:hAnsi="Cambria" w:cs="Cambria"/>
      <w:color w:val="2E74B5"/>
      <w:sz w:val="32"/>
      <w:szCs w:val="32"/>
    </w:rPr>
  </w:style>
  <w:style w:type="paragraph" w:customStyle="1" w:styleId="Headerorfooter0">
    <w:name w:val="Header or footer"/>
    <w:basedOn w:val="Normal"/>
    <w:link w:val="Headerorfooter"/>
    <w:rPr>
      <w:rFonts w:ascii="Arial" w:eastAsia="Arial" w:hAnsi="Arial" w:cs="Arial"/>
      <w:sz w:val="22"/>
      <w:szCs w:val="22"/>
    </w:rPr>
  </w:style>
  <w:style w:type="paragraph" w:customStyle="1" w:styleId="Heading20">
    <w:name w:val="Heading #2"/>
    <w:basedOn w:val="Normal"/>
    <w:link w:val="Heading2"/>
    <w:pPr>
      <w:spacing w:after="440"/>
      <w:outlineLvl w:val="1"/>
    </w:pPr>
    <w:rPr>
      <w:rFonts w:ascii="Arial" w:eastAsia="Arial" w:hAnsi="Arial" w:cs="Arial"/>
      <w:sz w:val="22"/>
      <w:szCs w:val="22"/>
    </w:rPr>
  </w:style>
  <w:style w:type="paragraph" w:customStyle="1" w:styleId="Heading30">
    <w:name w:val="Heading #3"/>
    <w:basedOn w:val="Normal"/>
    <w:link w:val="Heading3"/>
    <w:pPr>
      <w:spacing w:after="170" w:line="262" w:lineRule="auto"/>
      <w:outlineLvl w:val="2"/>
    </w:pPr>
    <w:rPr>
      <w:rFonts w:ascii="Cambria" w:eastAsia="Cambria" w:hAnsi="Cambria" w:cs="Cambria"/>
      <w:b/>
      <w:bCs/>
      <w:sz w:val="22"/>
      <w:szCs w:val="22"/>
    </w:rPr>
  </w:style>
  <w:style w:type="paragraph" w:styleId="BodyText">
    <w:name w:val="Body Text"/>
    <w:basedOn w:val="Normal"/>
    <w:link w:val="BodyTextChar"/>
    <w:qFormat/>
    <w:pPr>
      <w:spacing w:line="259" w:lineRule="auto"/>
      <w:ind w:firstLine="400"/>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Helena</dc:creator>
  <cp:keywords/>
  <cp:lastModifiedBy>Liana Brili</cp:lastModifiedBy>
  <cp:revision>3</cp:revision>
  <dcterms:created xsi:type="dcterms:W3CDTF">2023-01-30T12:45:00Z</dcterms:created>
  <dcterms:modified xsi:type="dcterms:W3CDTF">2023-02-06T09:10:00Z</dcterms:modified>
</cp:coreProperties>
</file>