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000000">
      <w:pPr>
        <w:pStyle w:val="Heading10"/>
        <w:keepNext/>
        <w:keepLines/>
      </w:pPr>
      <w:bookmarkStart w:id="0" w:name="bookmark0"/>
      <w:r>
        <w:rPr>
          <w:rStyle w:val="Heading1"/>
        </w:rPr>
        <w:t xml:space="preserve">Dréacht-tograí reachtacha</w:t>
      </w:r>
      <w:bookmarkEnd w:id="0"/>
    </w:p>
    <w:p w14:paraId="08A98031" w14:textId="77777777" w:rsidR="00AA0AC6" w:rsidRDefault="00000000">
      <w:pPr>
        <w:pStyle w:val="Heading20"/>
        <w:keepNext/>
        <w:keepLines/>
      </w:pPr>
      <w:bookmarkStart w:id="1" w:name="bookmark2"/>
      <w:r>
        <w:rPr>
          <w:rStyle w:val="Heading2"/>
        </w:rPr>
        <w:t xml:space="preserve">Déantar breiseanna agus leasuithe a chur isteach agus a leasú.</w:t>
      </w:r>
      <w:bookmarkEnd w:id="1"/>
    </w:p>
    <w:p w14:paraId="69A787FA" w14:textId="77777777" w:rsidR="00AA0AC6" w:rsidRDefault="00000000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 xml:space="preserve">Dréachtleasuithe ar Ghníomh 9 Márta 1973 Uimh. 14 a bhaineann le héifeachtaí dochracha tobac a chosc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 xml:space="preserve">§ 30.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Dearadh caighdeánaithe agus lipéadú pacáistithe agus táirgí</w:t>
      </w:r>
    </w:p>
    <w:p w14:paraId="55131F6E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Toirmisctear pacáistíocht tobac agus táirgí tobac nach de dhearadh caighdeánaithe iad a allmhairiú isteach san Iorua nó a dhíol i gcomhréir le forálacha mionsonraithe arna mbunú ag an Aireacht i rialacháin.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 xml:space="preserve">Baineann an rud céanna le toitíní leictreonacha agus coimeádáin athlíonta, beag beann ar an ábhar nicitín.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Féadfaidh feidhm a bheith ag an gcaighdeánú i.a. maidir le dath, cruth, cuma, ábhar agus lipéadú, lena n-áirítear úsáid ainmneacha branda, lógónna agus eilimintí eile atá ceangailte le brandáil</w:t>
      </w:r>
    </w:p>
    <w:p w14:paraId="59A9A310" w14:textId="77777777" w:rsidR="00AA0AC6" w:rsidRDefault="00000000">
      <w:pPr>
        <w:pStyle w:val="BodyText"/>
        <w:spacing w:after="540"/>
        <w:ind w:firstLine="580"/>
      </w:pPr>
      <w:r>
        <w:rPr>
          <w:rStyle w:val="BodyTextChar"/>
        </w:rPr>
        <w:t xml:space="preserve">Féadfaidh an Aireacht rialacháin a eisiúint i ndáil le caighdeánú comhchosúil ar lipéadú agus ar dhearadh pacáistíochta le haghaidh gabhálais tobac agus ionadaigh tobac, agus díolúintí a dhéanamh do chatagóirí sonracha táirgí.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Féadfaidh an Aireacht, i rialacháin, teorainn a chur leis na cineálacha asraonta miondíola a cheadaítear chun táirgí a dhíol atá díolmhaithe ón gceanglas caighdeánaithe.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 xml:space="preserve">§ 30a.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Rabhadh sláinte agus cur i láthair táirgí</w:t>
      </w:r>
    </w:p>
    <w:p w14:paraId="776E89D9" w14:textId="652A9ACA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Tá toirmeasc ar tháirgí tobac, toitíní leictreonacha agus coimeádáin athlíonta chomh maith le táirgí luibhe le haghaidh caitheamh tobac, nach bhfuil lipéadaithe le rabhaidh sláinte, a allmhairiú isteach san Iorua nó a dhíol.</w:t>
      </w:r>
    </w:p>
    <w:p w14:paraId="66AB4B62" w14:textId="77777777" w:rsidR="00AA0AC6" w:rsidRDefault="00000000">
      <w:pPr>
        <w:pStyle w:val="BodyText"/>
        <w:spacing w:line="240" w:lineRule="auto"/>
        <w:ind w:firstLine="500"/>
      </w:pPr>
      <w:r>
        <w:rPr>
          <w:rStyle w:val="BodyTextChar"/>
        </w:rPr>
        <w:t xml:space="preserve">[Tá toirmeasc ar tháirgí tobac, táirgí luibhe lena gcaitheamh, toitíní leictreonacha agus coimeádáin athlíonta atá lipéadaithe le haon eilimint nó gné a allmhairiú isteach san Iorua nó a dhíol, lena n-áirítear téacsanna, ainmneacha, trádmharcanna, siombailí, comharthaí fíorúla nó comharthaí eile:</w:t>
      </w:r>
    </w:p>
    <w:p w14:paraId="5477CAB0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a chuireann táirge tobac chun cinn nó a spreagann tomhaltas trí thuiscint earráideach a chruthú maidir lena shaintréithe, lena éifeachtaí sláinte, lena rioscaí nó lena astaíochtaí;</w:t>
      </w:r>
    </w:p>
    <w:p w14:paraId="12A7A4D9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aon fhaisnéis maidir le cion nicitín, tarra nó aonocsaíde carbóin an táirge tobac a áireamh;</w:t>
      </w:r>
    </w:p>
    <w:p w14:paraId="446BC351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moltar go bhfuil táirge ar leith níos neamhdhíobhálaí ná a chéile nó go bhfuil airíonna orgánacha, fuinniúla, cneasaithe, athnuachana, nádúrtha, orgánacha aige nó go bhfuil tairbhí sláinte nó stíl mhaireachtála eile ag baint leis;</w:t>
      </w:r>
    </w:p>
    <w:p w14:paraId="7530D3E3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tagraíonn sé do bhlas, do bholadh, d’aon bhlastáin nó do bhreiseáin eile nó dá n-éagmais;</w:t>
      </w:r>
    </w:p>
    <w:p w14:paraId="6D3DA705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atá cosúil le bia nó le táirge cosmaideach;</w:t>
      </w:r>
    </w:p>
    <w:p w14:paraId="713D58E2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 xml:space="preserve">ag moladh go bhfuil buntáistí comhshaoil nó airgeadais ag táirge tobac áirithe.</w:t>
      </w:r>
    </w:p>
    <w:p w14:paraId="5987CFDC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Níl feidhm ag forálacha na chéad </w:t>
      </w:r>
      <w:r>
        <w:rPr>
          <w:rStyle w:val="BodyTextChar"/>
          <w:strike/>
        </w:rPr>
        <w:t xml:space="preserve">agus an </w:t>
      </w:r>
      <w:r>
        <w:rPr>
          <w:rStyle w:val="BodyTextChar"/>
          <w:strike/>
        </w:rPr>
        <w:t xml:space="preserve">dara</w:t>
      </w:r>
      <w:r>
        <w:rPr>
          <w:rStyle w:val="BodyTextChar"/>
        </w:rPr>
        <w:t xml:space="preserve"> mír maidir le r-toitíní indiúscartha gan nicitín ná coimeádáin athlíonta gan nicitín.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Ní </w:t>
      </w:r>
      <w:r>
        <w:rPr>
          <w:rStyle w:val="BodyTextChar"/>
          <w:i/>
        </w:rPr>
        <w:t xml:space="preserve">bheidh</w:t>
      </w:r>
      <w:r>
        <w:rPr>
          <w:rStyle w:val="BodyTextChar"/>
        </w:rPr>
        <w:t xml:space="preserve"> feidhm ag an toirmeasc ar fhaisnéis maidir le cion nicitín sa dara mír litra b </w:t>
      </w:r>
      <w:r>
        <w:rPr>
          <w:rStyle w:val="BodyTextChar"/>
          <w:strike/>
        </w:rPr>
        <w:t xml:space="preserve">agus tagairt á déanamh do bhlastáin in litra d</w:t>
      </w:r>
      <w:r>
        <w:rPr>
          <w:rStyle w:val="BodyTextChar"/>
        </w:rPr>
        <w:t xml:space="preserve"> maidir le toitíní leictreonacha agus coimeádáin athlíonta.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Ní bhaineann an dara mír litra d agus litra f le táirgí luibhe le caitheamh tobac, ach mar sin féin ní cheadaítear a lua go bhfuil an táirge saor ó bhreiseáin nó ó bhlastáin.</w:t>
      </w:r>
    </w:p>
    <w:p w14:paraId="4A3E0B34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Féadfaidh an Aireacht, i rialacháin, forálacha forlíontacha a leagan síos chun na ceanglais sa chéad mhír agus sa dara mír a chur i ngníomh, agus díolmhuithe a dhéanamh uathu.</w:t>
      </w:r>
    </w:p>
    <w:p w14:paraId="4940B364" w14:textId="77777777" w:rsidR="00AA0AC6" w:rsidRDefault="00000000" w:rsidP="001F37DB">
      <w:pPr>
        <w:pStyle w:val="BodyText"/>
        <w:keepNext/>
        <w:spacing w:after="140"/>
        <w:ind w:firstLine="0"/>
      </w:pPr>
      <w:r>
        <w:rPr>
          <w:rStyle w:val="BodyTextChar"/>
        </w:rPr>
        <w:t xml:space="preserve">Nua § 32 a. Toirmeasc ar shaintréithriú a dhéanamh ar bhlasanna i dtoitíní leictreonacha etc.</w:t>
      </w:r>
    </w:p>
    <w:p w14:paraId="522ED393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Tá toirmeasc ar thoitíní leictreonacha agus coimeádáin athlíonta a allmhairiú isteach san Iorua nó a dhíol inti, beag beann ar ábhar nicitín, a bhfuil blasanna tréithrithe orthu.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Is amhlaidh an cás maidir le coimeádáin ar leith de bhreiseáin bhlaistithe atá le húsáid i dtoitíní leictreonacha.</w:t>
      </w:r>
    </w:p>
    <w:p w14:paraId="69779CD8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Tá feidhm ag an toirmeasc sa chéad mhír freisin maidir le trealamh agus comhpháirteanna a úsáidtear i ndáil le toitíní leictreonacha, rud a fhágann gur féidir blas nó boladh na dtáirgí a athrú.</w:t>
      </w:r>
    </w:p>
    <w:p w14:paraId="2CC900A2" w14:textId="77777777" w:rsidR="00AA0AC6" w:rsidRDefault="00000000">
      <w:pPr>
        <w:pStyle w:val="BodyText"/>
        <w:spacing w:after="420"/>
        <w:ind w:firstLine="580"/>
      </w:pPr>
      <w:r>
        <w:rPr>
          <w:rStyle w:val="BodyTextChar"/>
          <w:i/>
        </w:rPr>
        <w:t xml:space="preserve">Féadfaidh an Aireacht rialacháin fhorlíontacha a dhéanamh maidir leis na toirmisc sa chéad mhír agus sa dara mír, díolúintí a dhéanamh, uasleibhéil breiseán nó teaglamaí de bhreiseáin a shocrú a thugann sainbhlas, agus táillí a shocrú chun go gclúdóidh na rialtais a láimhseálann agus a dhéanann maoirseacht ar na toirmisc.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Féadfaidh an Aireacht freisin, i rialacháin, liosta a ghlacadh a bhfuil sé ceadaithe breiseáin a úsáid mar chomhábhair i dtoitíní leictreonacha agus i gcoimeádáin athlíonta.</w:t>
      </w:r>
    </w:p>
    <w:p w14:paraId="362A0B7D" w14:textId="77777777" w:rsidR="00AA0AC6" w:rsidRDefault="00000000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 xml:space="preserve">Dréachtleasuithe ar Rialacháin 6 Feabhra 2003 Uimh. 141 maidir le hinneachar, lipéadú agus dearadh táirgí tobac etc.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 xml:space="preserve">§ 31.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Íosmhéid agus meáchan le haghaidh táirgí tobac</w:t>
      </w:r>
    </w:p>
    <w:p w14:paraId="6842D5C9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Aonad paicéid atá le díol le tomhaltóirí ina bhfuil</w:t>
      </w:r>
    </w:p>
    <w:p w14:paraId="67107DAC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 xml:space="preserve">beidh ar a laghad 20 toitín i dtoitíní</w:t>
      </w:r>
    </w:p>
    <w:p w14:paraId="7EB220C6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 xml:space="preserve">beidh 30 gram ar a laghad sa tobac rollta</w:t>
      </w:r>
    </w:p>
    <w:p w14:paraId="12A03E59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 xml:space="preserve">beidh 20 cuid agus 15 gram ar a laghad sna codanna tobac lena n-úsáid de bhéal</w:t>
      </w:r>
    </w:p>
    <w:p w14:paraId="28849DE5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 xml:space="preserve">tobac scaoilte le haghaidh snus béil ar a laghad 30 gram.</w:t>
      </w:r>
    </w:p>
    <w:p w14:paraId="02AA3190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Ní mór nach mbeidh paicéid níos lú sna paicéid aonaid seo agus ní féidir iad a dháileadh i bpaicéid níos lú.</w:t>
      </w:r>
    </w:p>
    <w:p w14:paraId="563C0CD8" w14:textId="77777777" w:rsidR="00AA0AC6" w:rsidRDefault="00000000">
      <w:pPr>
        <w:pStyle w:val="BodyText"/>
        <w:spacing w:after="80"/>
        <w:ind w:firstLine="580"/>
      </w:pPr>
      <w:r>
        <w:rPr>
          <w:rStyle w:val="BodyTextChar"/>
        </w:rPr>
        <w:t xml:space="preserve">Is féidir todóga a dhíol ina n-aonar le rabhaidh sláinte ar an bpacáistiú.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000000">
    <w:pPr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000000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4999999999999pt;margin-top:787.95000000000005pt;width:2.89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ga-IE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2</cp:revision>
  <dcterms:created xsi:type="dcterms:W3CDTF">2023-01-30T12:45:00Z</dcterms:created>
  <dcterms:modified xsi:type="dcterms:W3CDTF">2023-01-30T12:49:00Z</dcterms:modified>
</cp:coreProperties>
</file>