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24F15" w14:textId="77777777" w:rsidR="00BC362D" w:rsidRDefault="002C54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right="5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b/>
          <w:color w:val="000000"/>
        </w:rPr>
        <w:t xml:space="preserve">   </w:t>
      </w:r>
    </w:p>
    <w:p w14:paraId="04A0BE89" w14:textId="77777777" w:rsidR="00BC362D" w:rsidRDefault="00BC362D">
      <w:pPr>
        <w:tabs>
          <w:tab w:val="left" w:pos="567"/>
        </w:tabs>
        <w:jc w:val="both"/>
        <w:rPr>
          <w:rFonts w:ascii="Franklin Gothic Medium" w:hAnsi="Franklin Gothic Medium" w:cs="Franklin Gothic Medium"/>
        </w:rPr>
      </w:pPr>
    </w:p>
    <w:p w14:paraId="25BA4272" w14:textId="628C9FF3" w:rsidR="00BC362D" w:rsidRDefault="00BC362D">
      <w:pPr>
        <w:tabs>
          <w:tab w:val="left" w:pos="567"/>
        </w:tabs>
        <w:jc w:val="both"/>
        <w:rPr>
          <w:rFonts w:ascii="Franklin Gothic Medium" w:hAnsi="Franklin Gothic Medium" w:cs="Franklin Gothic Medium"/>
        </w:rPr>
      </w:pPr>
    </w:p>
    <w:p w14:paraId="7593DD7D" w14:textId="47E1289C" w:rsidR="00BC362D" w:rsidRDefault="003F36C3">
      <w:pPr>
        <w:rPr>
          <w:rFonts w:ascii="Franklin Gothic Medium" w:hAnsi="Franklin Gothic Medium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7AC1AB" wp14:editId="2721FF28">
                <wp:simplePos x="0" y="0"/>
                <wp:positionH relativeFrom="column">
                  <wp:posOffset>57150</wp:posOffset>
                </wp:positionH>
                <wp:positionV relativeFrom="paragraph">
                  <wp:posOffset>1367790</wp:posOffset>
                </wp:positionV>
                <wp:extent cx="3371850" cy="3810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8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5EFCA0" w14:textId="705800A8" w:rsidR="003F36C3" w:rsidRPr="003F36C3" w:rsidRDefault="003F36C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GENERÁLNÍ ŘEDITELSTVÍ VŠEOBECNÉ CHEMICKÉ STÁTNÍ LABORATOŘE (GCSL)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7AC1A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.5pt;margin-top:107.7pt;width:265.5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" fillcolor="white [3201]" stroked="f" strokeweight=".5pt">
                <v:textbox inset="0,0,0,0">
                  <w:txbxContent>
                    <w:p w14:paraId="715EFCA0" w14:textId="705800A8" w:rsidR="003F36C3" w:rsidRPr="003F36C3" w:rsidRDefault="003F36C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</w:rPr>
                        <w:t>GENERÁLNÍ ŘEDITELSTVÍ VŠEOBECNÉ CHEMICKÉ STÁTNÍ LABORATOŘE (GCSL)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85DD79" wp14:editId="3655ABDA">
                <wp:simplePos x="0" y="0"/>
                <wp:positionH relativeFrom="column">
                  <wp:posOffset>920196</wp:posOffset>
                </wp:positionH>
                <wp:positionV relativeFrom="paragraph">
                  <wp:posOffset>713643</wp:posOffset>
                </wp:positionV>
                <wp:extent cx="1892461" cy="654323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2461" cy="6543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D30DC3" w14:textId="155927BE" w:rsidR="003F36C3" w:rsidRPr="003F36C3" w:rsidRDefault="003F36C3">
                            <w:pPr>
                              <w:rPr>
                                <w:b/>
                                <w:bCs/>
                                <w:color w:val="17365D" w:themeColor="text2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  <w:sz w:val="28"/>
                              </w:rPr>
                              <w:t>IAPR</w:t>
                            </w:r>
                          </w:p>
                          <w:p w14:paraId="18565C99" w14:textId="2F7C2893" w:rsidR="003F36C3" w:rsidRPr="003F36C3" w:rsidRDefault="003F36C3">
                            <w:pPr>
                              <w:rPr>
                                <w:b/>
                                <w:bCs/>
                                <w:color w:val="17365D" w:themeColor="text2" w:themeShade="BF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</w:rPr>
                              <w:t>Nezávislý orgán pro veřejné příjmy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85DD79" id="Text Box 3" o:spid="_x0000_s1027" type="#_x0000_t202" style="position:absolute;margin-left:72.45pt;margin-top:56.2pt;width:149pt;height:51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" fillcolor="white [3201]" stroked="f" strokeweight=".5pt">
                <v:textbox>
                  <w:txbxContent>
                    <w:p w14:paraId="0CD30DC3" w14:textId="155927BE" w:rsidR="003F36C3" w:rsidRPr="003F36C3" w:rsidRDefault="003F36C3">
                      <w:pPr>
                        <w:rPr>
                          <w:b/>
                          <w:bCs/>
                          <w:color w:val="17365D" w:themeColor="text2" w:themeShade="B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17365D" w:themeColor="text2" w:themeShade="BF"/>
                          <w:sz w:val="28"/>
                        </w:rPr>
                        <w:t>IAPR</w:t>
                      </w:r>
                    </w:p>
                    <w:p w14:paraId="18565C99" w14:textId="2F7C2893" w:rsidR="003F36C3" w:rsidRPr="003F36C3" w:rsidRDefault="003F36C3">
                      <w:pPr>
                        <w:rPr>
                          <w:b/>
                          <w:bCs/>
                          <w:color w:val="17365D" w:themeColor="text2" w:themeShade="BF"/>
                        </w:rPr>
                      </w:pPr>
                      <w:r>
                        <w:rPr>
                          <w:b/>
                          <w:color w:val="17365D" w:themeColor="text2" w:themeShade="BF"/>
                        </w:rPr>
                        <w:t>Nezávislý orgán pro veřejné příjmy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ACA289" wp14:editId="0AE486EE">
                <wp:simplePos x="0" y="0"/>
                <wp:positionH relativeFrom="column">
                  <wp:posOffset>106166</wp:posOffset>
                </wp:positionH>
                <wp:positionV relativeFrom="paragraph">
                  <wp:posOffset>500083</wp:posOffset>
                </wp:positionV>
                <wp:extent cx="2413321" cy="231494"/>
                <wp:effectExtent l="0" t="0" r="635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321" cy="2314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645682" w14:textId="6DD35366" w:rsidR="003F36C3" w:rsidRPr="003F36C3" w:rsidRDefault="003F36C3" w:rsidP="003F36C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ŘECKÁ REPUBLIKA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ACA289" id="Text Box 2" o:spid="_x0000_s1028" type="#_x0000_t202" style="position:absolute;margin-left:8.35pt;margin-top:39.4pt;width:190.05pt;height:1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" fillcolor="white [3201]" stroked="f" strokeweight=".5pt">
                <v:textbox>
                  <w:txbxContent>
                    <w:p w14:paraId="24645682" w14:textId="6DD35366" w:rsidR="003F36C3" w:rsidRPr="003F36C3" w:rsidRDefault="003F36C3" w:rsidP="003F36C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 xml:space="preserve">ŘECKÁ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REPUBLIKA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BB9330C" wp14:editId="1AE8263C">
            <wp:extent cx="2809875" cy="1570990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204" t="-331" r="-204" b="-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57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  <w:t>Atény  28. 2. 2023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3F36C3" w:rsidRPr="003F36C3" w14:paraId="1E87CC1D" w14:textId="77777777" w:rsidTr="003F36C3">
        <w:tc>
          <w:tcPr>
            <w:tcW w:w="4868" w:type="dxa"/>
          </w:tcPr>
          <w:p w14:paraId="102919E4" w14:textId="31B56309" w:rsidR="003F36C3" w:rsidRPr="003F36C3" w:rsidRDefault="003F36C3" w:rsidP="003F36C3">
            <w:pPr>
              <w:ind w:left="-19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b/>
              </w:rPr>
              <w:t>ŘEDITELSTVÍ PRO ENERGETICKÉ, PRŮMYSLOVÉ A CHEMICKÉ PRODUKTY</w:t>
            </w:r>
          </w:p>
        </w:tc>
        <w:tc>
          <w:tcPr>
            <w:tcW w:w="4868" w:type="dxa"/>
          </w:tcPr>
          <w:p w14:paraId="13D2F182" w14:textId="56EBE142" w:rsidR="003F36C3" w:rsidRPr="003F36C3" w:rsidRDefault="003F36C3" w:rsidP="003452CC">
            <w:pPr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b/>
              </w:rPr>
              <w:tab/>
            </w:r>
            <w:r>
              <w:rPr>
                <w:rFonts w:ascii="Franklin Gothic Medium" w:hAnsi="Franklin Gothic Medium"/>
                <w:b/>
              </w:rPr>
              <w:tab/>
            </w:r>
            <w:r>
              <w:rPr>
                <w:rFonts w:ascii="Franklin Gothic Medium" w:hAnsi="Franklin Gothic Medium"/>
                <w:b/>
              </w:rPr>
              <w:tab/>
            </w:r>
            <w:r>
              <w:rPr>
                <w:rFonts w:ascii="Franklin Gothic Medium" w:hAnsi="Franklin Gothic Medium"/>
                <w:b/>
              </w:rPr>
              <w:tab/>
            </w:r>
            <w:r>
              <w:rPr>
                <w:rFonts w:ascii="Franklin Gothic Medium" w:hAnsi="Franklin Gothic Medium"/>
                <w:b/>
              </w:rPr>
              <w:tab/>
            </w:r>
            <w:r>
              <w:rPr>
                <w:rFonts w:ascii="Franklin Gothic Medium" w:hAnsi="Franklin Gothic Medium"/>
                <w:b/>
              </w:rPr>
              <w:tab/>
            </w:r>
            <w:r>
              <w:rPr>
                <w:rFonts w:ascii="Franklin Gothic Medium" w:hAnsi="Franklin Gothic Medium"/>
                <w:b/>
              </w:rPr>
              <w:tab/>
            </w:r>
            <w:r>
              <w:rPr>
                <w:rFonts w:ascii="Franklin Gothic Medium" w:hAnsi="Franklin Gothic Medium"/>
                <w:b/>
              </w:rPr>
              <w:tab/>
              <w:t>Protokol č. 30/004/000/291</w:t>
            </w:r>
          </w:p>
        </w:tc>
      </w:tr>
      <w:tr w:rsidR="003F36C3" w:rsidRPr="003F36C3" w14:paraId="711D2285" w14:textId="77777777" w:rsidTr="003F36C3">
        <w:tc>
          <w:tcPr>
            <w:tcW w:w="4868" w:type="dxa"/>
          </w:tcPr>
          <w:p w14:paraId="5AAE3DBD" w14:textId="77777777" w:rsidR="003F36C3" w:rsidRPr="003F36C3" w:rsidRDefault="003F36C3" w:rsidP="003452CC">
            <w:pPr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b/>
              </w:rPr>
              <w:t>ODDĚLENÍ A – ENERGETICKÉ PRODUKTY</w:t>
            </w:r>
          </w:p>
        </w:tc>
        <w:tc>
          <w:tcPr>
            <w:tcW w:w="4868" w:type="dxa"/>
          </w:tcPr>
          <w:p w14:paraId="69836741" w14:textId="77777777" w:rsidR="003F36C3" w:rsidRPr="003F36C3" w:rsidRDefault="003F36C3" w:rsidP="003452CC">
            <w:pPr>
              <w:jc w:val="both"/>
              <w:rPr>
                <w:rFonts w:ascii="Franklin Gothic Medium" w:hAnsi="Franklin Gothic Medium"/>
              </w:rPr>
            </w:pPr>
          </w:p>
        </w:tc>
      </w:tr>
    </w:tbl>
    <w:p w14:paraId="5F3138B9" w14:textId="77777777" w:rsidR="00BC362D" w:rsidRDefault="002C54B9">
      <w:pPr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Adresa:  16, An. Tsocha st., 115 21 Atény</w:t>
      </w:r>
    </w:p>
    <w:p w14:paraId="7E59EA25" w14:textId="77777777" w:rsidR="00BC362D" w:rsidRPr="002C54B9" w:rsidRDefault="002C54B9">
      <w:pPr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Informace: Nikitas Nomikos</w:t>
      </w:r>
    </w:p>
    <w:p w14:paraId="5A787E95" w14:textId="77777777" w:rsidR="00BC362D" w:rsidRPr="002C54B9" w:rsidRDefault="002C54B9">
      <w:pPr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Tel.: 210 6479247</w:t>
      </w:r>
    </w:p>
    <w:p w14:paraId="5B9CFEC2" w14:textId="77777777" w:rsidR="00BC362D" w:rsidRPr="002C54B9" w:rsidRDefault="002C54B9">
      <w:pPr>
        <w:jc w:val="both"/>
      </w:pPr>
      <w:r>
        <w:rPr>
          <w:rFonts w:ascii="Franklin Gothic Medium" w:hAnsi="Franklin Gothic Medium"/>
        </w:rPr>
        <w:t xml:space="preserve">e-mail: </w:t>
      </w:r>
      <w:hyperlink r:id="rId8">
        <w:r>
          <w:rPr>
            <w:rStyle w:val="Hyperlink"/>
            <w:rFonts w:ascii="Franklin Gothic Medium" w:hAnsi="Franklin Gothic Medium"/>
          </w:rPr>
          <w:t>petrochemicals.gcsl@aade.gr</w:t>
        </w:r>
      </w:hyperlink>
      <w:r>
        <w:rPr>
          <w:rFonts w:ascii="Franklin Gothic Medium" w:hAnsi="Franklin Gothic Medium"/>
        </w:rPr>
        <w:tab/>
      </w:r>
      <w:r>
        <w:rPr>
          <w:rFonts w:ascii="Franklin Gothic Medium" w:hAnsi="Franklin Gothic Medium"/>
        </w:rPr>
        <w:tab/>
      </w:r>
      <w:r>
        <w:rPr>
          <w:rFonts w:ascii="Franklin Gothic Medium" w:hAnsi="Franklin Gothic Medium"/>
          <w:b/>
        </w:rPr>
        <w:t>K rukám</w:t>
      </w:r>
      <w:r>
        <w:rPr>
          <w:rFonts w:ascii="Franklin Gothic Medium" w:hAnsi="Franklin Gothic Medium"/>
          <w:b/>
          <w:u w:val="single"/>
        </w:rPr>
        <w:t>:</w:t>
      </w:r>
      <w:r>
        <w:rPr>
          <w:rFonts w:ascii="Franklin Gothic Medium" w:hAnsi="Franklin Gothic Medium"/>
          <w:b/>
        </w:rPr>
        <w:t xml:space="preserve">  </w:t>
      </w:r>
    </w:p>
    <w:p w14:paraId="30E63025" w14:textId="77777777" w:rsidR="00BC362D" w:rsidRDefault="002C54B9">
      <w:pPr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  <w:t>Úřad Nejvyšší rady pro chemické látky (SCC)</w:t>
      </w:r>
    </w:p>
    <w:p w14:paraId="09D1C2DA" w14:textId="77777777" w:rsidR="00BC362D" w:rsidRDefault="002C54B9">
      <w:pPr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  <w:u w:val="single"/>
        </w:rPr>
        <w:t>Interní rozdělovník:</w:t>
      </w:r>
    </w:p>
    <w:p w14:paraId="4F2CDCA4" w14:textId="77777777" w:rsidR="00BC362D" w:rsidRDefault="002C54B9">
      <w:pPr>
        <w:pStyle w:val="ListParagraph"/>
        <w:numPr>
          <w:ilvl w:val="0"/>
          <w:numId w:val="1"/>
        </w:numPr>
        <w:tabs>
          <w:tab w:val="left" w:pos="4413"/>
        </w:tabs>
        <w:spacing w:after="0" w:line="240" w:lineRule="auto"/>
        <w:ind w:left="4229" w:firstLine="0"/>
        <w:contextualSpacing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sz w:val="24"/>
        </w:rPr>
        <w:t>Úřad vedoucího generálního ředitelství GCSL</w:t>
      </w:r>
    </w:p>
    <w:p w14:paraId="0719694E" w14:textId="77777777" w:rsidR="00BC362D" w:rsidRDefault="002C54B9">
      <w:pPr>
        <w:pStyle w:val="ListParagraph"/>
        <w:numPr>
          <w:ilvl w:val="0"/>
          <w:numId w:val="1"/>
        </w:numPr>
        <w:tabs>
          <w:tab w:val="left" w:pos="4413"/>
        </w:tabs>
        <w:spacing w:after="0" w:line="240" w:lineRule="auto"/>
        <w:ind w:left="4229" w:firstLine="0"/>
        <w:contextualSpacing/>
      </w:pPr>
      <w:r>
        <w:rPr>
          <w:rStyle w:val="Hyperlink"/>
          <w:rFonts w:ascii="Franklin Gothic Medium" w:hAnsi="Franklin Gothic Medium"/>
          <w:b/>
          <w:color w:val="000000"/>
          <w:sz w:val="24"/>
          <w:highlight w:val="white"/>
          <w:u w:val="none"/>
        </w:rPr>
        <w:t xml:space="preserve">Ředitelství pro energetiku, průmyslové a chemické výrobky    </w:t>
      </w:r>
    </w:p>
    <w:p w14:paraId="74E9941F" w14:textId="77777777" w:rsidR="00BC362D" w:rsidRDefault="00BC362D">
      <w:pPr>
        <w:tabs>
          <w:tab w:val="left" w:pos="5400"/>
        </w:tabs>
        <w:ind w:left="6120"/>
        <w:rPr>
          <w:rFonts w:ascii="Franklin Gothic Medium" w:hAnsi="Franklin Gothic Medium" w:cs="Franklin Gothic Medium"/>
          <w:b/>
          <w:bCs/>
          <w:color w:val="828C93"/>
          <w:highlight w:val="white"/>
        </w:rPr>
      </w:pPr>
    </w:p>
    <w:p w14:paraId="3FE471B5" w14:textId="77777777" w:rsidR="00BC362D" w:rsidRDefault="002C54B9">
      <w:pPr>
        <w:tabs>
          <w:tab w:val="left" w:pos="567"/>
        </w:tabs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b/>
          <w:u w:val="single"/>
        </w:rPr>
        <w:t>Věc:</w:t>
      </w:r>
      <w:r>
        <w:rPr>
          <w:rFonts w:ascii="Franklin Gothic Medium" w:hAnsi="Franklin Gothic Medium"/>
          <w:b/>
        </w:rPr>
        <w:t xml:space="preserve"> Návrh doporučení pro přijetí rozhodnutí Nejvyšší rady pro chemické látky (SCC) nazvaného „Lodní paliva – Požadavky, zkušební metody a postupy pro barvení a značení sledovací látkou v případě lodního plynového oleje a lodní motorové nafty“.</w:t>
      </w:r>
    </w:p>
    <w:p w14:paraId="39EAFDC1" w14:textId="77777777" w:rsidR="00BC362D" w:rsidRDefault="00BC362D">
      <w:pPr>
        <w:tabs>
          <w:tab w:val="left" w:pos="567"/>
        </w:tabs>
        <w:jc w:val="both"/>
        <w:rPr>
          <w:rFonts w:ascii="Franklin Gothic Medium" w:hAnsi="Franklin Gothic Medium" w:cs="Franklin Gothic Medium"/>
        </w:rPr>
      </w:pPr>
    </w:p>
    <w:p w14:paraId="07159628" w14:textId="77777777" w:rsidR="00BC362D" w:rsidRDefault="00BC362D">
      <w:pPr>
        <w:tabs>
          <w:tab w:val="left" w:pos="567"/>
        </w:tabs>
        <w:jc w:val="both"/>
        <w:rPr>
          <w:rFonts w:ascii="Franklin Gothic Medium" w:hAnsi="Franklin Gothic Medium" w:cs="Franklin Gothic Medium"/>
        </w:rPr>
      </w:pPr>
    </w:p>
    <w:p w14:paraId="622E231E" w14:textId="77777777" w:rsidR="00BC362D" w:rsidRDefault="002C54B9">
      <w:pPr>
        <w:tabs>
          <w:tab w:val="left" w:pos="567"/>
        </w:tabs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 xml:space="preserve">Ředitelství pro energetiku, průmyslové a chemické výrobky Všeobecné chemické státní laboratoře při výkonu svých povinností jako příslušného orgánu pro stanovení specifikací pro energetické produkty stanoví specifikace, zkušební metody a postup pro </w:t>
      </w:r>
      <w:r>
        <w:rPr>
          <w:rFonts w:ascii="Franklin Gothic Medium" w:hAnsi="Franklin Gothic Medium"/>
          <w:color w:val="000000"/>
          <w:shd w:val="clear" w:color="auto" w:fill="FFFFFF"/>
        </w:rPr>
        <w:t>barvení a značení sledovací látkou v případě lodních paliv,</w:t>
      </w:r>
      <w:r>
        <w:rPr>
          <w:rFonts w:ascii="Franklin Gothic Medium" w:hAnsi="Franklin Gothic Medium"/>
        </w:rPr>
        <w:t xml:space="preserve"> a to s ohledem na: </w:t>
      </w:r>
    </w:p>
    <w:p w14:paraId="1F0624A5" w14:textId="77777777" w:rsidR="00BC362D" w:rsidRDefault="002C54B9">
      <w:pPr>
        <w:tabs>
          <w:tab w:val="left" w:pos="0"/>
        </w:tabs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 xml:space="preserve">1. Skutečnost, že šesté vydání normy ELOT ISO 8217:2017 obsahuje významné změny. Tyto zahrnují podstatné změny oblasti působnosti (bod 1) a obecných požadavků (bod 5). Změny v destilovaných palivech zahrnují toto: </w:t>
      </w:r>
    </w:p>
    <w:p w14:paraId="49B89340" w14:textId="77777777" w:rsidR="00BC362D" w:rsidRDefault="002C54B9">
      <w:pPr>
        <w:ind w:left="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— Byly přidány další kategorie (třídy), DFA, DFZ a DFB s maximálním obsahem methylesterů mastných kyselin (FAME) 7,0 % objemových.</w:t>
      </w:r>
    </w:p>
    <w:p w14:paraId="48F5D8C3" w14:textId="77777777" w:rsidR="00BC362D" w:rsidRDefault="002C54B9">
      <w:pPr>
        <w:ind w:left="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— Obsah síry ve třídách DMA a DMZ byl snížen na nejvýše 1,00 % hmotnostních.</w:t>
      </w:r>
    </w:p>
    <w:p w14:paraId="1A899ADE" w14:textId="77777777" w:rsidR="00BC362D" w:rsidRDefault="002C54B9">
      <w:pPr>
        <w:ind w:left="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— Obsah síry třídy DMB byl snížen na nejvýše 1,50 % hmotnostních.</w:t>
      </w:r>
    </w:p>
    <w:p w14:paraId="2C06EAF3" w14:textId="77777777" w:rsidR="00BC362D" w:rsidRDefault="002C54B9">
      <w:pPr>
        <w:ind w:left="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— Do zimních typů DMA a DMZ byly doplněny požadavky na tyto vlastnosti: bod zákalu a teplota neprůchodnosti filtrem za studena.</w:t>
      </w:r>
    </w:p>
    <w:p w14:paraId="20703DE0" w14:textId="77777777" w:rsidR="00BC362D" w:rsidRDefault="00BC362D">
      <w:pPr>
        <w:ind w:left="360"/>
        <w:jc w:val="both"/>
        <w:rPr>
          <w:rFonts w:ascii="Franklin Gothic Medium" w:hAnsi="Franklin Gothic Medium"/>
        </w:rPr>
      </w:pPr>
    </w:p>
    <w:p w14:paraId="0D028CCD" w14:textId="77777777" w:rsidR="00BC362D" w:rsidRDefault="002C54B9">
      <w:pPr>
        <w:ind w:left="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Následující přílohy, které byly dříve zahrnuty, byly zrušeny, ale základní informace jsou obsaženy v hlavním textu této normy nebo jsou k dispozici v příslušných publikacích:</w:t>
      </w:r>
    </w:p>
    <w:p w14:paraId="35E04075" w14:textId="77777777" w:rsidR="00BC362D" w:rsidRDefault="002C54B9">
      <w:pPr>
        <w:ind w:left="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— Obsah síry.</w:t>
      </w:r>
    </w:p>
    <w:p w14:paraId="771593E1" w14:textId="77777777" w:rsidR="00BC362D" w:rsidRDefault="002C54B9">
      <w:pPr>
        <w:ind w:left="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— Bod vzplanutí.</w:t>
      </w:r>
    </w:p>
    <w:p w14:paraId="11D7149B" w14:textId="77777777" w:rsidR="00BC362D" w:rsidRDefault="002C54B9">
      <w:pPr>
        <w:ind w:left="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— Zbytky katalyzátoru.</w:t>
      </w:r>
    </w:p>
    <w:p w14:paraId="033E2726" w14:textId="77777777" w:rsidR="00BC362D" w:rsidRDefault="002C54B9">
      <w:pPr>
        <w:ind w:left="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— Přesnost a interpretace výsledků zkoušek.</w:t>
      </w:r>
    </w:p>
    <w:p w14:paraId="0270900F" w14:textId="77777777" w:rsidR="00BC362D" w:rsidRDefault="002C54B9">
      <w:pPr>
        <w:tabs>
          <w:tab w:val="left" w:pos="0"/>
        </w:tabs>
        <w:ind w:left="-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lastRenderedPageBreak/>
        <w:tab/>
      </w:r>
      <w:r>
        <w:rPr>
          <w:rFonts w:ascii="Franklin Gothic Medium" w:hAnsi="Franklin Gothic Medium"/>
          <w:color w:val="000000"/>
        </w:rPr>
        <w:tab/>
        <w:t>Všechny ostatní přílohy byly revidovány a aktualizovány.</w:t>
      </w:r>
    </w:p>
    <w:p w14:paraId="33534C38" w14:textId="77777777" w:rsidR="00BC362D" w:rsidRDefault="002C54B9">
      <w:pPr>
        <w:tabs>
          <w:tab w:val="left" w:pos="0"/>
        </w:tabs>
        <w:ind w:left="-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ab/>
      </w:r>
    </w:p>
    <w:p w14:paraId="1D9FD6BC" w14:textId="77777777" w:rsidR="00BC362D" w:rsidRDefault="002C54B9">
      <w:pPr>
        <w:tabs>
          <w:tab w:val="left" w:pos="0"/>
        </w:tabs>
        <w:ind w:left="-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>2.  Přijetí rozhodnutí SCC 94/2021 o doplnění nové vnitrostátní látky pro daňové značení lodního plynového oleje a lodní motorové nafty, s účinnou látkou 1,3,5-tris(1,1-dimethylethyl)-benzen a obchodním názvem TRACERCO FT36.</w:t>
      </w:r>
    </w:p>
    <w:p w14:paraId="17FDA6B1" w14:textId="77777777" w:rsidR="00BC362D" w:rsidRDefault="00BC362D">
      <w:pPr>
        <w:tabs>
          <w:tab w:val="left" w:pos="0"/>
        </w:tabs>
        <w:ind w:left="-360"/>
        <w:jc w:val="both"/>
        <w:rPr>
          <w:rFonts w:ascii="Franklin Gothic Medium" w:hAnsi="Franklin Gothic Medium"/>
        </w:rPr>
      </w:pPr>
    </w:p>
    <w:p w14:paraId="78F09735" w14:textId="77777777" w:rsidR="00BC362D" w:rsidRDefault="002C54B9">
      <w:pPr>
        <w:tabs>
          <w:tab w:val="left" w:pos="0"/>
        </w:tabs>
        <w:ind w:left="-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 xml:space="preserve">3.  Provedení prováděcího rozhodnutí Komise (EU) 2022/197 ze dne 17.1.2022 do vnitrostátního práva rozhodnutím SCC 30/2022, kterým se stanovuje </w:t>
      </w:r>
      <w:bookmarkStart w:id="0" w:name="_Hlk128994119"/>
      <w:r>
        <w:rPr>
          <w:rFonts w:ascii="Franklin Gothic Medium" w:hAnsi="Franklin Gothic Medium"/>
          <w:color w:val="000000"/>
        </w:rPr>
        <w:t>ACCUTRACE</w:t>
      </w:r>
      <w:r>
        <w:rPr>
          <w:rFonts w:ascii="Franklin Gothic Medium" w:hAnsi="Franklin Gothic Medium"/>
          <w:color w:val="000000"/>
          <w:vertAlign w:val="superscript"/>
        </w:rPr>
        <w:t>TM</w:t>
      </w:r>
      <w:r>
        <w:rPr>
          <w:rFonts w:ascii="Franklin Gothic Medium" w:hAnsi="Franklin Gothic Medium"/>
          <w:color w:val="000000"/>
        </w:rPr>
        <w:t xml:space="preserve"> PLUS </w:t>
      </w:r>
      <w:bookmarkEnd w:id="0"/>
      <w:r>
        <w:rPr>
          <w:rFonts w:ascii="Franklin Gothic Medium" w:hAnsi="Franklin Gothic Medium"/>
          <w:color w:val="000000"/>
        </w:rPr>
        <w:t>jako společná látka pro daňové značení lodního plynového oleje a lodní motorové nafty.</w:t>
      </w:r>
    </w:p>
    <w:p w14:paraId="40E5D453" w14:textId="77777777" w:rsidR="00BC362D" w:rsidRDefault="00BC362D">
      <w:pPr>
        <w:tabs>
          <w:tab w:val="left" w:pos="0"/>
        </w:tabs>
        <w:ind w:left="-360"/>
        <w:jc w:val="both"/>
        <w:rPr>
          <w:rFonts w:ascii="Franklin Gothic Medium" w:hAnsi="Franklin Gothic Medium" w:cs="Franklin Gothic Medium"/>
          <w:lang w:eastAsia="zh-CN"/>
        </w:rPr>
      </w:pPr>
    </w:p>
    <w:p w14:paraId="4C0F4899" w14:textId="77777777" w:rsidR="00BC362D" w:rsidRDefault="002C54B9">
      <w:pPr>
        <w:shd w:val="clear" w:color="auto" w:fill="FFFFFF"/>
        <w:tabs>
          <w:tab w:val="left" w:pos="0"/>
        </w:tabs>
        <w:ind w:left="-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4.  Dopisy SDRUŽENÍ MAJITELŮ VÝLETNÍCH LODÍ A PROVOZOVATELŮ NÁMOŘNÍ DOPRAVY s protokolem č. 241/1–12–2022 a protokolem č. 255/9 – 12 – 2022.</w:t>
      </w:r>
    </w:p>
    <w:p w14:paraId="0160E443" w14:textId="77777777" w:rsidR="00BC362D" w:rsidRDefault="00BC362D">
      <w:pPr>
        <w:shd w:val="clear" w:color="auto" w:fill="FFFFFF"/>
        <w:tabs>
          <w:tab w:val="left" w:pos="0"/>
        </w:tabs>
        <w:ind w:left="-360"/>
        <w:jc w:val="both"/>
        <w:rPr>
          <w:rFonts w:ascii="Franklin Gothic Medium" w:hAnsi="Franklin Gothic Medium"/>
        </w:rPr>
      </w:pPr>
    </w:p>
    <w:p w14:paraId="7D21872C" w14:textId="77777777" w:rsidR="00BC362D" w:rsidRDefault="002C54B9">
      <w:pPr>
        <w:shd w:val="clear" w:color="auto" w:fill="FFFFFF"/>
        <w:tabs>
          <w:tab w:val="left" w:pos="0"/>
        </w:tabs>
        <w:ind w:left="-36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5.  Směrnici Evropského parlamentu a Rady (EU) 2015/1535 ze dne 9. září 2015 o postupu při poskytování informací v oblasti technických předpisů a předpisů pro služby informační společnosti, provedenou do vnitrostátního práva výnosem prezidenta 81/2018.</w:t>
      </w:r>
    </w:p>
    <w:p w14:paraId="0A4BA2F7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right="57"/>
        <w:jc w:val="both"/>
        <w:rPr>
          <w:rFonts w:ascii="Franklin Gothic Medium" w:hAnsi="Franklin Gothic Medium"/>
        </w:rPr>
      </w:pPr>
    </w:p>
    <w:p w14:paraId="12B7A60A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right="57"/>
        <w:jc w:val="both"/>
        <w:rPr>
          <w:rFonts w:ascii="Franklin Gothic Medium" w:hAnsi="Franklin Gothic Medium"/>
        </w:rPr>
      </w:pPr>
    </w:p>
    <w:p w14:paraId="2A698BFA" w14:textId="77777777" w:rsidR="00BC362D" w:rsidRDefault="002C54B9">
      <w:pPr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</w:p>
    <w:p w14:paraId="2E2BAE18" w14:textId="77777777" w:rsidR="00BC362D" w:rsidRDefault="00BC362D">
      <w:pPr>
        <w:jc w:val="both"/>
        <w:rPr>
          <w:rFonts w:ascii="Franklin Gothic Medium" w:hAnsi="Franklin Gothic Medium"/>
        </w:rPr>
      </w:pPr>
    </w:p>
    <w:p w14:paraId="5CC29201" w14:textId="77777777" w:rsidR="00BC362D" w:rsidRDefault="00BC362D">
      <w:pPr>
        <w:jc w:val="both"/>
        <w:rPr>
          <w:rFonts w:ascii="Franklin Gothic Medium" w:hAnsi="Franklin Gothic Medium"/>
        </w:rPr>
      </w:pPr>
    </w:p>
    <w:p w14:paraId="2F680E8D" w14:textId="77777777" w:rsidR="00BC362D" w:rsidRDefault="00BC362D">
      <w:pPr>
        <w:jc w:val="both"/>
        <w:rPr>
          <w:rFonts w:ascii="Franklin Gothic Medium" w:hAnsi="Franklin Gothic Medium"/>
        </w:rPr>
      </w:pPr>
    </w:p>
    <w:p w14:paraId="4602F710" w14:textId="77777777" w:rsidR="00BC362D" w:rsidRDefault="002C54B9">
      <w:pPr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  <w:t>Vedoucí ředitelství</w:t>
      </w:r>
    </w:p>
    <w:p w14:paraId="7ACCF15B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23543A61" w14:textId="77777777" w:rsidR="00BC362D" w:rsidRDefault="002C54B9">
      <w:pPr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</w:r>
      <w:r>
        <w:rPr>
          <w:rFonts w:ascii="Franklin Gothic Medium" w:hAnsi="Franklin Gothic Medium"/>
          <w:b/>
        </w:rPr>
        <w:tab/>
        <w:t xml:space="preserve">  Eftychia Dima</w:t>
      </w:r>
    </w:p>
    <w:p w14:paraId="71505AB3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32B47F76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518AA436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4ECA9D5C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4E03A1EC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7C67A9DB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2FEC2F92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12E9B501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2AD1AD59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48F3FBD5" w14:textId="41B2702E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758675AA" w14:textId="425CFC9C" w:rsidR="002C54B9" w:rsidRDefault="002C54B9">
      <w:pPr>
        <w:jc w:val="both"/>
        <w:rPr>
          <w:rFonts w:ascii="Franklin Gothic Medium" w:hAnsi="Franklin Gothic Medium" w:cs="Franklin Gothic Medium"/>
          <w:b/>
        </w:rPr>
      </w:pPr>
    </w:p>
    <w:p w14:paraId="0453BE46" w14:textId="77777777" w:rsidR="002C54B9" w:rsidRDefault="002C54B9">
      <w:pPr>
        <w:jc w:val="both"/>
        <w:rPr>
          <w:rFonts w:ascii="Franklin Gothic Medium" w:hAnsi="Franklin Gothic Medium" w:cs="Franklin Gothic Medium"/>
          <w:b/>
        </w:rPr>
      </w:pPr>
    </w:p>
    <w:p w14:paraId="531105AD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4F139BE2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3E50055E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1EEABFF1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2ED23D65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528A120C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15E345B5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4AF5E115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55C8C289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11DBEECB" w14:textId="77777777" w:rsidR="00BC362D" w:rsidRDefault="00BC362D" w:rsidP="00C163DC">
      <w:pPr>
        <w:pageBreakBefore/>
        <w:jc w:val="both"/>
        <w:rPr>
          <w:rFonts w:ascii="Franklin Gothic Medium" w:hAnsi="Franklin Gothic Medium" w:cs="Franklin Gothic Medium"/>
          <w:b/>
        </w:rPr>
      </w:pPr>
    </w:p>
    <w:p w14:paraId="3D64A03D" w14:textId="77777777" w:rsidR="00BC362D" w:rsidRDefault="00BC362D">
      <w:pPr>
        <w:jc w:val="both"/>
        <w:rPr>
          <w:rFonts w:ascii="Franklin Gothic Medium" w:hAnsi="Franklin Gothic Medium" w:cs="Franklin Gothic Medium"/>
          <w:b/>
        </w:rPr>
      </w:pPr>
    </w:p>
    <w:p w14:paraId="58640A5E" w14:textId="77777777" w:rsidR="00BC362D" w:rsidRDefault="002C54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right="57"/>
        <w:jc w:val="center"/>
        <w:rPr>
          <w:rFonts w:ascii="Franklin Gothic Medium" w:hAnsi="Franklin Gothic Medium"/>
        </w:rPr>
      </w:pPr>
      <w:r>
        <w:rPr>
          <w:rFonts w:ascii="Franklin Gothic Medium" w:hAnsi="Franklin Gothic Medium"/>
          <w:b/>
          <w:color w:val="000000"/>
          <w:u w:val="single"/>
        </w:rPr>
        <w:t>NÁVRH DOPORUČENÍ</w:t>
      </w:r>
    </w:p>
    <w:p w14:paraId="10EE998F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right="57"/>
        <w:jc w:val="center"/>
        <w:rPr>
          <w:rFonts w:ascii="Franklin Gothic Medium" w:hAnsi="Franklin Gothic Medium" w:cs="Franklin Gothic Medium"/>
          <w:b/>
          <w:color w:val="000000"/>
          <w:u w:val="single"/>
          <w:lang w:eastAsia="en-US"/>
        </w:rPr>
      </w:pPr>
    </w:p>
    <w:p w14:paraId="2C85BB86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right="57"/>
        <w:jc w:val="center"/>
        <w:rPr>
          <w:rFonts w:ascii="Franklin Gothic Medium" w:hAnsi="Franklin Gothic Medium"/>
        </w:rPr>
      </w:pPr>
    </w:p>
    <w:p w14:paraId="2177BC7A" w14:textId="77777777" w:rsidR="00BC362D" w:rsidRDefault="002C54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right="5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b/>
          <w:color w:val="000000"/>
        </w:rPr>
        <w:t>„Námořní paliva – Požadavky, zkušební metody a postupy pro barvení a značení sledovací látkou v případě lodního plynového oleje a lodní motorové nafty.“</w:t>
      </w:r>
    </w:p>
    <w:p w14:paraId="09866206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right="57"/>
        <w:jc w:val="both"/>
        <w:rPr>
          <w:rFonts w:ascii="Franklin Gothic Medium" w:hAnsi="Franklin Gothic Medium" w:cs="Courier New"/>
          <w:color w:val="000000"/>
          <w:lang w:eastAsia="en-US"/>
        </w:rPr>
      </w:pPr>
    </w:p>
    <w:p w14:paraId="036B4185" w14:textId="77777777" w:rsidR="00BC362D" w:rsidRDefault="002C54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right="5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 xml:space="preserve"> </w:t>
      </w:r>
    </w:p>
    <w:p w14:paraId="44BD4DC7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Článek 1</w:t>
      </w:r>
    </w:p>
    <w:p w14:paraId="2D5DA98E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Předmět – oblast působnosti</w:t>
      </w:r>
    </w:p>
    <w:p w14:paraId="7D3E7364" w14:textId="77777777" w:rsidR="00BC362D" w:rsidRDefault="00BC362D">
      <w:pPr>
        <w:pStyle w:val="HTMLPreformatted"/>
        <w:shd w:val="clear" w:color="auto" w:fill="FFFFFF"/>
        <w:ind w:left="57" w:right="57"/>
        <w:jc w:val="center"/>
        <w:rPr>
          <w:b/>
          <w:bCs/>
          <w:color w:val="000000"/>
        </w:rPr>
      </w:pPr>
    </w:p>
    <w:p w14:paraId="5FDDB61E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 Toto rozhodnutí se vztahuje na minimální požadavky, které musí splňovat všechny kategorie (třídy) lodních paliv vyrobených z ropy, jak je uvedeno ve vnitrostátní a mezinárodní normě ELOT ISO 8216-1:2017, jakož i postupy pro nakládání s nimi. </w:t>
      </w:r>
    </w:p>
    <w:p w14:paraId="57A0813A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>V příloze je zahrnuta tabulka s kategoriemi lodních paliv uvedenými v tomto rozhodnutí.</w:t>
      </w:r>
    </w:p>
    <w:p w14:paraId="438A703A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310038F6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709611AD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Článek 2</w:t>
      </w:r>
    </w:p>
    <w:p w14:paraId="483111A8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Definice</w:t>
      </w:r>
    </w:p>
    <w:p w14:paraId="1D7F44F5" w14:textId="77777777" w:rsidR="00BC362D" w:rsidRDefault="00BC362D">
      <w:pPr>
        <w:pStyle w:val="HTMLPreformatted"/>
        <w:shd w:val="clear" w:color="auto" w:fill="FFFFFF"/>
        <w:ind w:left="57" w:right="57"/>
        <w:jc w:val="center"/>
        <w:rPr>
          <w:b/>
          <w:bCs/>
          <w:color w:val="000000"/>
        </w:rPr>
      </w:pPr>
    </w:p>
    <w:p w14:paraId="36852633" w14:textId="77777777" w:rsidR="00BC362D" w:rsidRDefault="002C54B9">
      <w:pPr>
        <w:numPr>
          <w:ilvl w:val="0"/>
          <w:numId w:val="11"/>
        </w:numPr>
        <w:ind w:left="57" w:right="5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 xml:space="preserve">Lodní palivo: jak je definováno v čl. 2 odst. 3 společného ministerského rozhodnutí 128/2016 (Β΄3958) „Harmonizace řeckých právních předpisů se směrnicí Evropského parlamentu a Rady (EU) 2016/802 ze dne 11. května 2016 o snižování obsahu síry v některých kapalných palivech“, </w:t>
      </w:r>
      <w:r>
        <w:rPr>
          <w:rFonts w:ascii="Franklin Gothic Medium" w:hAnsi="Franklin Gothic Medium"/>
        </w:rPr>
        <w:t>v platném znění.</w:t>
      </w:r>
    </w:p>
    <w:p w14:paraId="2D173909" w14:textId="77777777" w:rsidR="00BC362D" w:rsidRDefault="002C54B9">
      <w:pPr>
        <w:numPr>
          <w:ilvl w:val="0"/>
          <w:numId w:val="12"/>
        </w:numPr>
        <w:ind w:left="57" w:right="5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Lodní motorová nafta: jak je definována v čl. 2 odst. 4 společného ministerského rozhodnutí č. 128/2016 (Β΄3958) „</w:t>
      </w:r>
      <w:r>
        <w:rPr>
          <w:rFonts w:ascii="Franklin Gothic Medium" w:hAnsi="Franklin Gothic Medium"/>
          <w:color w:val="000000"/>
        </w:rPr>
        <w:t xml:space="preserve">Harmonizace řeckých právních předpisů se směrnicí Evropského parlamentu a Rady (EU) 2016/802 ze dne 11. května 2016 o snižování obsahu síry v některých kapalných palivech“, </w:t>
      </w:r>
      <w:r>
        <w:rPr>
          <w:rFonts w:ascii="Franklin Gothic Medium" w:hAnsi="Franklin Gothic Medium"/>
        </w:rPr>
        <w:t>v platném znění.</w:t>
      </w:r>
    </w:p>
    <w:p w14:paraId="6EF3E52F" w14:textId="77777777" w:rsidR="00BC362D" w:rsidRDefault="002C54B9">
      <w:pPr>
        <w:numPr>
          <w:ilvl w:val="0"/>
          <w:numId w:val="13"/>
        </w:numPr>
        <w:ind w:left="57" w:right="5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Lodní plynový olej: jak je definován v čl. 2 odst. 5 společného ministerského rozhodnutí č. 128/2016 (Β΄3958) „</w:t>
      </w:r>
      <w:r>
        <w:rPr>
          <w:rFonts w:ascii="Franklin Gothic Medium" w:hAnsi="Franklin Gothic Medium"/>
          <w:color w:val="000000"/>
        </w:rPr>
        <w:t xml:space="preserve">Harmonizace řeckých právních předpisů se směrnicí Evropského parlamentu a Rady (EU) 2016/802 ze dne 11. května 2016 o snižování obsahu síry v některých kapalných palivech“, </w:t>
      </w:r>
      <w:r>
        <w:rPr>
          <w:rFonts w:ascii="Franklin Gothic Medium" w:hAnsi="Franklin Gothic Medium"/>
        </w:rPr>
        <w:t>v platném znění.</w:t>
      </w:r>
    </w:p>
    <w:p w14:paraId="1DAC30E4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71DC5532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2CBD4C1C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Článek 3</w:t>
      </w:r>
    </w:p>
    <w:p w14:paraId="751DAC34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Požadavky</w:t>
      </w:r>
    </w:p>
    <w:p w14:paraId="0E644586" w14:textId="77777777" w:rsidR="00BC362D" w:rsidRDefault="00BC362D">
      <w:pPr>
        <w:pStyle w:val="HTMLPreformatted"/>
        <w:shd w:val="clear" w:color="auto" w:fill="FFFFFF"/>
        <w:ind w:left="57" w:right="57"/>
        <w:jc w:val="center"/>
        <w:rPr>
          <w:b/>
          <w:bCs/>
          <w:color w:val="000000"/>
        </w:rPr>
      </w:pPr>
    </w:p>
    <w:p w14:paraId="37CBD842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 </w:t>
      </w:r>
      <w:r>
        <w:rPr>
          <w:rFonts w:ascii="Franklin Gothic Medium" w:hAnsi="Franklin Gothic Medium"/>
          <w:sz w:val="24"/>
        </w:rPr>
        <w:t>Paliva uvedená v článku 1 tohoto rozhodnutí musí splňovat požadavky vnitrostátní a mezinárodní normy ELOT ISO 8217:2017, s výjimkou těchto požadavků:</w:t>
      </w:r>
    </w:p>
    <w:p w14:paraId="223426C2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 </w:t>
      </w:r>
      <w:r>
        <w:rPr>
          <w:rFonts w:ascii="Franklin Gothic Medium" w:hAnsi="Franklin Gothic Medium"/>
          <w:color w:val="000000"/>
          <w:sz w:val="24"/>
          <w:u w:val="single"/>
        </w:rPr>
        <w:t>3,1 Síra</w:t>
      </w:r>
    </w:p>
    <w:p w14:paraId="45BF9E98" w14:textId="77777777" w:rsidR="00BC362D" w:rsidRDefault="002C54B9">
      <w:pPr>
        <w:ind w:left="57" w:right="5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Maximální obsah síry v těchto palivech je upraven společným ministerským rozhodnutím 128/2016 (Β΄3958) „</w:t>
      </w:r>
      <w:r>
        <w:rPr>
          <w:rFonts w:ascii="Franklin Gothic Medium" w:hAnsi="Franklin Gothic Medium"/>
          <w:color w:val="000000"/>
        </w:rPr>
        <w:t xml:space="preserve">Harmonizace řeckých právních předpisů se směrnicí Evropského parlamentu a Rady (EU) 2016/802 ze dne 11. května 2016 o snižování obsahu síry v některých kapalných palivech“, </w:t>
      </w:r>
      <w:r>
        <w:rPr>
          <w:rFonts w:ascii="Franklin Gothic Medium" w:hAnsi="Franklin Gothic Medium"/>
        </w:rPr>
        <w:t>v platném znění.</w:t>
      </w:r>
    </w:p>
    <w:p w14:paraId="6333F6F2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</w:p>
    <w:p w14:paraId="5B9597ED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  <w:u w:val="single"/>
        </w:rPr>
        <w:t>3.2. Barvy a sledovací látky</w:t>
      </w:r>
    </w:p>
    <w:p w14:paraId="14F23C29" w14:textId="77777777" w:rsidR="00BC362D" w:rsidRDefault="002C54B9">
      <w:pPr>
        <w:pStyle w:val="HTMLPreformatted"/>
        <w:shd w:val="clear" w:color="auto" w:fill="FFFFFF"/>
        <w:ind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Lodní </w:t>
      </w:r>
      <w:r>
        <w:rPr>
          <w:rFonts w:ascii="Franklin Gothic Medium" w:hAnsi="Franklin Gothic Medium"/>
          <w:sz w:val="24"/>
        </w:rPr>
        <w:t xml:space="preserve">plynový olej </w:t>
      </w:r>
      <w:r>
        <w:rPr>
          <w:rFonts w:ascii="Franklin Gothic Medium" w:hAnsi="Franklin Gothic Medium"/>
          <w:color w:val="000000"/>
          <w:sz w:val="24"/>
        </w:rPr>
        <w:t>a lodní motorová nafta jsou černé.</w:t>
      </w:r>
    </w:p>
    <w:p w14:paraId="2BFABB4D" w14:textId="77777777" w:rsidR="00BC362D" w:rsidRDefault="002C54B9">
      <w:pPr>
        <w:ind w:right="5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V případě lodního plynového oleje a lodní motorové nafty, které mají jinou sazbu spotřební daně než sazba motorové nafty a/nebo topného plynového oleje, se doplňují tyto látky pro daňové značení:</w:t>
      </w:r>
    </w:p>
    <w:p w14:paraId="4CF03A9C" w14:textId="77777777" w:rsidR="00BC362D" w:rsidRDefault="002C54B9">
      <w:pPr>
        <w:ind w:right="5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lastRenderedPageBreak/>
        <w:t>3.2.1 Jako evropská značkovací látka, ACCUTRACE</w:t>
      </w:r>
      <w:r>
        <w:rPr>
          <w:rFonts w:ascii="Franklin Gothic Medium" w:hAnsi="Franklin Gothic Medium"/>
          <w:color w:val="000000"/>
          <w:vertAlign w:val="superscript"/>
        </w:rPr>
        <w:t>TMε</w:t>
      </w:r>
      <w:r>
        <w:rPr>
          <w:rFonts w:ascii="Franklin Gothic Medium" w:hAnsi="Franklin Gothic Medium"/>
          <w:color w:val="000000"/>
        </w:rPr>
        <w:t xml:space="preserve"> PLUS, v souladu s prováděcím rozhodnutím Evropské komise 2022/197 a rozhodnutím SCC 30/2022, „</w:t>
      </w:r>
      <w:r>
        <w:rPr>
          <w:rFonts w:ascii="Franklin Gothic Medium" w:hAnsi="Franklin Gothic Medium"/>
          <w:color w:val="000000"/>
          <w:shd w:val="clear" w:color="auto" w:fill="FFFFFF"/>
        </w:rPr>
        <w:t>Provedení prováděcího rozhodnutí Komise (EU) 2022/197 ze dne 17/1/2022, kterým se stanovuje ACCUTRACE</w:t>
      </w:r>
      <w:r>
        <w:rPr>
          <w:rFonts w:ascii="Franklin Gothic Medium" w:hAnsi="Franklin Gothic Medium"/>
          <w:color w:val="000000"/>
          <w:shd w:val="clear" w:color="auto" w:fill="FFFFFF"/>
          <w:vertAlign w:val="superscript"/>
        </w:rPr>
        <w:t>TM</w:t>
      </w:r>
      <w:r>
        <w:rPr>
          <w:rFonts w:ascii="Franklin Gothic Medium" w:hAnsi="Franklin Gothic Medium"/>
          <w:color w:val="000000"/>
          <w:shd w:val="clear" w:color="auto" w:fill="FFFFFF"/>
        </w:rPr>
        <w:t xml:space="preserve"> PLUS jako společná látka pro daňové značení topného plynového oleje, lodního plynového oleje a lodní motorové nafty, jakož i lampového oleje (topného petroleje), zkušební metody pro jeho stanovení a související technické požadavky do vnitrostátního práva</w:t>
      </w:r>
      <w:r>
        <w:rPr>
          <w:rFonts w:ascii="Franklin Gothic Medium" w:hAnsi="Franklin Gothic Medium"/>
          <w:color w:val="000000"/>
        </w:rPr>
        <w:t xml:space="preserve">“ (Β’ </w:t>
      </w:r>
      <w:r>
        <w:rPr>
          <w:rFonts w:ascii="Franklin Gothic Medium" w:hAnsi="Franklin Gothic Medium"/>
          <w:color w:val="000000"/>
          <w:highlight w:val="yellow"/>
        </w:rPr>
        <w:t>Χ</w:t>
      </w:r>
      <w:r>
        <w:rPr>
          <w:rFonts w:ascii="Franklin Gothic Medium" w:hAnsi="Franklin Gothic Medium"/>
          <w:color w:val="000000"/>
        </w:rPr>
        <w:t>/2022).</w:t>
      </w:r>
    </w:p>
    <w:p w14:paraId="37055102" w14:textId="77777777" w:rsidR="00BC362D" w:rsidRDefault="002C54B9">
      <w:pPr>
        <w:ind w:right="5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>3.2.2 Jako vnitrostátní značkovací látka, látka definovaná v rozhodnutí SCC 94/2021, „</w:t>
      </w:r>
      <w:r>
        <w:rPr>
          <w:rFonts w:ascii="Franklin Gothic Medium" w:hAnsi="Franklin Gothic Medium"/>
          <w:color w:val="000000"/>
          <w:shd w:val="clear" w:color="auto" w:fill="FFFFFF"/>
        </w:rPr>
        <w:t>Daňové značení lodního plynového oleje a lodní motorové nafty  pomocí značkovací látky molekulární technologie, zkušební metody pro jeho stanovení a související technické požadavky “</w:t>
      </w:r>
      <w:r>
        <w:rPr>
          <w:rFonts w:ascii="Franklin Gothic Medium" w:hAnsi="Franklin Gothic Medium"/>
          <w:color w:val="000000"/>
        </w:rPr>
        <w:t xml:space="preserve">, (Β’ </w:t>
      </w:r>
      <w:r>
        <w:rPr>
          <w:rFonts w:ascii="Franklin Gothic Medium" w:hAnsi="Franklin Gothic Medium"/>
          <w:color w:val="000000"/>
          <w:highlight w:val="yellow"/>
        </w:rPr>
        <w:t>Y</w:t>
      </w:r>
      <w:r>
        <w:rPr>
          <w:rFonts w:ascii="Franklin Gothic Medium" w:hAnsi="Franklin Gothic Medium"/>
          <w:color w:val="000000"/>
        </w:rPr>
        <w:t>/2022).</w:t>
      </w:r>
    </w:p>
    <w:p w14:paraId="62018780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6FB8282B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06E9DE54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Článek 4</w:t>
      </w:r>
    </w:p>
    <w:p w14:paraId="5502F4C9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Postupy barvení a značení sledovací látkou</w:t>
      </w:r>
    </w:p>
    <w:p w14:paraId="6D75ACAA" w14:textId="77777777" w:rsidR="00BC362D" w:rsidRDefault="00BC362D">
      <w:pPr>
        <w:pStyle w:val="HTMLPreformatted"/>
        <w:shd w:val="clear" w:color="auto" w:fill="FFFFFF"/>
        <w:ind w:left="57" w:right="57"/>
        <w:jc w:val="center"/>
        <w:rPr>
          <w:b/>
          <w:bCs/>
          <w:color w:val="000000"/>
        </w:rPr>
      </w:pPr>
    </w:p>
    <w:p w14:paraId="566DFA4E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1. </w:t>
      </w:r>
      <w:r>
        <w:rPr>
          <w:rFonts w:ascii="Franklin Gothic Medium" w:hAnsi="Franklin Gothic Medium"/>
          <w:sz w:val="24"/>
        </w:rPr>
        <w:t>Lodní plynový olej a lodní motorová nafta vyráběné řeckými rafineriemi nebo rafineriemi členského státu Evropské unie nebo třetí země mohou být barveny a značeny sledovací látkou buď v rafinériích nebo v zařízeních (daňových skladech) ropných společností.</w:t>
      </w:r>
    </w:p>
    <w:p w14:paraId="5428689D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>2.  V případě řeckých rafinérií a ropných společností se sídlem v Řecku se barvení a značení sledovací látkou provádí v rámci jejich péče a na jejich výhradní odpovědnost, v každém případě před vydáním ke spotřebě.</w:t>
      </w:r>
    </w:p>
    <w:p w14:paraId="2D42268E" w14:textId="77777777" w:rsidR="00BC362D" w:rsidRDefault="002C54B9">
      <w:pPr>
        <w:pStyle w:val="HTMLPreformatted"/>
        <w:shd w:val="clear" w:color="auto" w:fill="FFFFFF"/>
        <w:tabs>
          <w:tab w:val="clear" w:pos="916"/>
          <w:tab w:val="clear" w:pos="1832"/>
          <w:tab w:val="clear" w:pos="2748"/>
          <w:tab w:val="left" w:pos="360"/>
        </w:tabs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</w:rPr>
        <w:t xml:space="preserve">Lodní plynový olej </w:t>
      </w:r>
      <w:r>
        <w:rPr>
          <w:rFonts w:ascii="Franklin Gothic Medium" w:hAnsi="Franklin Gothic Medium"/>
          <w:color w:val="000000"/>
          <w:sz w:val="24"/>
        </w:rPr>
        <w:t>a lodní motorová nafta určené k přímému zásobování lodí a člunů budou i nadále dodávány barvené a označené sledovací látkou.</w:t>
      </w:r>
    </w:p>
    <w:p w14:paraId="5DCDCF0E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>3.  V každém případě může příslušný celní orgán, ať už za přítomnosti chemika GCSL, či nikoli, na základě svého uvážení, před výstupem nebo při výstupu oleje/nafty z rafinérií nebo zařízení společností odebrat vzorky a předat je příslušným útvarům GCSL za účelem ověření souladu s podmínkami stanovenými v článku 3 tohoto rozhodnutí.</w:t>
      </w:r>
    </w:p>
    <w:p w14:paraId="3B8D3224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>4.  Skladování a obecně nakládání s palivy uvedenými v článku 1 tohoto rozhodnutí na řeckém území provádějí společnosti obchodující s ropou, které jsou držiteli licencí podle zákona 3054/2002 (Vládní věstník 230/A/2002), v pozměněném a platném znění.</w:t>
      </w:r>
    </w:p>
    <w:p w14:paraId="32C951B1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5.  </w:t>
      </w:r>
      <w:r>
        <w:rPr>
          <w:rFonts w:ascii="Franklin Gothic Medium" w:hAnsi="Franklin Gothic Medium"/>
          <w:sz w:val="24"/>
        </w:rPr>
        <w:t>Zkouška týkající se barvení v případě lodního plynového oleje a lodní motorové nafty se provádí makroskopicky.</w:t>
      </w:r>
      <w:r>
        <w:rPr>
          <w:rFonts w:ascii="Franklin Gothic Medium" w:hAnsi="Franklin Gothic Medium"/>
          <w:color w:val="000000"/>
          <w:sz w:val="24"/>
        </w:rPr>
        <w:t xml:space="preserve"> </w:t>
      </w:r>
    </w:p>
    <w:p w14:paraId="704FB922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6.  Značkovací látky definované v čl. 3 odst. 3.2.1 a 3.2.2 tohoto rozhodnutí se kvantifikují v laboratořích, jak je popsáno v metodách uvedených v článku 3 rozhodnutí SCC </w:t>
      </w:r>
      <w:r>
        <w:rPr>
          <w:rFonts w:ascii="Franklin Gothic Medium" w:hAnsi="Franklin Gothic Medium"/>
          <w:color w:val="000000"/>
          <w:sz w:val="24"/>
          <w:shd w:val="clear" w:color="auto" w:fill="FFFFFF"/>
        </w:rPr>
        <w:t>30</w:t>
      </w:r>
      <w:r>
        <w:rPr>
          <w:rFonts w:ascii="Franklin Gothic Medium" w:hAnsi="Franklin Gothic Medium"/>
          <w:color w:val="000000"/>
          <w:sz w:val="24"/>
        </w:rPr>
        <w:t>/2022 a v článku 3 rozhodnutí SCC 94/2021.</w:t>
      </w:r>
    </w:p>
    <w:p w14:paraId="3D7E3248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2D5BC169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34179709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Článek 5</w:t>
      </w:r>
    </w:p>
    <w:p w14:paraId="080A0F76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Odběr vzorků – zkoušky – zkušební metody</w:t>
      </w:r>
    </w:p>
    <w:p w14:paraId="04FFD785" w14:textId="77777777" w:rsidR="00BC362D" w:rsidRDefault="00BC362D">
      <w:pPr>
        <w:pStyle w:val="HTMLPreformatted"/>
        <w:shd w:val="clear" w:color="auto" w:fill="FFFFFF"/>
        <w:ind w:left="57" w:right="57"/>
        <w:jc w:val="center"/>
        <w:rPr>
          <w:b/>
          <w:bCs/>
          <w:color w:val="000000"/>
        </w:rPr>
      </w:pPr>
    </w:p>
    <w:p w14:paraId="65FBBEE3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1.   Odběr vzorků paliv uvedených v článku 1 tohoto rozhodnutí se provádí v souladu s normou ELOT ISO 13739 a/nebo v souladu se společným ministerským rozhodnutím č. 54/2015 „Postupy odběru vzorků, kontroly a posudku o správnosti nebo nepravidelnosti vzorků kapalných paliv“ (dále jen „462/2016“) a/nebo v souladu se společným ministerským rozhodnutím </w:t>
      </w:r>
      <w:r>
        <w:rPr>
          <w:rStyle w:val="fontstyle35"/>
          <w:rFonts w:ascii="Franklin Gothic Medium" w:hAnsi="Franklin Gothic Medium"/>
          <w:color w:val="000000"/>
          <w:sz w:val="24"/>
        </w:rPr>
        <w:t>128/2016</w:t>
      </w:r>
      <w:r>
        <w:rPr>
          <w:rFonts w:ascii="Franklin Gothic Medium" w:hAnsi="Franklin Gothic Medium"/>
          <w:color w:val="000000"/>
          <w:sz w:val="24"/>
        </w:rPr>
        <w:t xml:space="preserve"> „Harmonizace řeckých právních předpisů se směrnicí Evropského parlamentu a Rady (EU) 2016/802 ze dne 11. května 2016 o snížení obsahu síry v některých kapalných palivech“, (Β’ 3958/2016), v platném znění. V případě, že zkušební metody vyžadují speciální metodu odběru vzorků, použije se tato metoda.</w:t>
      </w:r>
    </w:p>
    <w:p w14:paraId="05D705CD" w14:textId="77777777" w:rsidR="00BC362D" w:rsidRDefault="002C54B9">
      <w:pPr>
        <w:pStyle w:val="HTMLPreformatted"/>
        <w:shd w:val="clear" w:color="auto" w:fill="FFFFFF"/>
        <w:ind w:left="57" w:right="57"/>
        <w:jc w:val="both"/>
      </w:pPr>
      <w:r>
        <w:rPr>
          <w:rFonts w:ascii="Franklin Gothic Medium" w:hAnsi="Franklin Gothic Medium"/>
          <w:color w:val="000000"/>
          <w:sz w:val="24"/>
        </w:rPr>
        <w:t xml:space="preserve">2.   Vzorky budou přezkoumány postupem uvedeným v platném společném ministerském rozhodnutí č. 54/2015 „Postupy odběru vzorků, zkoumání a posudku o správnosti nebo </w:t>
      </w:r>
      <w:r>
        <w:rPr>
          <w:rFonts w:ascii="Franklin Gothic Medium" w:hAnsi="Franklin Gothic Medium"/>
          <w:color w:val="000000"/>
          <w:sz w:val="24"/>
        </w:rPr>
        <w:lastRenderedPageBreak/>
        <w:t xml:space="preserve">nepravidelnosti vzorků kapalných paliv“ a/nebo v souladu se společným ministerským rozhodnutím </w:t>
      </w:r>
      <w:r>
        <w:rPr>
          <w:rStyle w:val="fontstyle35"/>
          <w:rFonts w:ascii="Franklin Gothic Medium" w:hAnsi="Franklin Gothic Medium"/>
          <w:color w:val="000000"/>
          <w:sz w:val="24"/>
        </w:rPr>
        <w:t xml:space="preserve">128/2016 </w:t>
      </w:r>
      <w:r>
        <w:rPr>
          <w:rFonts w:ascii="Franklin Gothic Medium" w:hAnsi="Franklin Gothic Medium"/>
          <w:color w:val="000000"/>
          <w:sz w:val="24"/>
        </w:rPr>
        <w:t xml:space="preserve"> „Harmonizace řeckých právních předpisů se směrnicí Evropského parlamentu a Rady (EU) 2016/802 ze dne 11. května 2016 o snížení obsahu síry v některých kapalných palivech“, (B' 3958/2016), v platném znění.</w:t>
      </w:r>
    </w:p>
    <w:p w14:paraId="25063C33" w14:textId="77777777" w:rsidR="00BC362D" w:rsidRDefault="002C54B9">
      <w:pPr>
        <w:pStyle w:val="BodyText"/>
        <w:tabs>
          <w:tab w:val="left" w:pos="-660"/>
        </w:tabs>
        <w:ind w:left="57" w:right="57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 xml:space="preserve">3. Referenční metody, které se použijí pro stanovení jakostních vlastností paliv uvedených v článku 1 tohoto rozhodnutí, jsou zkušební normy stanovené v normě </w:t>
      </w:r>
      <w:r>
        <w:rPr>
          <w:rFonts w:ascii="Franklin Gothic Medium" w:hAnsi="Franklin Gothic Medium"/>
        </w:rPr>
        <w:t>ELOT ISO 8217:2017 a které tvoří nedílnou součást tohoto rozhodnutí.</w:t>
      </w:r>
      <w:r>
        <w:rPr>
          <w:rFonts w:ascii="Franklin Gothic Medium" w:hAnsi="Franklin Gothic Medium"/>
          <w:color w:val="000000"/>
        </w:rPr>
        <w:t xml:space="preserve"> </w:t>
      </w:r>
      <w:r>
        <w:rPr>
          <w:rFonts w:ascii="Franklin Gothic Medium" w:hAnsi="Franklin Gothic Medium"/>
        </w:rPr>
        <w:t>Je možné přijmout zkušební metodu specificky určenou k nahrazení příslušné zkušební metody v normě ELOT EN 8217:2017, pokud lze prokázat, že nová metoda nabízí přinejmenším stejnou přesnost (správnost a spolehlivost) jako metoda, kterou nahrazuje.</w:t>
      </w:r>
    </w:p>
    <w:p w14:paraId="7B40493D" w14:textId="77777777" w:rsidR="00BC362D" w:rsidRDefault="002C54B9">
      <w:pPr>
        <w:tabs>
          <w:tab w:val="left" w:pos="0"/>
          <w:tab w:val="left" w:pos="540"/>
        </w:tabs>
        <w:ind w:left="57" w:right="57" w:hanging="1080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ab/>
        <w:t>4. Všechny zkušební metody uvedené v normě ELOT EN 8217:2017 zahrnují údaje o přesnosti. V případě pochybností se výsledky zkoušek vyhodnotí a interpretují v souladu s normou ELOT 4259-3:2020.</w:t>
      </w:r>
    </w:p>
    <w:p w14:paraId="6C46ABC2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6E382264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7A8C4C56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 xml:space="preserve">Článek 6 </w:t>
      </w:r>
    </w:p>
    <w:p w14:paraId="735982BD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Aditiva</w:t>
      </w:r>
    </w:p>
    <w:p w14:paraId="4BF98478" w14:textId="77777777" w:rsidR="00BC362D" w:rsidRDefault="00BC362D">
      <w:pPr>
        <w:pStyle w:val="HTMLPreformatted"/>
        <w:shd w:val="clear" w:color="auto" w:fill="FFFFFF"/>
        <w:ind w:left="57" w:right="57"/>
        <w:jc w:val="center"/>
        <w:rPr>
          <w:b/>
          <w:bCs/>
          <w:color w:val="000000"/>
        </w:rPr>
      </w:pPr>
    </w:p>
    <w:p w14:paraId="3E5BDA84" w14:textId="77777777" w:rsidR="00BC362D" w:rsidRDefault="002C54B9">
      <w:pPr>
        <w:pStyle w:val="body"/>
        <w:ind w:left="57" w:right="57" w:firstLine="0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</w:rPr>
        <w:t>Paliva uvedená v článku 1 tohoto rozhodnutí mohou obsahovat aditiva, která zlepšují jejich účinnost, ale nesmí obsahovat žádnou sloučeninu, která by mohla způsobit, že palivo není vhodné pro použití jako lodní palivo. Použitá aditiva nesmějí:</w:t>
      </w:r>
    </w:p>
    <w:p w14:paraId="64DADB82" w14:textId="77777777" w:rsidR="00BC362D" w:rsidRDefault="002C54B9">
      <w:pPr>
        <w:pStyle w:val="body"/>
        <w:numPr>
          <w:ilvl w:val="0"/>
          <w:numId w:val="14"/>
        </w:numPr>
        <w:ind w:left="57" w:right="57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</w:rPr>
        <w:t>Ohrozit bezpečnost lodí nebo nepříznivě ovlivnit výkonnost jejich mechanického zařízení.</w:t>
      </w:r>
    </w:p>
    <w:p w14:paraId="3B23F719" w14:textId="77777777" w:rsidR="00BC362D" w:rsidRDefault="002C54B9">
      <w:pPr>
        <w:pStyle w:val="body"/>
        <w:numPr>
          <w:ilvl w:val="0"/>
          <w:numId w:val="15"/>
        </w:numPr>
        <w:ind w:left="57" w:right="57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</w:rPr>
        <w:t>Být nebezpečná pro lidské zdraví.</w:t>
      </w:r>
    </w:p>
    <w:p w14:paraId="6DCB50FF" w14:textId="77777777" w:rsidR="00BC362D" w:rsidRDefault="002C54B9">
      <w:pPr>
        <w:pStyle w:val="body"/>
        <w:numPr>
          <w:ilvl w:val="0"/>
          <w:numId w:val="16"/>
        </w:numPr>
        <w:ind w:left="57" w:right="57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sz w:val="24"/>
        </w:rPr>
        <w:t>Jakýmkoli způsobem zvyšovat znečištění ovzduší.</w:t>
      </w:r>
    </w:p>
    <w:p w14:paraId="2BEF3B74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>Společnosti obchodující s ropnými produkty odpovídají za přidání aditiva s cílem podpořit účinnost při dosahování zamýšleného účelu.</w:t>
      </w:r>
    </w:p>
    <w:p w14:paraId="13C88B83" w14:textId="77777777" w:rsidR="00BC362D" w:rsidRDefault="002C54B9">
      <w:pPr>
        <w:pStyle w:val="HTMLPreformatted"/>
        <w:shd w:val="clear" w:color="auto" w:fill="FFFFFF"/>
        <w:tabs>
          <w:tab w:val="left" w:pos="540"/>
        </w:tabs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</w:t>
      </w:r>
      <w:r>
        <w:rPr>
          <w:rFonts w:ascii="Franklin Gothic Medium" w:hAnsi="Franklin Gothic Medium"/>
          <w:sz w:val="24"/>
        </w:rPr>
        <w:t>Společnosti pro účely informací, jakož i kontrolu přítomnosti aditiva v kontrolovaném produktu, předkládají ředitelství pro energii, průmyslové a chemické výrobky Všeobecné chemické státní laboratoře podrobnosti o aditivu, jako jsou jeho fyzikálně-chemické vlastnosti, jeho chemické složení, procentní podíl, ve kterém se přidává do paliva, kontrolní metoda, zlepšení, které přináší, výsledky laboratorních a mechanických zkoušek, osvědčení o mechanické zkoušce, údaje o bezpečnosti, prohlášení společnosti o tom, zda je aditivo používáno v zemích EU nebo zemích ESVO, které jsou smluvními stranami Dohody o EHP, nebo v Turecku.</w:t>
      </w:r>
    </w:p>
    <w:p w14:paraId="0F9CE72D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K informacím o aditivu se přistupuje jako k důvěrným informacím.</w:t>
      </w:r>
    </w:p>
    <w:p w14:paraId="115D60DF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</w:t>
      </w:r>
    </w:p>
    <w:p w14:paraId="465A1557" w14:textId="77777777" w:rsidR="00BC362D" w:rsidRDefault="00BC362D">
      <w:pPr>
        <w:pStyle w:val="bulletslist"/>
        <w:ind w:left="57" w:right="57" w:hanging="1440"/>
        <w:rPr>
          <w:rFonts w:ascii="Franklin Gothic Medium" w:hAnsi="Franklin Gothic Medium"/>
          <w:sz w:val="24"/>
          <w:szCs w:val="24"/>
        </w:rPr>
      </w:pPr>
    </w:p>
    <w:p w14:paraId="08F18BA4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Článek 7</w:t>
      </w:r>
    </w:p>
    <w:p w14:paraId="3586CEAC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Ustanovení o volném pohybu a vzájemném uznávání</w:t>
      </w:r>
    </w:p>
    <w:p w14:paraId="0FB369E3" w14:textId="77777777" w:rsidR="00BC362D" w:rsidRDefault="00BC362D">
      <w:pPr>
        <w:pStyle w:val="HTMLPreformatted"/>
        <w:shd w:val="clear" w:color="auto" w:fill="FFFFFF"/>
        <w:ind w:left="57" w:right="57"/>
        <w:jc w:val="center"/>
        <w:rPr>
          <w:b/>
          <w:bCs/>
          <w:color w:val="000000"/>
        </w:rPr>
      </w:pPr>
    </w:p>
    <w:p w14:paraId="70F1F54A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Po vstupu tohoto rozhodnutí v platnost se nesmí zakazovat, omezovat nebo bránit uvádění paliv, která splňují požadavky tohoto rozhodnutí, na řecký trh, aniž jsou dotčena jiná ustanovení platných právních předpisů o uvádění paliv na trh. Paliva, která byla v souladu s právními předpisy vyrobena a/nebo uvedena na trh v jiných členských státech EU nebo v zemích ESVO, které jsou smluvními stranami Dohody o EHP, nebo v Turecku, mohou být uvedena na trh v Řecku, pokud splňují provozní požadavky motorů určených k provozu na těchto palivech, a u nichž bylo prokázáno, že za stejných klimatických podmínek zaručují rovnocennou úroveň bezpečnosti pro lidské zdraví a životní prostředí.</w:t>
      </w:r>
    </w:p>
    <w:p w14:paraId="0D5C1132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200C61A4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160A8614" w14:textId="77777777" w:rsidR="00BC362D" w:rsidRDefault="002C54B9" w:rsidP="00C163DC">
      <w:pPr>
        <w:pStyle w:val="HTMLPreformatted"/>
        <w:keepNext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lastRenderedPageBreak/>
        <w:t>Článek 8</w:t>
      </w:r>
    </w:p>
    <w:p w14:paraId="2CC67B44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Zrušená ustanovení</w:t>
      </w:r>
    </w:p>
    <w:p w14:paraId="5573BCEA" w14:textId="77777777" w:rsidR="00BC362D" w:rsidRDefault="00BC362D">
      <w:pPr>
        <w:pStyle w:val="HTMLPreformatted"/>
        <w:shd w:val="clear" w:color="auto" w:fill="FFFFFF"/>
        <w:ind w:left="57" w:right="57"/>
        <w:jc w:val="center"/>
        <w:rPr>
          <w:b/>
          <w:bCs/>
          <w:color w:val="000000"/>
        </w:rPr>
      </w:pPr>
    </w:p>
    <w:p w14:paraId="54233559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 Ode dne vstupu tohoto rozhodnutí v platnost přestanou pro lodní paliva platit:</w:t>
      </w:r>
    </w:p>
    <w:p w14:paraId="65C27717" w14:textId="77777777" w:rsidR="00BC362D" w:rsidRDefault="002C54B9">
      <w:pPr>
        <w:pStyle w:val="HTMLPreformatted"/>
        <w:numPr>
          <w:ilvl w:val="0"/>
          <w:numId w:val="17"/>
        </w:numPr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>rozhodnutí SSD č. 53/2015 (Vládní věstník 987/Β'/2016). „Námořní paliva – Požadavky, zkušební metody a postupy pro barvení a značení sledovací látkou v případě lodního plynového oleje“.</w:t>
      </w:r>
    </w:p>
    <w:p w14:paraId="705F8C70" w14:textId="77777777" w:rsidR="00BC362D" w:rsidRDefault="002C54B9">
      <w:pPr>
        <w:pStyle w:val="HTMLPreformatted"/>
        <w:numPr>
          <w:ilvl w:val="0"/>
          <w:numId w:val="18"/>
        </w:numPr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>— jakékoli jiné ustanovení, které je v rozporu s tímto rozhodnutím.</w:t>
      </w:r>
    </w:p>
    <w:p w14:paraId="1C9B91C9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1734917B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               </w:t>
      </w:r>
    </w:p>
    <w:p w14:paraId="56BDDDC5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Článek 9</w:t>
      </w:r>
    </w:p>
    <w:p w14:paraId="4CF1B059" w14:textId="77777777" w:rsidR="00BC362D" w:rsidRDefault="002C54B9">
      <w:pPr>
        <w:pStyle w:val="HTMLPreformatted"/>
        <w:shd w:val="clear" w:color="auto" w:fill="FFFFFF"/>
        <w:ind w:left="57" w:right="57"/>
        <w:jc w:val="center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Vstup v platnost</w:t>
      </w:r>
    </w:p>
    <w:p w14:paraId="6F0721BE" w14:textId="77777777" w:rsidR="00BC362D" w:rsidRDefault="00BC362D">
      <w:pPr>
        <w:pStyle w:val="HTMLPreformatted"/>
        <w:shd w:val="clear" w:color="auto" w:fill="FFFFFF"/>
        <w:ind w:left="57" w:right="57"/>
        <w:jc w:val="center"/>
        <w:rPr>
          <w:b/>
          <w:bCs/>
          <w:color w:val="000000"/>
        </w:rPr>
      </w:pPr>
    </w:p>
    <w:p w14:paraId="7FA666F0" w14:textId="77777777" w:rsidR="00BC362D" w:rsidRDefault="002C54B9">
      <w:pPr>
        <w:pStyle w:val="HTMLPreformatted"/>
        <w:shd w:val="clear" w:color="auto" w:fill="FFFFFF"/>
        <w:ind w:left="57" w:right="57"/>
        <w:jc w:val="both"/>
      </w:pPr>
      <w:r>
        <w:rPr>
          <w:rFonts w:ascii="Franklin Gothic Medium" w:hAnsi="Franklin Gothic Medium"/>
          <w:color w:val="000000"/>
          <w:sz w:val="24"/>
        </w:rPr>
        <w:t>1.  Nedílnou součástí tohoto rozhodnutí je následující příloha.</w:t>
      </w:r>
    </w:p>
    <w:p w14:paraId="2DC7FB33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>2. Toto rozhodnutí vstupuje v platnost dnem jeho zveřejnění ve Vládním věstníku.</w:t>
      </w:r>
    </w:p>
    <w:p w14:paraId="6BFCB0A9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3. Toto rozhodnutí bude zveřejněno ve Vládním věstníku. </w:t>
      </w:r>
    </w:p>
    <w:p w14:paraId="58123B21" w14:textId="77777777" w:rsidR="00BC362D" w:rsidRDefault="00BC362D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4E734504" w14:textId="77777777" w:rsidR="00BC362D" w:rsidRDefault="002C54B9">
      <w:pPr>
        <w:pStyle w:val="HTMLPreformatted"/>
        <w:shd w:val="clear" w:color="auto" w:fill="FFFFFF"/>
        <w:ind w:left="57" w:right="57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 xml:space="preserve">                      </w:t>
      </w:r>
    </w:p>
    <w:p w14:paraId="372B971A" w14:textId="77777777" w:rsidR="00BC362D" w:rsidRDefault="002C54B9">
      <w:pPr>
        <w:pStyle w:val="Heading1"/>
        <w:ind w:left="57" w:right="57"/>
        <w:jc w:val="center"/>
        <w:rPr>
          <w:rFonts w:ascii="Franklin Gothic Medium" w:hAnsi="Franklin Gothic Medium"/>
          <w:sz w:val="24"/>
        </w:rPr>
      </w:pPr>
      <w:r>
        <w:rPr>
          <w:rFonts w:ascii="Franklin Gothic Medium" w:hAnsi="Franklin Gothic Medium"/>
          <w:color w:val="000000" w:themeColor="text1"/>
          <w:sz w:val="24"/>
        </w:rPr>
        <w:t xml:space="preserve">Příloha </w:t>
      </w:r>
    </w:p>
    <w:p w14:paraId="1E508276" w14:textId="77777777" w:rsidR="00BC362D" w:rsidRDefault="002C54B9">
      <w:pPr>
        <w:ind w:left="57" w:right="57"/>
        <w:jc w:val="center"/>
        <w:rPr>
          <w:rFonts w:ascii="Franklin Gothic Medium" w:hAnsi="Franklin Gothic Medium"/>
        </w:rPr>
      </w:pPr>
      <w:r>
        <w:rPr>
          <w:rFonts w:ascii="Franklin Gothic Medium" w:hAnsi="Franklin Gothic Medium"/>
          <w:b/>
        </w:rPr>
        <w:t>Kategorie lodního paliva</w:t>
      </w:r>
    </w:p>
    <w:p w14:paraId="11A99D52" w14:textId="77777777" w:rsidR="00BC362D" w:rsidRDefault="00BC362D">
      <w:pPr>
        <w:ind w:left="57" w:right="57"/>
        <w:jc w:val="both"/>
        <w:rPr>
          <w:rFonts w:ascii="Franklin Gothic Medium" w:hAnsi="Franklin Gothic Medium"/>
          <w:b/>
          <w:bCs/>
        </w:rPr>
      </w:pPr>
    </w:p>
    <w:tbl>
      <w:tblPr>
        <w:tblW w:w="1089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2428"/>
        <w:gridCol w:w="2007"/>
        <w:gridCol w:w="1835"/>
        <w:gridCol w:w="1823"/>
        <w:gridCol w:w="2797"/>
      </w:tblGrid>
      <w:tr w:rsidR="00BC362D" w14:paraId="4E308ED9" w14:textId="77777777"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50BF6" w14:textId="77777777" w:rsidR="00BC362D" w:rsidRDefault="002C54B9">
            <w:pPr>
              <w:pStyle w:val="tableheader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Skupina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8A68B" w14:textId="77777777" w:rsidR="00BC362D" w:rsidRDefault="002C54B9">
            <w:pPr>
              <w:pStyle w:val="tableheader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Kategorie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0A1BF4" w14:textId="77777777" w:rsidR="00BC362D" w:rsidRDefault="002C54B9">
            <w:pPr>
              <w:pStyle w:val="tableheader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Maximální kinematická viskozita při 40 °C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F4A57" w14:textId="77777777" w:rsidR="00BC362D" w:rsidRDefault="002C54B9">
            <w:pPr>
              <w:pStyle w:val="tableheader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Maximální kinematická viskozita při 50 °C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3B843" w14:textId="77777777" w:rsidR="00BC362D" w:rsidRDefault="002C54B9">
            <w:pPr>
              <w:pStyle w:val="tableheader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Poznámky</w:t>
            </w:r>
          </w:p>
        </w:tc>
      </w:tr>
      <w:tr w:rsidR="00BC362D" w14:paraId="7356AB4A" w14:textId="77777777"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4F0A0" w14:textId="77777777" w:rsidR="00BC362D" w:rsidRDefault="002C54B9">
            <w:pPr>
              <w:pStyle w:val="tableheader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Dílčí kategorie v závislosti na typu paliva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00323" w14:textId="77777777" w:rsidR="00BC362D" w:rsidRDefault="002C54B9">
            <w:pPr>
              <w:pStyle w:val="tableheader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Dílčí kategorie v závislosti na použití a vlastnostech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54DD3" w14:textId="77777777" w:rsidR="00BC362D" w:rsidRDefault="002C54B9">
            <w:pPr>
              <w:pStyle w:val="tableheader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mm</w:t>
            </w:r>
            <w:r>
              <w:rPr>
                <w:rFonts w:ascii="Franklin Gothic Medium" w:hAnsi="Franklin Gothic Medium"/>
                <w:vertAlign w:val="superscript"/>
              </w:rPr>
              <w:t>2</w:t>
            </w:r>
            <w:r>
              <w:rPr>
                <w:rFonts w:ascii="Franklin Gothic Medium" w:hAnsi="Franklin Gothic Medium"/>
              </w:rPr>
              <w:t>/sec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77802" w14:textId="77777777" w:rsidR="00BC362D" w:rsidRDefault="002C54B9">
            <w:pPr>
              <w:pStyle w:val="tableheader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mm</w:t>
            </w:r>
            <w:r>
              <w:rPr>
                <w:rFonts w:ascii="Franklin Gothic Medium" w:hAnsi="Franklin Gothic Medium"/>
                <w:vertAlign w:val="superscript"/>
              </w:rPr>
              <w:t>2</w:t>
            </w:r>
            <w:r>
              <w:rPr>
                <w:rFonts w:ascii="Franklin Gothic Medium" w:hAnsi="Franklin Gothic Medium"/>
              </w:rPr>
              <w:t>/sec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3D533" w14:textId="77777777" w:rsidR="00BC362D" w:rsidRDefault="00BC362D">
            <w:pPr>
              <w:pStyle w:val="tableheader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  <w:tr w:rsidR="00BC362D" w14:paraId="59EC6472" w14:textId="77777777">
        <w:trPr>
          <w:cantSplit/>
        </w:trPr>
        <w:tc>
          <w:tcPr>
            <w:tcW w:w="2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624B3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Destiláty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D9BF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DMX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02B63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5.000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D34E2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27342" w14:textId="77777777" w:rsidR="00BC362D" w:rsidRDefault="002C54B9">
            <w:pPr>
              <w:pStyle w:val="tabletext1"/>
              <w:widowControl w:val="0"/>
              <w:ind w:left="57" w:right="57"/>
            </w:pPr>
            <w:r>
              <w:rPr>
                <w:rFonts w:ascii="Franklin Gothic Medium" w:hAnsi="Franklin Gothic Medium"/>
              </w:rPr>
              <w:t>Používá se v nouzových situacích, bez FAME</w:t>
            </w:r>
          </w:p>
        </w:tc>
      </w:tr>
      <w:tr w:rsidR="00BC362D" w14:paraId="79668DED" w14:textId="77777777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64F77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37135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DMA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AC417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6.000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164EC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97EE8" w14:textId="77777777" w:rsidR="00BC362D" w:rsidRDefault="002C54B9">
            <w:pPr>
              <w:pStyle w:val="tabletext1"/>
              <w:widowControl w:val="0"/>
              <w:ind w:left="57" w:right="57"/>
            </w:pPr>
            <w:r>
              <w:rPr>
                <w:rFonts w:ascii="Franklin Gothic Medium" w:hAnsi="Franklin Gothic Medium"/>
              </w:rPr>
              <w:t>Používá se v rámci obecného použití, nesmí obsahovat zbytkové frakce, minimální obsah FAME</w:t>
            </w:r>
          </w:p>
        </w:tc>
      </w:tr>
      <w:tr w:rsidR="00BC362D" w14:paraId="09D53FF1" w14:textId="77777777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FC2D8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2BB26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DMZ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2832F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6.000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F8EDF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8D0F6" w14:textId="77777777" w:rsidR="00BC362D" w:rsidRDefault="002C54B9">
            <w:pPr>
              <w:pStyle w:val="tabletext1"/>
              <w:widowControl w:val="0"/>
              <w:ind w:left="57" w:right="57"/>
            </w:pPr>
            <w:r>
              <w:rPr>
                <w:rFonts w:ascii="Franklin Gothic Medium" w:hAnsi="Franklin Gothic Medium"/>
              </w:rPr>
              <w:t>Používá se v rámci obecného použití, nesmí obsahovat zbytkové frakce, minimální obsah FAME</w:t>
            </w:r>
          </w:p>
        </w:tc>
      </w:tr>
      <w:tr w:rsidR="00BC362D" w14:paraId="032E3D85" w14:textId="77777777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2BA78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7717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DMB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DA3F8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11.00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292C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07326" w14:textId="77777777" w:rsidR="00BC362D" w:rsidRDefault="002C54B9">
            <w:pPr>
              <w:pStyle w:val="tabletext1"/>
              <w:widowControl w:val="0"/>
              <w:ind w:left="57" w:right="57"/>
            </w:pPr>
            <w:r>
              <w:rPr>
                <w:rFonts w:ascii="Franklin Gothic Medium" w:hAnsi="Franklin Gothic Medium"/>
              </w:rPr>
              <w:t>Používá se v rámci obecného použití, může obsahovat zjistitelné procentní podíly zbytkových frakcí, minimální obsah FAME.</w:t>
            </w:r>
          </w:p>
        </w:tc>
      </w:tr>
      <w:tr w:rsidR="00BC362D" w14:paraId="582716F1" w14:textId="77777777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ABA16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9C42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DFA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</w:tcBorders>
          </w:tcPr>
          <w:p w14:paraId="4E947EA5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6.000</w:t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64B9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7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3CC72" w14:textId="77777777" w:rsidR="00BC362D" w:rsidRDefault="002C54B9">
            <w:pPr>
              <w:pStyle w:val="tabletext1"/>
              <w:widowControl w:val="0"/>
              <w:ind w:left="57" w:right="57"/>
            </w:pPr>
            <w:r>
              <w:rPr>
                <w:rFonts w:ascii="Franklin Gothic Medium" w:hAnsi="Franklin Gothic Medium"/>
              </w:rPr>
              <w:t>Používá se v rámci obecného použití, nesmí obsahovat zbytkové frakce, obsah FAME až 7 % objemových.</w:t>
            </w:r>
          </w:p>
        </w:tc>
      </w:tr>
      <w:tr w:rsidR="00BC362D" w14:paraId="297E59F8" w14:textId="77777777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7FA1C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2E6DA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DFZ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</w:tcBorders>
          </w:tcPr>
          <w:p w14:paraId="64CF1B93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6.000</w:t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1C332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7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A4B79" w14:textId="77777777" w:rsidR="00BC362D" w:rsidRDefault="002C54B9">
            <w:pPr>
              <w:pStyle w:val="tabletext1"/>
              <w:widowControl w:val="0"/>
              <w:ind w:left="57" w:right="57"/>
            </w:pPr>
            <w:r>
              <w:rPr>
                <w:rFonts w:ascii="Franklin Gothic Medium" w:hAnsi="Franklin Gothic Medium"/>
              </w:rPr>
              <w:t>Používá se v rámci obecného použití, nesmí obsahovat zbytkové frakce, obsah FAME až 7 % objemových.</w:t>
            </w:r>
          </w:p>
        </w:tc>
      </w:tr>
      <w:tr w:rsidR="00BC362D" w14:paraId="69ED16B2" w14:textId="77777777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E3FFB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6590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DFB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</w:tcBorders>
          </w:tcPr>
          <w:p w14:paraId="25BA1603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11.00</w:t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3C9D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7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156D5" w14:textId="77777777" w:rsidR="00BC362D" w:rsidRDefault="002C54B9">
            <w:pPr>
              <w:pStyle w:val="tabletext1"/>
              <w:widowControl w:val="0"/>
              <w:ind w:left="57" w:right="57"/>
            </w:pPr>
            <w:r>
              <w:rPr>
                <w:rFonts w:ascii="Franklin Gothic Medium" w:hAnsi="Franklin Gothic Medium"/>
              </w:rPr>
              <w:t>Používá se v rámci obecného použití, může obsahovat zjistitelné procentní podíly zbytkových frakcí, obsah FAME až 7 % objemových.</w:t>
            </w:r>
          </w:p>
        </w:tc>
      </w:tr>
      <w:tr w:rsidR="00BC362D" w14:paraId="63C10105" w14:textId="77777777">
        <w:trPr>
          <w:cantSplit/>
        </w:trPr>
        <w:tc>
          <w:tcPr>
            <w:tcW w:w="2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CAB64" w14:textId="77777777" w:rsidR="00BC362D" w:rsidRDefault="002C54B9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  <w:r>
              <w:rPr>
                <w:rFonts w:ascii="Franklin Gothic Medium" w:hAnsi="Franklin Gothic Medium"/>
              </w:rPr>
              <w:t>Zbytková frakce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7F769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RMΑ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FB806A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A335A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10.0</w:t>
            </w:r>
          </w:p>
        </w:tc>
        <w:tc>
          <w:tcPr>
            <w:tcW w:w="2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10385" w14:textId="77777777" w:rsidR="00BC362D" w:rsidRDefault="002C54B9">
            <w:pPr>
              <w:pStyle w:val="tabletext1"/>
              <w:widowControl w:val="0"/>
              <w:ind w:left="57" w:right="57"/>
            </w:pPr>
            <w:r>
              <w:rPr>
                <w:rFonts w:ascii="Franklin Gothic Medium" w:hAnsi="Franklin Gothic Medium"/>
              </w:rPr>
              <w:t>Zbytková paliva pro obecné použití</w:t>
            </w:r>
          </w:p>
        </w:tc>
      </w:tr>
      <w:tr w:rsidR="00BC362D" w14:paraId="0E637C48" w14:textId="77777777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118D2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221BC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RMB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44DD14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1E916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30.0</w:t>
            </w:r>
          </w:p>
        </w:tc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7B9E5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  <w:tr w:rsidR="00BC362D" w14:paraId="5744E342" w14:textId="77777777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393D3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ACBF0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RMD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1E7834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1757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80.0</w:t>
            </w:r>
          </w:p>
        </w:tc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A4424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  <w:tr w:rsidR="00BC362D" w14:paraId="331990A8" w14:textId="77777777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F2E13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7533E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RME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B117CF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B5970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180.0</w:t>
            </w:r>
          </w:p>
        </w:tc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2CD44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  <w:tr w:rsidR="00BC362D" w14:paraId="39FD5212" w14:textId="77777777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F46AF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7969F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RMG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BA0CBB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739E6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180.0</w:t>
            </w:r>
          </w:p>
        </w:tc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50FD7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  <w:tr w:rsidR="00BC362D" w14:paraId="359064E5" w14:textId="77777777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24166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3BD1E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RMG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0B2AA6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FFACC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380,0</w:t>
            </w:r>
          </w:p>
        </w:tc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52B72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  <w:tr w:rsidR="00BC362D" w14:paraId="1C6EADB1" w14:textId="77777777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B6CAC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4FE44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RMG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9B533E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53182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500,0</w:t>
            </w:r>
          </w:p>
        </w:tc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4D14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  <w:tr w:rsidR="00BC362D" w14:paraId="7FFDB1D0" w14:textId="77777777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A2655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D6C35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RMG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DD2B96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DD669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700,0</w:t>
            </w:r>
          </w:p>
        </w:tc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74778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  <w:tr w:rsidR="00BC362D" w14:paraId="23ACB5A9" w14:textId="77777777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B75FE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A6DCF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RMK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23848D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0F3B5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380,0</w:t>
            </w:r>
          </w:p>
        </w:tc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24276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  <w:tr w:rsidR="00BC362D" w14:paraId="2D6C87EF" w14:textId="77777777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1D38F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DF383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RMK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D3A4E8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A3A96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500,0</w:t>
            </w:r>
          </w:p>
        </w:tc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67252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  <w:tr w:rsidR="00BC362D" w14:paraId="24FBA13B" w14:textId="77777777">
        <w:trPr>
          <w:cantSplit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7B4FD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72D98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RMK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CF855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-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FC619" w14:textId="77777777" w:rsidR="00BC362D" w:rsidRDefault="002C54B9">
            <w:pPr>
              <w:widowControl w:val="0"/>
              <w:ind w:left="57" w:right="57"/>
              <w:jc w:val="both"/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  <w:color w:val="000000"/>
              </w:rPr>
              <w:t>700,0</w:t>
            </w:r>
          </w:p>
        </w:tc>
        <w:tc>
          <w:tcPr>
            <w:tcW w:w="2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F722A" w14:textId="77777777" w:rsidR="00BC362D" w:rsidRDefault="00BC362D">
            <w:pPr>
              <w:pStyle w:val="tabletext1"/>
              <w:widowControl w:val="0"/>
              <w:ind w:left="57" w:right="57"/>
              <w:jc w:val="both"/>
              <w:rPr>
                <w:rFonts w:ascii="Franklin Gothic Medium" w:hAnsi="Franklin Gothic Medium"/>
                <w:szCs w:val="24"/>
              </w:rPr>
            </w:pPr>
          </w:p>
        </w:tc>
      </w:tr>
    </w:tbl>
    <w:p w14:paraId="64652475" w14:textId="77777777" w:rsidR="00BC362D" w:rsidRDefault="00BC362D">
      <w:pPr>
        <w:ind w:left="57" w:right="57"/>
        <w:jc w:val="both"/>
        <w:rPr>
          <w:rFonts w:ascii="Franklin Gothic Medium" w:hAnsi="Franklin Gothic Medium"/>
        </w:rPr>
      </w:pPr>
    </w:p>
    <w:p w14:paraId="1734760C" w14:textId="77777777" w:rsidR="00BC362D" w:rsidRDefault="00BC362D">
      <w:pPr>
        <w:ind w:left="57" w:right="57"/>
        <w:jc w:val="both"/>
        <w:rPr>
          <w:rFonts w:ascii="Franklin Gothic Medium" w:hAnsi="Franklin Gothic Medium"/>
        </w:rPr>
      </w:pPr>
    </w:p>
    <w:p w14:paraId="060D18DA" w14:textId="77777777" w:rsidR="00BC362D" w:rsidRDefault="00BC362D">
      <w:pPr>
        <w:pStyle w:val="HTMLPreformatted"/>
        <w:shd w:val="clear" w:color="auto" w:fill="FFFFFF"/>
        <w:jc w:val="both"/>
        <w:rPr>
          <w:rFonts w:ascii="Franklin Gothic Medium" w:hAnsi="Franklin Gothic Medium"/>
          <w:sz w:val="24"/>
          <w:szCs w:val="24"/>
        </w:rPr>
      </w:pPr>
    </w:p>
    <w:p w14:paraId="3F7F1639" w14:textId="77777777" w:rsidR="00BC362D" w:rsidRDefault="00BC362D">
      <w:pPr>
        <w:pStyle w:val="HTMLPreformatted"/>
        <w:shd w:val="clear" w:color="auto" w:fill="FFFFFF"/>
        <w:jc w:val="both"/>
        <w:rPr>
          <w:rFonts w:ascii="Franklin Gothic Medium" w:hAnsi="Franklin Gothic Medium"/>
          <w:sz w:val="24"/>
          <w:szCs w:val="24"/>
        </w:rPr>
      </w:pPr>
    </w:p>
    <w:p w14:paraId="098456F0" w14:textId="77777777" w:rsidR="00BC362D" w:rsidRDefault="00BC362D">
      <w:pPr>
        <w:pStyle w:val="HTMLPreformatted"/>
        <w:shd w:val="clear" w:color="auto" w:fill="FFFFFF"/>
        <w:jc w:val="both"/>
        <w:rPr>
          <w:rFonts w:ascii="Franklin Gothic Medium" w:hAnsi="Franklin Gothic Medium"/>
          <w:sz w:val="24"/>
          <w:szCs w:val="24"/>
        </w:rPr>
      </w:pPr>
    </w:p>
    <w:p w14:paraId="3507DA94" w14:textId="77777777" w:rsidR="00BC362D" w:rsidRDefault="00BC362D">
      <w:pPr>
        <w:pStyle w:val="HTMLPreformatted"/>
        <w:shd w:val="clear" w:color="auto" w:fill="FFFFFF"/>
        <w:jc w:val="both"/>
        <w:rPr>
          <w:rFonts w:ascii="Franklin Gothic Medium" w:hAnsi="Franklin Gothic Medium"/>
          <w:sz w:val="24"/>
          <w:szCs w:val="24"/>
        </w:rPr>
      </w:pPr>
    </w:p>
    <w:p w14:paraId="09592BBF" w14:textId="77777777" w:rsidR="00BC362D" w:rsidRDefault="00BC362D">
      <w:pPr>
        <w:pStyle w:val="HTMLPreformatted"/>
        <w:shd w:val="clear" w:color="auto" w:fill="FFFFFF"/>
        <w:jc w:val="both"/>
        <w:rPr>
          <w:rFonts w:ascii="Franklin Gothic Medium" w:hAnsi="Franklin Gothic Medium"/>
          <w:sz w:val="24"/>
          <w:szCs w:val="24"/>
        </w:rPr>
      </w:pPr>
    </w:p>
    <w:p w14:paraId="3CEFF8E8" w14:textId="77777777" w:rsidR="00BC362D" w:rsidRDefault="002C54B9">
      <w:pPr>
        <w:pStyle w:val="HTMLPreformatted"/>
        <w:shd w:val="clear" w:color="auto" w:fill="FFFFFF"/>
        <w:jc w:val="both"/>
        <w:rPr>
          <w:rFonts w:ascii="Franklin Gothic Medium" w:hAnsi="Franklin Gothic Medium"/>
          <w:sz w:val="24"/>
          <w:szCs w:val="24"/>
        </w:rPr>
      </w:pPr>
      <w:r>
        <w:rPr>
          <w:rFonts w:ascii="Franklin Gothic Medium" w:hAnsi="Franklin Gothic Medium"/>
          <w:color w:val="000000"/>
          <w:sz w:val="24"/>
        </w:rPr>
        <w:tab/>
      </w:r>
      <w:r>
        <w:rPr>
          <w:rFonts w:ascii="Franklin Gothic Medium" w:hAnsi="Franklin Gothic Medium"/>
          <w:color w:val="000000"/>
          <w:sz w:val="24"/>
        </w:rPr>
        <w:tab/>
      </w:r>
      <w:r>
        <w:rPr>
          <w:rFonts w:ascii="Franklin Gothic Medium" w:hAnsi="Franklin Gothic Medium"/>
          <w:color w:val="000000"/>
          <w:sz w:val="24"/>
        </w:rPr>
        <w:tab/>
        <w:t>Athény,                  / /2023</w:t>
      </w:r>
    </w:p>
    <w:p w14:paraId="5D2CB0CD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Courier New"/>
          <w:color w:val="000000"/>
          <w:lang w:eastAsia="en-US"/>
        </w:rPr>
      </w:pPr>
    </w:p>
    <w:p w14:paraId="16877E1E" w14:textId="77777777" w:rsidR="00BC362D" w:rsidRDefault="002C54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 xml:space="preserve">                                                                   </w:t>
      </w:r>
    </w:p>
    <w:p w14:paraId="66FE0FF9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Courier New"/>
          <w:color w:val="000000"/>
          <w:lang w:eastAsia="en-US"/>
        </w:rPr>
      </w:pPr>
    </w:p>
    <w:p w14:paraId="3BB7C3CF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Courier New"/>
          <w:color w:val="000000"/>
          <w:lang w:eastAsia="en-US"/>
        </w:rPr>
      </w:pPr>
    </w:p>
    <w:p w14:paraId="13DFBBD0" w14:textId="5790D76E" w:rsidR="00BC362D" w:rsidRDefault="002C54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rPr>
          <w:rFonts w:ascii="Franklin Gothic Medium" w:hAnsi="Franklin Gothic Medium"/>
          <w:color w:val="000000"/>
        </w:rPr>
        <w:t>MINISTŘI</w:t>
      </w:r>
    </w:p>
    <w:p w14:paraId="0934C55A" w14:textId="77777777" w:rsidR="00BC362D" w:rsidRDefault="00BC36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Franklin Gothic Medium" w:hAnsi="Franklin Gothic Medium" w:cs="Courier New"/>
          <w:color w:val="000000"/>
          <w:lang w:eastAsia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C54C2D" w:rsidRPr="00C54C2D" w14:paraId="14A79F32" w14:textId="77777777" w:rsidTr="00C54C2D">
        <w:tc>
          <w:tcPr>
            <w:tcW w:w="4868" w:type="dxa"/>
          </w:tcPr>
          <w:p w14:paraId="4D267FB2" w14:textId="04ED0F5F" w:rsidR="00C54C2D" w:rsidRPr="00C54C2D" w:rsidRDefault="00C54C2D" w:rsidP="001375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rPr>
                <w:rFonts w:ascii="Franklin Gothic Medium" w:hAnsi="Franklin Gothic Medium"/>
                <w:color w:val="000000"/>
              </w:rPr>
              <w:t xml:space="preserve">      STÁTNÍ TAJEMNÍK PRO FINANCE</w:t>
            </w:r>
          </w:p>
        </w:tc>
        <w:tc>
          <w:tcPr>
            <w:tcW w:w="4868" w:type="dxa"/>
          </w:tcPr>
          <w:p w14:paraId="58FD9E1D" w14:textId="02A2E3A8" w:rsidR="00C54C2D" w:rsidRPr="00C54C2D" w:rsidRDefault="00C54C2D" w:rsidP="001375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rPr>
                <w:rFonts w:ascii="Franklin Gothic Medium" w:hAnsi="Franklin Gothic Medium"/>
                <w:color w:val="000000"/>
              </w:rPr>
              <w:t>ŽIVOTNÍHO PROSTŘEDÍ A ENERGETIKY</w:t>
            </w:r>
          </w:p>
        </w:tc>
      </w:tr>
    </w:tbl>
    <w:p w14:paraId="7FF5B968" w14:textId="77777777" w:rsidR="00BC362D" w:rsidRDefault="002C54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rPr>
          <w:rFonts w:ascii="Franklin Gothic Medium" w:hAnsi="Franklin Gothic Medium"/>
          <w:color w:val="000000"/>
        </w:rPr>
        <w:t xml:space="preserve">                                                                  </w:t>
      </w:r>
    </w:p>
    <w:p w14:paraId="10D6BA47" w14:textId="77777777" w:rsidR="00BC362D" w:rsidRDefault="002C54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rPr>
          <w:rFonts w:ascii="Franklin Gothic Medium" w:hAnsi="Franklin Gothic Medium"/>
          <w:color w:val="000000"/>
        </w:rPr>
        <w:t xml:space="preserve">                                                     </w:t>
      </w:r>
    </w:p>
    <w:p w14:paraId="18B4F410" w14:textId="77777777" w:rsidR="00BC362D" w:rsidRDefault="002C54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rPr>
          <w:rFonts w:ascii="Franklin Gothic Medium" w:hAnsi="Franklin Gothic Medium"/>
          <w:color w:val="000000"/>
        </w:rPr>
        <w:t xml:space="preserve">    </w:t>
      </w:r>
    </w:p>
    <w:p w14:paraId="27282FA9" w14:textId="376B520B" w:rsidR="00BC362D" w:rsidRDefault="002C54B9" w:rsidP="00C163D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Franklin Gothic Medium" w:hAnsi="Franklin Gothic Medium"/>
        </w:rPr>
      </w:pPr>
      <w:r>
        <w:rPr>
          <w:rFonts w:ascii="Franklin Gothic Medium" w:hAnsi="Franklin Gothic Medium"/>
          <w:color w:val="000000"/>
        </w:rPr>
        <w:t xml:space="preserve">  NÁMOŘNÍ ZÁLEŽITOSTI A OSTROVNÍ POLITIKY                                              </w:t>
      </w:r>
    </w:p>
    <w:sectPr w:rsidR="00BC362D">
      <w:footerReference w:type="default" r:id="rId9"/>
      <w:pgSz w:w="11906" w:h="16838"/>
      <w:pgMar w:top="1440" w:right="1080" w:bottom="1440" w:left="1080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3C0CE" w14:textId="77777777" w:rsidR="00DF59C1" w:rsidRDefault="00DF59C1">
      <w:r>
        <w:separator/>
      </w:r>
    </w:p>
  </w:endnote>
  <w:endnote w:type="continuationSeparator" w:id="0">
    <w:p w14:paraId="419AFE69" w14:textId="77777777" w:rsidR="00DF59C1" w:rsidRDefault="00DF5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 Albertina">
    <w:charset w:val="01"/>
    <w:family w:val="roman"/>
    <w:pitch w:val="variable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0942943"/>
      <w:docPartObj>
        <w:docPartGallery w:val="Page Numbers (Bottom of Page)"/>
        <w:docPartUnique/>
      </w:docPartObj>
    </w:sdtPr>
    <w:sdtEndPr/>
    <w:sdtContent>
      <w:p w14:paraId="57EA665D" w14:textId="77777777" w:rsidR="00BC362D" w:rsidRDefault="002C54B9">
        <w:pPr>
          <w:pStyle w:val="Footer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</w:t>
        </w:r>
        <w:r>
          <w:fldChar w:fldCharType="end"/>
        </w:r>
      </w:p>
    </w:sdtContent>
  </w:sdt>
  <w:p w14:paraId="5665E82F" w14:textId="77777777" w:rsidR="00BC362D" w:rsidRDefault="00BC36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F2FD5" w14:textId="77777777" w:rsidR="00DF59C1" w:rsidRDefault="00DF59C1">
      <w:r>
        <w:separator/>
      </w:r>
    </w:p>
  </w:footnote>
  <w:footnote w:type="continuationSeparator" w:id="0">
    <w:p w14:paraId="5028E4E8" w14:textId="77777777" w:rsidR="00DF59C1" w:rsidRDefault="00DF5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A6DE8"/>
    <w:multiLevelType w:val="multilevel"/>
    <w:tmpl w:val="3A4CFDE0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81656B"/>
    <w:multiLevelType w:val="multilevel"/>
    <w:tmpl w:val="16504B7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484BAB"/>
    <w:multiLevelType w:val="multilevel"/>
    <w:tmpl w:val="2C72688E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FE2AE2"/>
    <w:multiLevelType w:val="multilevel"/>
    <w:tmpl w:val="9256889C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cs="Times New Roman"/>
        <w:b w:val="0"/>
        <w:bCs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A803585"/>
    <w:multiLevelType w:val="multilevel"/>
    <w:tmpl w:val="FE324E4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E85F98"/>
    <w:multiLevelType w:val="multilevel"/>
    <w:tmpl w:val="0F6872E6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8F32A8"/>
    <w:multiLevelType w:val="multilevel"/>
    <w:tmpl w:val="1436B5C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BB2FE9"/>
    <w:multiLevelType w:val="multilevel"/>
    <w:tmpl w:val="6E48395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383BCE"/>
    <w:multiLevelType w:val="multilevel"/>
    <w:tmpl w:val="FBAA65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C116543"/>
    <w:multiLevelType w:val="multilevel"/>
    <w:tmpl w:val="29FE5D10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2810892">
    <w:abstractNumId w:val="3"/>
  </w:num>
  <w:num w:numId="2" w16cid:durableId="1343165834">
    <w:abstractNumId w:val="0"/>
  </w:num>
  <w:num w:numId="3" w16cid:durableId="35935325">
    <w:abstractNumId w:val="1"/>
  </w:num>
  <w:num w:numId="4" w16cid:durableId="478614891">
    <w:abstractNumId w:val="6"/>
  </w:num>
  <w:num w:numId="5" w16cid:durableId="1920821205">
    <w:abstractNumId w:val="7"/>
  </w:num>
  <w:num w:numId="6" w16cid:durableId="344483043">
    <w:abstractNumId w:val="9"/>
  </w:num>
  <w:num w:numId="7" w16cid:durableId="1372149002">
    <w:abstractNumId w:val="5"/>
  </w:num>
  <w:num w:numId="8" w16cid:durableId="1831367855">
    <w:abstractNumId w:val="2"/>
  </w:num>
  <w:num w:numId="9" w16cid:durableId="1074350015">
    <w:abstractNumId w:val="4"/>
  </w:num>
  <w:num w:numId="10" w16cid:durableId="2110156920">
    <w:abstractNumId w:val="8"/>
  </w:num>
  <w:num w:numId="11" w16cid:durableId="302197291">
    <w:abstractNumId w:val="0"/>
    <w:lvlOverride w:ilvl="0">
      <w:startOverride w:val="1"/>
    </w:lvlOverride>
  </w:num>
  <w:num w:numId="12" w16cid:durableId="879974059">
    <w:abstractNumId w:val="0"/>
  </w:num>
  <w:num w:numId="13" w16cid:durableId="778646083">
    <w:abstractNumId w:val="0"/>
  </w:num>
  <w:num w:numId="14" w16cid:durableId="822084031">
    <w:abstractNumId w:val="0"/>
  </w:num>
  <w:num w:numId="15" w16cid:durableId="1871725526">
    <w:abstractNumId w:val="0"/>
  </w:num>
  <w:num w:numId="16" w16cid:durableId="2087066484">
    <w:abstractNumId w:val="0"/>
  </w:num>
  <w:num w:numId="17" w16cid:durableId="81265958">
    <w:abstractNumId w:val="0"/>
  </w:num>
  <w:num w:numId="18" w16cid:durableId="1312368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62D"/>
    <w:rsid w:val="002C54B9"/>
    <w:rsid w:val="003F36C3"/>
    <w:rsid w:val="00901225"/>
    <w:rsid w:val="00BC362D"/>
    <w:rsid w:val="00C163DC"/>
    <w:rsid w:val="00C54C2D"/>
    <w:rsid w:val="00DF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4A4E0"/>
  <w15:docId w15:val="{8FAAE075-E16C-4ABB-A752-052CDED8F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l-G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5A79"/>
    <w:rPr>
      <w:sz w:val="24"/>
      <w:szCs w:val="24"/>
    </w:rPr>
  </w:style>
  <w:style w:type="paragraph" w:styleId="Heading1">
    <w:name w:val="heading 1"/>
    <w:basedOn w:val="Normal"/>
    <w:next w:val="Normal"/>
    <w:qFormat/>
    <w:rsid w:val="00E55A79"/>
    <w:pPr>
      <w:keepNext/>
      <w:jc w:val="both"/>
      <w:outlineLvl w:val="0"/>
    </w:pPr>
    <w:rPr>
      <w:rFonts w:ascii="Arial" w:eastAsia="Arial Unicode MS" w:hAnsi="Arial" w:cs="Arial"/>
      <w:b/>
      <w:bCs/>
      <w:sz w:val="22"/>
    </w:rPr>
  </w:style>
  <w:style w:type="paragraph" w:styleId="Heading2">
    <w:name w:val="heading 2"/>
    <w:basedOn w:val="Normal"/>
    <w:next w:val="Normal"/>
    <w:qFormat/>
    <w:rsid w:val="00E55A79"/>
    <w:pPr>
      <w:keepNext/>
      <w:spacing w:line="360" w:lineRule="auto"/>
      <w:ind w:left="5040"/>
      <w:jc w:val="both"/>
      <w:outlineLvl w:val="1"/>
    </w:pPr>
    <w:rPr>
      <w:rFonts w:ascii="Arial" w:hAnsi="Arial" w:cs="Arial"/>
      <w:b/>
      <w:bCs/>
      <w:sz w:val="22"/>
    </w:rPr>
  </w:style>
  <w:style w:type="paragraph" w:styleId="Heading3">
    <w:name w:val="heading 3"/>
    <w:basedOn w:val="Normal"/>
    <w:next w:val="Normal"/>
    <w:link w:val="Heading3Char"/>
    <w:qFormat/>
    <w:rsid w:val="00E55A79"/>
    <w:pPr>
      <w:keepNext/>
      <w:outlineLvl w:val="2"/>
    </w:pPr>
    <w:rPr>
      <w:rFonts w:ascii="Arial" w:eastAsia="Arial Unicode MS" w:hAnsi="Arial" w:cs="Arial"/>
      <w:b/>
      <w:bCs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B7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qFormat/>
    <w:rsid w:val="00E55A79"/>
    <w:pPr>
      <w:keepNext/>
      <w:jc w:val="center"/>
      <w:outlineLvl w:val="4"/>
    </w:pPr>
    <w:rPr>
      <w:rFonts w:ascii="Arial" w:eastAsia="Arial Unicode MS" w:hAnsi="Arial" w:cs="Arial"/>
      <w:b/>
      <w:bCs/>
      <w:sz w:val="22"/>
    </w:rPr>
  </w:style>
  <w:style w:type="paragraph" w:styleId="Heading6">
    <w:name w:val="heading 6"/>
    <w:basedOn w:val="Normal"/>
    <w:next w:val="Normal"/>
    <w:qFormat/>
    <w:rsid w:val="00E55A79"/>
    <w:pPr>
      <w:keepNext/>
      <w:jc w:val="center"/>
      <w:outlineLvl w:val="5"/>
    </w:pPr>
    <w:rPr>
      <w:rFonts w:ascii="Arial" w:hAnsi="Arial" w:cs="Arial"/>
      <w:b/>
      <w:bCs/>
      <w:sz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paragraph" w:styleId="Heading8">
    <w:name w:val="heading 8"/>
    <w:basedOn w:val="Normal"/>
    <w:next w:val="Normal"/>
    <w:qFormat/>
    <w:rsid w:val="00E55A79"/>
    <w:pPr>
      <w:keepNext/>
      <w:ind w:left="180"/>
      <w:jc w:val="both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50B7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55A79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qFormat/>
    <w:rsid w:val="0076446F"/>
    <w:rPr>
      <w:rFonts w:ascii="Arial" w:eastAsia="Arial Unicode MS" w:hAnsi="Arial" w:cs="Arial"/>
      <w:b/>
      <w:bCs/>
      <w:szCs w:val="24"/>
    </w:rPr>
  </w:style>
  <w:style w:type="character" w:customStyle="1" w:styleId="BalloonTextChar">
    <w:name w:val="Balloon Text Char"/>
    <w:basedOn w:val="DefaultParagraphFont"/>
    <w:link w:val="BalloonText"/>
    <w:qFormat/>
    <w:rsid w:val="00A867C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A867C8"/>
    <w:rPr>
      <w:b/>
      <w:bCs/>
    </w:rPr>
  </w:style>
  <w:style w:type="character" w:customStyle="1" w:styleId="BodyTextIndent2Char">
    <w:name w:val="Body Text Indent 2 Char"/>
    <w:basedOn w:val="DefaultParagraphFont"/>
    <w:link w:val="BodyTextIndent2"/>
    <w:qFormat/>
    <w:rsid w:val="00A13B19"/>
    <w:rPr>
      <w:rFonts w:ascii="Arial" w:hAnsi="Arial"/>
      <w:sz w:val="22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726373"/>
    <w:rPr>
      <w:rFonts w:ascii="Arial" w:hAnsi="Arial" w:cs="Arial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qFormat/>
    <w:rsid w:val="00C50B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C50B7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C50B7E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qFormat/>
    <w:rsid w:val="00C50B7E"/>
  </w:style>
  <w:style w:type="character" w:customStyle="1" w:styleId="FootnoteCharacters">
    <w:name w:val="Footnote Characters"/>
    <w:basedOn w:val="DefaultParagraphFont"/>
    <w:qFormat/>
    <w:rsid w:val="00C50B7E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224718"/>
    <w:rPr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99"/>
    <w:qFormat/>
    <w:rsid w:val="002E2D49"/>
    <w:rPr>
      <w:rFonts w:ascii="Calibri" w:hAnsi="Calibri"/>
      <w:sz w:val="22"/>
      <w:szCs w:val="22"/>
      <w:lang w:val="cs-CZ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2E2D49"/>
    <w:rPr>
      <w:rFonts w:ascii="Arial Unicode MS" w:eastAsia="Arial Unicode MS" w:hAnsi="Arial Unicode MS" w:cs="Arial Unicode MS"/>
    </w:rPr>
  </w:style>
  <w:style w:type="character" w:customStyle="1" w:styleId="fontstyle35">
    <w:name w:val="fontstyle35"/>
    <w:basedOn w:val="DefaultParagraphFont"/>
    <w:qFormat/>
    <w:rsid w:val="00E0519D"/>
  </w:style>
  <w:style w:type="character" w:customStyle="1" w:styleId="WW8Num2z0">
    <w:name w:val="WW8Num2z0"/>
    <w:qFormat/>
    <w:rPr>
      <w:rFonts w:ascii="Calibri" w:eastAsia="Times New Roman" w:hAnsi="Calibri" w:cs="Arial"/>
      <w:b w:val="0"/>
      <w:bCs w:val="0"/>
      <w:color w:val="auto"/>
      <w:sz w:val="22"/>
      <w:szCs w:val="22"/>
      <w:lang w:val="cs-CZ" w:eastAsia="zh-CN" w:bidi="ar-SA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customStyle="1" w:styleId="WW8Num3z0">
    <w:name w:val="WW8Num3z0"/>
    <w:qFormat/>
    <w:rPr>
      <w:rFonts w:ascii="Calibri" w:hAnsi="Calibri" w:cs="Times New Roman"/>
      <w:b w:val="0"/>
      <w:bCs/>
      <w:color w:val="000000"/>
      <w:sz w:val="22"/>
      <w:szCs w:val="22"/>
    </w:rPr>
  </w:style>
  <w:style w:type="character" w:customStyle="1" w:styleId="st1">
    <w:name w:val="st1"/>
    <w:basedOn w:val="DefaultParagraphFont"/>
    <w:qFormat/>
    <w:rPr>
      <w:rFonts w:ascii="Times New Roman" w:hAnsi="Times New Roman" w:cs="Times New Roman"/>
    </w:rPr>
  </w:style>
  <w:style w:type="character" w:customStyle="1" w:styleId="Char">
    <w:name w:val="Κείμενο πλαισίου Char"/>
    <w:basedOn w:val="DefaultParagraphFont"/>
    <w:qFormat/>
    <w:rPr>
      <w:rFonts w:ascii="Tahoma" w:hAnsi="Tahoma" w:cs="Tahoma"/>
      <w:sz w:val="16"/>
      <w:szCs w:val="16"/>
    </w:rPr>
  </w:style>
  <w:style w:type="character" w:customStyle="1" w:styleId="Char0">
    <w:name w:val="Απλό κείμενο Char"/>
    <w:basedOn w:val="DefaultParagraphFont"/>
    <w:qFormat/>
    <w:rPr>
      <w:rFonts w:ascii="Times New Roman" w:hAnsi="Times New Roman" w:cs="Times New Roman"/>
      <w:sz w:val="24"/>
      <w:szCs w:val="24"/>
    </w:rPr>
  </w:style>
  <w:style w:type="character" w:customStyle="1" w:styleId="PlainTextChar">
    <w:name w:val="Plain Text Char"/>
    <w:basedOn w:val="DefaultParagraphFont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har1">
    <w:name w:val="Κείμενο υποσημείωσης Char"/>
    <w:basedOn w:val="DefaultParagraphFont"/>
    <w:qFormat/>
    <w:rPr>
      <w:rFonts w:ascii="Times New Roman" w:hAnsi="Times New Roman" w:cs="Times New Roman"/>
      <w:lang w:val="cs-CZ" w:eastAsia="el-GR"/>
    </w:rPr>
  </w:style>
  <w:style w:type="character" w:styleId="PageNumber">
    <w:name w:val="page number"/>
    <w:basedOn w:val="DefaultParagraphFont"/>
    <w:qFormat/>
    <w:rPr>
      <w:rFonts w:ascii="Times New Roman" w:hAnsi="Times New Roman" w:cs="Times New Roman"/>
    </w:rPr>
  </w:style>
  <w:style w:type="character" w:customStyle="1" w:styleId="BodyText3Char">
    <w:name w:val="Body Text 3 Char"/>
    <w:basedOn w:val="DefaultParagraphFont"/>
    <w:qFormat/>
    <w:rPr>
      <w:rFonts w:ascii="Times New Roman" w:eastAsia="Times New Roman" w:hAnsi="Times New Roman" w:cs="Times New Roman"/>
      <w:lang w:val="cs-CZ" w:eastAsia="el-GR"/>
    </w:rPr>
  </w:style>
  <w:style w:type="character" w:customStyle="1" w:styleId="BodyText2Char">
    <w:name w:val="Body Text 2 Char"/>
    <w:basedOn w:val="DefaultParagraphFont"/>
    <w:qFormat/>
    <w:rPr>
      <w:rFonts w:ascii="Times New Roman" w:eastAsia="Times New Roman" w:hAnsi="Times New Roman" w:cs="Times New Roman"/>
      <w:sz w:val="24"/>
      <w:szCs w:val="24"/>
      <w:lang w:val="cs-CZ" w:eastAsia="el-GR"/>
    </w:rPr>
  </w:style>
  <w:style w:type="character" w:customStyle="1" w:styleId="BodyTextIndent3Char">
    <w:name w:val="Body Text Indent 3 Char"/>
    <w:basedOn w:val="DefaultParagraphFont"/>
    <w:qFormat/>
    <w:rPr>
      <w:rFonts w:ascii="Times New Roman" w:eastAsia="Times New Roman" w:hAnsi="Times New Roman" w:cs="Times New Roman"/>
      <w:b/>
      <w:bCs/>
      <w:sz w:val="24"/>
      <w:szCs w:val="24"/>
      <w:lang w:val="cs-CZ" w:eastAsia="el-GR"/>
    </w:rPr>
  </w:style>
  <w:style w:type="character" w:customStyle="1" w:styleId="BodyTextIndentChar">
    <w:name w:val="Body Text Indent Char"/>
    <w:basedOn w:val="DefaultParagraphFont"/>
    <w:qFormat/>
    <w:rPr>
      <w:rFonts w:ascii="Arial" w:eastAsia="Times New Roman" w:hAnsi="Arial" w:cs="Arial"/>
      <w:lang w:val="cs-CZ" w:eastAsia="el-GR"/>
    </w:rPr>
  </w:style>
  <w:style w:type="character" w:customStyle="1" w:styleId="TitleChar">
    <w:name w:val="Title Char"/>
    <w:basedOn w:val="DefaultParagraphFont"/>
    <w:qFormat/>
    <w:rPr>
      <w:rFonts w:ascii="Arial" w:eastAsia="Times New Roman" w:hAnsi="Arial" w:cs="Arial"/>
      <w:u w:val="single"/>
      <w:lang w:val="cs-CZ" w:eastAsia="el-GR"/>
    </w:rPr>
  </w:style>
  <w:style w:type="character" w:customStyle="1" w:styleId="Heading7Char">
    <w:name w:val="Heading 7 Char"/>
    <w:basedOn w:val="DefaultParagraphFont"/>
    <w:qFormat/>
    <w:rPr>
      <w:rFonts w:ascii="Cambria" w:eastAsia="Times New Roman" w:hAnsi="Cambria" w:cs="Cambria"/>
      <w:i/>
      <w:iCs/>
      <w:color w:val="404040"/>
      <w:sz w:val="24"/>
      <w:szCs w:val="24"/>
      <w:lang w:val="cs-CZ" w:eastAsia="el-GR"/>
    </w:rPr>
  </w:style>
  <w:style w:type="character" w:customStyle="1" w:styleId="Heading2Char">
    <w:name w:val="Heading 2 Char"/>
    <w:basedOn w:val="DefaultParagraphFont"/>
    <w:qFormat/>
    <w:rPr>
      <w:rFonts w:ascii="Arial" w:eastAsia="Times New Roman" w:hAnsi="Arial" w:cs="Arial"/>
      <w:b/>
      <w:bCs/>
      <w:lang w:val="cs-CZ" w:eastAsia="el-GR"/>
    </w:rPr>
  </w:style>
  <w:style w:type="character" w:customStyle="1" w:styleId="Heading1Char">
    <w:name w:val="Heading 1 Char"/>
    <w:basedOn w:val="DefaultParagraphFont"/>
    <w:qFormat/>
    <w:rPr>
      <w:rFonts w:ascii="Arial" w:eastAsia="Times New Roman" w:hAnsi="Arial" w:cs="Arial"/>
      <w:spacing w:val="30"/>
      <w:sz w:val="24"/>
      <w:szCs w:val="24"/>
      <w:u w:val="single"/>
      <w:lang w:val="cs-CZ" w:eastAsia="el-GR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A1B30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55A79"/>
    <w:pPr>
      <w:jc w:val="both"/>
    </w:pPr>
    <w:rPr>
      <w:rFonts w:ascii="Arial" w:hAnsi="Arial" w:cs="Arial"/>
    </w:r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BodyTextIndent">
    <w:name w:val="Body Text Indent"/>
    <w:basedOn w:val="Normal"/>
    <w:rsid w:val="00E55A79"/>
    <w:pPr>
      <w:spacing w:line="360" w:lineRule="auto"/>
      <w:ind w:firstLine="720"/>
    </w:pPr>
    <w:rPr>
      <w:rFonts w:ascii="Arial" w:hAnsi="Arial"/>
      <w:sz w:val="22"/>
    </w:rPr>
  </w:style>
  <w:style w:type="paragraph" w:styleId="BodyTextIndent2">
    <w:name w:val="Body Text Indent 2"/>
    <w:basedOn w:val="Normal"/>
    <w:link w:val="BodyTextIndent2Char"/>
    <w:qFormat/>
    <w:rsid w:val="00E55A79"/>
    <w:pPr>
      <w:ind w:firstLine="720"/>
      <w:jc w:val="both"/>
    </w:pPr>
    <w:rPr>
      <w:rFonts w:ascii="Arial" w:hAnsi="Arial"/>
      <w:sz w:val="22"/>
    </w:rPr>
  </w:style>
  <w:style w:type="paragraph" w:styleId="BodyText3">
    <w:name w:val="Body Text 3"/>
    <w:basedOn w:val="Normal"/>
    <w:qFormat/>
    <w:rsid w:val="00E55A79"/>
    <w:pPr>
      <w:jc w:val="both"/>
    </w:pPr>
    <w:rPr>
      <w:rFonts w:ascii="Arial" w:hAnsi="Arial" w:cs="Arial"/>
      <w:sz w:val="20"/>
      <w:szCs w:val="22"/>
    </w:rPr>
  </w:style>
  <w:style w:type="paragraph" w:styleId="BodyText2">
    <w:name w:val="Body Text 2"/>
    <w:basedOn w:val="Normal"/>
    <w:qFormat/>
    <w:rsid w:val="00E55A79"/>
    <w:pPr>
      <w:jc w:val="both"/>
    </w:pPr>
    <w:rPr>
      <w:rFonts w:ascii="Arial" w:hAnsi="Arial" w:cs="Arial"/>
      <w:sz w:val="22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rsid w:val="00E55A79"/>
    <w:pPr>
      <w:tabs>
        <w:tab w:val="center" w:pos="4153"/>
        <w:tab w:val="right" w:pos="8306"/>
      </w:tabs>
    </w:pPr>
  </w:style>
  <w:style w:type="paragraph" w:customStyle="1" w:styleId="NormalWeb8">
    <w:name w:val="Normal (Web)8"/>
    <w:basedOn w:val="Normal"/>
    <w:qFormat/>
    <w:rsid w:val="00E55A79"/>
    <w:pPr>
      <w:spacing w:before="75" w:after="75"/>
      <w:ind w:left="225" w:right="225"/>
    </w:pPr>
    <w:rPr>
      <w:sz w:val="22"/>
      <w:szCs w:val="22"/>
    </w:rPr>
  </w:style>
  <w:style w:type="paragraph" w:styleId="BalloonText">
    <w:name w:val="Balloon Text"/>
    <w:basedOn w:val="Normal"/>
    <w:link w:val="BalloonTextChar"/>
    <w:qFormat/>
    <w:rsid w:val="00A867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99"/>
    <w:qFormat/>
    <w:rsid w:val="00A867C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NormalWeb">
    <w:name w:val="Normal (Web)"/>
    <w:basedOn w:val="Normal"/>
    <w:qFormat/>
    <w:rsid w:val="00CE3CA8"/>
    <w:pPr>
      <w:spacing w:beforeAutospacing="1" w:after="119"/>
    </w:pPr>
  </w:style>
  <w:style w:type="paragraph" w:styleId="Footer">
    <w:name w:val="footer"/>
    <w:basedOn w:val="Normal"/>
    <w:link w:val="FooterChar"/>
    <w:uiPriority w:val="99"/>
    <w:rsid w:val="00C50B7E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rsid w:val="00C50B7E"/>
    <w:pPr>
      <w:ind w:left="720" w:hanging="720"/>
      <w:jc w:val="both"/>
    </w:pPr>
    <w:rPr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qFormat/>
    <w:rsid w:val="002E2D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body">
    <w:name w:val="body"/>
    <w:basedOn w:val="Normal"/>
    <w:qFormat/>
    <w:rsid w:val="002E2D49"/>
    <w:pPr>
      <w:ind w:firstLine="720"/>
      <w:jc w:val="both"/>
    </w:pPr>
    <w:rPr>
      <w:rFonts w:eastAsia="MS Mincho"/>
      <w:sz w:val="22"/>
      <w:szCs w:val="22"/>
      <w:lang w:eastAsia="en-US"/>
    </w:rPr>
  </w:style>
  <w:style w:type="paragraph" w:customStyle="1" w:styleId="tableheader1">
    <w:name w:val="table header 1"/>
    <w:qFormat/>
    <w:rsid w:val="002E2D49"/>
    <w:rPr>
      <w:rFonts w:eastAsia="MS Mincho"/>
      <w:b/>
      <w:sz w:val="24"/>
      <w:szCs w:val="18"/>
      <w:lang w:eastAsia="en-US"/>
    </w:rPr>
  </w:style>
  <w:style w:type="paragraph" w:customStyle="1" w:styleId="tabletext1">
    <w:name w:val="table text 1"/>
    <w:qFormat/>
    <w:rsid w:val="002E2D49"/>
    <w:rPr>
      <w:rFonts w:eastAsia="MS Mincho"/>
      <w:sz w:val="24"/>
      <w:szCs w:val="18"/>
      <w:lang w:eastAsia="en-US"/>
    </w:rPr>
  </w:style>
  <w:style w:type="paragraph" w:customStyle="1" w:styleId="bulletslist">
    <w:name w:val="bullets list"/>
    <w:basedOn w:val="body"/>
    <w:qFormat/>
    <w:rsid w:val="002E2D49"/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PlainText">
    <w:name w:val="Plain Text"/>
    <w:basedOn w:val="Normal"/>
    <w:qFormat/>
    <w:pPr>
      <w:spacing w:before="280" w:after="280"/>
    </w:pPr>
  </w:style>
  <w:style w:type="paragraph" w:customStyle="1" w:styleId="CM4">
    <w:name w:val="CM4"/>
    <w:basedOn w:val="Default"/>
    <w:next w:val="Default"/>
    <w:qFormat/>
    <w:pPr>
      <w:spacing w:before="60" w:after="60"/>
    </w:pPr>
    <w:rPr>
      <w:color w:val="auto"/>
      <w:sz w:val="20"/>
      <w:szCs w:val="20"/>
    </w:rPr>
  </w:style>
  <w:style w:type="paragraph" w:customStyle="1" w:styleId="CM3">
    <w:name w:val="CM3"/>
    <w:basedOn w:val="Default"/>
    <w:next w:val="Default"/>
    <w:qFormat/>
    <w:pPr>
      <w:spacing w:before="60" w:after="60"/>
    </w:pPr>
    <w:rPr>
      <w:color w:val="auto"/>
      <w:sz w:val="20"/>
      <w:szCs w:val="20"/>
    </w:rPr>
  </w:style>
  <w:style w:type="paragraph" w:customStyle="1" w:styleId="CM1">
    <w:name w:val="CM1"/>
    <w:basedOn w:val="Default"/>
    <w:next w:val="Default"/>
    <w:qFormat/>
    <w:pPr>
      <w:spacing w:before="200" w:after="200"/>
    </w:pPr>
    <w:rPr>
      <w:color w:val="auto"/>
      <w:sz w:val="20"/>
      <w:szCs w:val="20"/>
    </w:rPr>
  </w:style>
  <w:style w:type="paragraph" w:customStyle="1" w:styleId="Default">
    <w:name w:val="Default"/>
    <w:qFormat/>
    <w:rPr>
      <w:rFonts w:ascii="EU Albertina" w:hAnsi="EU Albertina" w:cs="EU Albertina"/>
      <w:color w:val="000000"/>
      <w:sz w:val="24"/>
      <w:szCs w:val="24"/>
    </w:rPr>
  </w:style>
  <w:style w:type="paragraph" w:styleId="BodyTextIndent3">
    <w:name w:val="Body Text Indent 3"/>
    <w:basedOn w:val="Normal"/>
    <w:qFormat/>
    <w:pPr>
      <w:ind w:left="720"/>
      <w:jc w:val="both"/>
    </w:pPr>
    <w:rPr>
      <w:b/>
      <w:bCs/>
    </w:rPr>
  </w:style>
  <w:style w:type="paragraph" w:styleId="Title">
    <w:name w:val="Title"/>
    <w:basedOn w:val="Normal"/>
    <w:qFormat/>
    <w:pPr>
      <w:jc w:val="center"/>
    </w:pPr>
    <w:rPr>
      <w:rFonts w:ascii="Arial" w:hAnsi="Arial" w:cs="Arial"/>
      <w:u w:val="single"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table" w:styleId="TableGrid">
    <w:name w:val="Table Grid"/>
    <w:basedOn w:val="TableNormal"/>
    <w:rsid w:val="00905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C54B9"/>
    <w:pPr>
      <w:suppressAutoHyphens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ochemicals.gcsl@aade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2061</Words>
  <Characters>11751</Characters>
  <Application>Microsoft Office Word</Application>
  <DocSecurity>0</DocSecurity>
  <Lines>97</Lines>
  <Paragraphs>27</Paragraphs>
  <ScaleCrop>false</ScaleCrop>
  <Company>HP</Company>
  <LinksUpToDate>false</LinksUpToDate>
  <CharactersWithSpaces>13785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Liana Brili</cp:lastModifiedBy>
  <cp:revision>8</cp:revision>
  <cp:lastPrinted>2023-02-28T09:47:00Z</cp:lastPrinted>
  <dcterms:created xsi:type="dcterms:W3CDTF">2023-03-06T09:22:00Z</dcterms:created>
  <dcterms:modified xsi:type="dcterms:W3CDTF">2023-03-14T16:45:00Z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