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3"/>
        <w:gridCol w:w="14"/>
      </w:tblGrid>
      <w:tr w:rsidR="006A01C1" w:rsidRPr="00B75A8A" w14:paraId="021E6F6D" w14:textId="77777777" w:rsidTr="006A01C1">
        <w:trPr>
          <w:gridAfter w:val="1"/>
          <w:wAfter w:w="14" w:type="dxa"/>
          <w:trHeight w:val="151"/>
          <w:jc w:val="center"/>
        </w:trPr>
        <w:tc>
          <w:tcPr>
            <w:tcW w:w="9053" w:type="dxa"/>
          </w:tcPr>
          <w:p w14:paraId="4E287BB3" w14:textId="77777777" w:rsidR="006A01C1" w:rsidRPr="00B75A8A" w:rsidRDefault="006A01C1" w:rsidP="00BA3E3D">
            <w:pPr>
              <w:pStyle w:val="Heading3"/>
              <w:jc w:val="center"/>
              <w:rPr>
                <w:rFonts w:asciiTheme="minorHAnsi" w:hAnsiTheme="minorHAnsi" w:cstheme="minorHAnsi"/>
                <w:sz w:val="22"/>
                <w:szCs w:val="22"/>
              </w:rPr>
            </w:pPr>
            <w:r>
              <w:rPr>
                <w:rFonts w:asciiTheme="minorHAnsi" w:hAnsiTheme="minorHAnsi"/>
                <w:sz w:val="22"/>
              </w:rPr>
              <w:t>REINO DE BÉLGICA</w:t>
            </w:r>
          </w:p>
        </w:tc>
      </w:tr>
      <w:tr w:rsidR="006A01C1" w:rsidRPr="00B75A8A" w14:paraId="37E989A5" w14:textId="77777777" w:rsidTr="006A01C1">
        <w:trPr>
          <w:gridAfter w:val="1"/>
          <w:wAfter w:w="14" w:type="dxa"/>
          <w:jc w:val="center"/>
        </w:trPr>
        <w:tc>
          <w:tcPr>
            <w:tcW w:w="9053" w:type="dxa"/>
          </w:tcPr>
          <w:p w14:paraId="64A56390"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w:t>
            </w:r>
          </w:p>
        </w:tc>
      </w:tr>
      <w:tr w:rsidR="006A01C1" w:rsidRPr="00B75A8A" w14:paraId="1241AC8C" w14:textId="77777777" w:rsidTr="006A01C1">
        <w:trPr>
          <w:gridAfter w:val="1"/>
          <w:wAfter w:w="14" w:type="dxa"/>
          <w:jc w:val="center"/>
        </w:trPr>
        <w:tc>
          <w:tcPr>
            <w:tcW w:w="9053" w:type="dxa"/>
          </w:tcPr>
          <w:p w14:paraId="155252DD" w14:textId="77777777" w:rsidR="006A01C1" w:rsidRPr="00B75A8A" w:rsidRDefault="006A01C1" w:rsidP="00BA3E3D">
            <w:pPr>
              <w:tabs>
                <w:tab w:val="left" w:pos="2268"/>
              </w:tabs>
              <w:jc w:val="center"/>
              <w:rPr>
                <w:rFonts w:asciiTheme="minorHAnsi" w:hAnsiTheme="minorHAnsi" w:cstheme="minorHAnsi"/>
                <w:sz w:val="22"/>
                <w:szCs w:val="22"/>
                <w:lang w:val="fr-BE"/>
              </w:rPr>
            </w:pPr>
          </w:p>
        </w:tc>
      </w:tr>
      <w:tr w:rsidR="006A01C1" w:rsidRPr="00B75A8A" w14:paraId="1E70777D" w14:textId="77777777" w:rsidTr="006A01C1">
        <w:trPr>
          <w:gridAfter w:val="1"/>
          <w:wAfter w:w="14" w:type="dxa"/>
          <w:jc w:val="center"/>
        </w:trPr>
        <w:tc>
          <w:tcPr>
            <w:tcW w:w="9053" w:type="dxa"/>
          </w:tcPr>
          <w:p w14:paraId="7C853C8A"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sz w:val="22"/>
              </w:rPr>
              <w:t xml:space="preserve">SERVICIO PÚBLICO FEDERAL DE SALUD PÚBLICA, SEGURIDAD DE LA CADENA ALIMENTARIA Y MEDIOAMBIENTE </w:t>
            </w:r>
          </w:p>
        </w:tc>
      </w:tr>
      <w:tr w:rsidR="006A01C1" w:rsidRPr="00B75A8A" w14:paraId="5C2F406C" w14:textId="77777777" w:rsidTr="006A01C1">
        <w:trPr>
          <w:gridAfter w:val="1"/>
          <w:wAfter w:w="14" w:type="dxa"/>
          <w:jc w:val="center"/>
        </w:trPr>
        <w:tc>
          <w:tcPr>
            <w:tcW w:w="9053" w:type="dxa"/>
          </w:tcPr>
          <w:p w14:paraId="5BA4CBE7"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________________________</w:t>
            </w:r>
          </w:p>
        </w:tc>
      </w:tr>
      <w:tr w:rsidR="006A01C1" w:rsidRPr="00B75A8A" w14:paraId="488D2117" w14:textId="77777777" w:rsidTr="006A01C1">
        <w:trPr>
          <w:gridAfter w:val="1"/>
          <w:wAfter w:w="14" w:type="dxa"/>
          <w:jc w:val="center"/>
        </w:trPr>
        <w:tc>
          <w:tcPr>
            <w:tcW w:w="9053" w:type="dxa"/>
          </w:tcPr>
          <w:p w14:paraId="1BC75178" w14:textId="77777777" w:rsidR="006A01C1" w:rsidRPr="00B75A8A" w:rsidRDefault="006A01C1" w:rsidP="00BA3E3D">
            <w:pPr>
              <w:tabs>
                <w:tab w:val="left" w:pos="2268"/>
              </w:tabs>
              <w:jc w:val="center"/>
              <w:rPr>
                <w:rFonts w:asciiTheme="minorHAnsi" w:hAnsiTheme="minorHAnsi" w:cstheme="minorHAnsi"/>
                <w:sz w:val="22"/>
                <w:szCs w:val="22"/>
              </w:rPr>
            </w:pPr>
          </w:p>
        </w:tc>
      </w:tr>
      <w:tr w:rsidR="006A01C1" w:rsidRPr="00B75A8A" w14:paraId="223497AF" w14:textId="77777777" w:rsidTr="006A01C1">
        <w:trPr>
          <w:gridAfter w:val="1"/>
          <w:wAfter w:w="14" w:type="dxa"/>
          <w:jc w:val="center"/>
        </w:trPr>
        <w:tc>
          <w:tcPr>
            <w:tcW w:w="9053" w:type="dxa"/>
          </w:tcPr>
          <w:p w14:paraId="693B478B"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color w:val="000000"/>
                <w:sz w:val="22"/>
              </w:rPr>
              <w:t>Real Decreto por el que se modifica el Real Decreto de 28 de octubre de 2016 relativo a la fabricación y la puesta en circulación de cigarrillos electrónicos</w:t>
            </w:r>
          </w:p>
        </w:tc>
      </w:tr>
      <w:tr w:rsidR="006A01C1" w:rsidRPr="006A01C1" w14:paraId="192BD51E" w14:textId="77777777" w:rsidTr="006A01C1">
        <w:trPr>
          <w:gridAfter w:val="1"/>
          <w:wAfter w:w="14" w:type="dxa"/>
          <w:jc w:val="center"/>
        </w:trPr>
        <w:tc>
          <w:tcPr>
            <w:tcW w:w="9053" w:type="dxa"/>
          </w:tcPr>
          <w:p w14:paraId="56ABD589" w14:textId="77777777" w:rsidR="006A01C1" w:rsidRPr="006A01C1" w:rsidRDefault="006A01C1" w:rsidP="00BA3E3D">
            <w:pPr>
              <w:rPr>
                <w:rFonts w:asciiTheme="minorHAnsi" w:hAnsiTheme="minorHAnsi" w:cstheme="minorHAnsi"/>
                <w:b/>
                <w:sz w:val="22"/>
                <w:szCs w:val="22"/>
                <w:lang w:val="nl-BE"/>
              </w:rPr>
            </w:pPr>
          </w:p>
        </w:tc>
      </w:tr>
      <w:tr w:rsidR="006A01C1" w:rsidRPr="00B75A8A" w14:paraId="0C31B05B" w14:textId="77777777" w:rsidTr="006A01C1">
        <w:trPr>
          <w:gridAfter w:val="1"/>
          <w:wAfter w:w="14" w:type="dxa"/>
          <w:jc w:val="center"/>
        </w:trPr>
        <w:tc>
          <w:tcPr>
            <w:tcW w:w="9053" w:type="dxa"/>
          </w:tcPr>
          <w:p w14:paraId="419BAC67" w14:textId="77777777" w:rsidR="006A01C1" w:rsidRPr="00B75A8A" w:rsidRDefault="006A01C1" w:rsidP="00BA3E3D">
            <w:pPr>
              <w:jc w:val="center"/>
              <w:rPr>
                <w:rFonts w:asciiTheme="minorHAnsi" w:hAnsiTheme="minorHAnsi" w:cstheme="minorHAnsi"/>
                <w:b/>
                <w:sz w:val="22"/>
                <w:szCs w:val="22"/>
              </w:rPr>
            </w:pPr>
            <w:r>
              <w:rPr>
                <w:rFonts w:asciiTheme="minorHAnsi" w:hAnsiTheme="minorHAnsi"/>
                <w:b/>
                <w:sz w:val="22"/>
              </w:rPr>
              <w:t>FELIPE, Rey de los belgas,</w:t>
            </w:r>
          </w:p>
        </w:tc>
      </w:tr>
      <w:tr w:rsidR="006A01C1" w:rsidRPr="00B75A8A" w14:paraId="6F0AC032" w14:textId="77777777" w:rsidTr="006A01C1">
        <w:trPr>
          <w:gridAfter w:val="1"/>
          <w:wAfter w:w="14" w:type="dxa"/>
          <w:jc w:val="center"/>
        </w:trPr>
        <w:tc>
          <w:tcPr>
            <w:tcW w:w="9053" w:type="dxa"/>
          </w:tcPr>
          <w:p w14:paraId="69474ABA" w14:textId="77777777" w:rsidR="006A01C1" w:rsidRPr="00B75A8A" w:rsidRDefault="006A01C1" w:rsidP="00BA3E3D">
            <w:pPr>
              <w:jc w:val="center"/>
              <w:rPr>
                <w:rFonts w:asciiTheme="minorHAnsi" w:hAnsiTheme="minorHAnsi" w:cstheme="minorHAnsi"/>
                <w:bCs/>
                <w:sz w:val="22"/>
                <w:szCs w:val="22"/>
                <w:lang w:val="fr-BE"/>
              </w:rPr>
            </w:pPr>
          </w:p>
        </w:tc>
      </w:tr>
      <w:tr w:rsidR="006A01C1" w:rsidRPr="00B75A8A" w14:paraId="5B492FB4" w14:textId="77777777" w:rsidTr="006A01C1">
        <w:trPr>
          <w:gridAfter w:val="1"/>
          <w:wAfter w:w="14" w:type="dxa"/>
          <w:jc w:val="center"/>
        </w:trPr>
        <w:tc>
          <w:tcPr>
            <w:tcW w:w="9053" w:type="dxa"/>
          </w:tcPr>
          <w:p w14:paraId="0A7C3D52" w14:textId="77777777" w:rsidR="006A01C1" w:rsidRPr="00B75A8A" w:rsidRDefault="006A01C1" w:rsidP="00BA3E3D">
            <w:pPr>
              <w:pStyle w:val="Footer"/>
              <w:tabs>
                <w:tab w:val="clear" w:pos="4536"/>
                <w:tab w:val="clear" w:pos="9072"/>
                <w:tab w:val="left" w:pos="356"/>
                <w:tab w:val="left" w:pos="2268"/>
              </w:tabs>
              <w:jc w:val="center"/>
              <w:rPr>
                <w:rFonts w:asciiTheme="minorHAnsi" w:hAnsiTheme="minorHAnsi" w:cstheme="minorHAnsi"/>
                <w:sz w:val="22"/>
                <w:szCs w:val="22"/>
              </w:rPr>
            </w:pPr>
            <w:r>
              <w:rPr>
                <w:rFonts w:asciiTheme="minorHAnsi" w:hAnsiTheme="minorHAnsi"/>
                <w:sz w:val="22"/>
              </w:rPr>
              <w:t>Saludos a todos los presentes y futuros.</w:t>
            </w:r>
          </w:p>
        </w:tc>
      </w:tr>
      <w:tr w:rsidR="006A01C1" w:rsidRPr="00C26B53" w14:paraId="2AE7EA7D" w14:textId="77777777" w:rsidTr="006A01C1">
        <w:trPr>
          <w:gridAfter w:val="1"/>
          <w:wAfter w:w="14" w:type="dxa"/>
          <w:jc w:val="center"/>
        </w:trPr>
        <w:tc>
          <w:tcPr>
            <w:tcW w:w="9053" w:type="dxa"/>
          </w:tcPr>
          <w:p w14:paraId="21B80015" w14:textId="77777777" w:rsidR="006A01C1" w:rsidRPr="00C26B53" w:rsidRDefault="006A01C1" w:rsidP="00BA3E3D">
            <w:pPr>
              <w:tabs>
                <w:tab w:val="left" w:pos="567"/>
                <w:tab w:val="left" w:pos="2268"/>
              </w:tabs>
              <w:rPr>
                <w:rFonts w:asciiTheme="minorHAnsi" w:hAnsiTheme="minorHAnsi" w:cstheme="minorHAnsi"/>
                <w:sz w:val="22"/>
                <w:szCs w:val="22"/>
                <w:lang w:val="nl-BE"/>
              </w:rPr>
            </w:pPr>
          </w:p>
        </w:tc>
      </w:tr>
      <w:tr w:rsidR="006A01C1" w:rsidRPr="00B75A8A" w14:paraId="231BE8B6" w14:textId="77777777" w:rsidTr="006A01C1">
        <w:trPr>
          <w:gridAfter w:val="1"/>
          <w:wAfter w:w="14" w:type="dxa"/>
          <w:trHeight w:val="824"/>
          <w:jc w:val="center"/>
        </w:trPr>
        <w:tc>
          <w:tcPr>
            <w:tcW w:w="9053" w:type="dxa"/>
          </w:tcPr>
          <w:p w14:paraId="1E1B947B" w14:textId="77777777"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Vista la Ley de 24 de enero de 1977 relativa a la protección de la salud de los consumidores en lo que respecta a los productos alimenticios y otros productos, artículo 6, apartado 1, letra a), sustituido por la Ley de 22 de marzo de 1989, artículo 10, apartado 1, sustituido por la Ley de 9 de febrero de 1994;</w:t>
            </w:r>
          </w:p>
        </w:tc>
      </w:tr>
      <w:tr w:rsidR="006A01C1" w:rsidRPr="006A01C1" w14:paraId="2A999859" w14:textId="77777777" w:rsidTr="006A01C1">
        <w:trPr>
          <w:gridAfter w:val="1"/>
          <w:wAfter w:w="14" w:type="dxa"/>
          <w:trHeight w:val="260"/>
          <w:jc w:val="center"/>
        </w:trPr>
        <w:tc>
          <w:tcPr>
            <w:tcW w:w="9053" w:type="dxa"/>
          </w:tcPr>
          <w:p w14:paraId="00BB402C"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7F77ECB9" w14:textId="77777777" w:rsidTr="006A01C1">
        <w:trPr>
          <w:gridAfter w:val="1"/>
          <w:wAfter w:w="14" w:type="dxa"/>
          <w:trHeight w:val="746"/>
          <w:jc w:val="center"/>
        </w:trPr>
        <w:tc>
          <w:tcPr>
            <w:tcW w:w="9053" w:type="dxa"/>
          </w:tcPr>
          <w:p w14:paraId="6176694B"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sz w:val="22"/>
              </w:rPr>
              <w:t>Visto el</w:t>
            </w:r>
            <w:r>
              <w:rPr>
                <w:rFonts w:asciiTheme="minorHAnsi" w:hAnsiTheme="minorHAnsi"/>
                <w:b/>
                <w:color w:val="000000"/>
                <w:sz w:val="22"/>
              </w:rPr>
              <w:t xml:space="preserve"> </w:t>
            </w:r>
            <w:r>
              <w:rPr>
                <w:rFonts w:asciiTheme="minorHAnsi" w:hAnsiTheme="minorHAnsi"/>
                <w:color w:val="000000"/>
                <w:sz w:val="22"/>
              </w:rPr>
              <w:t>Real Decreto de 28 de octubre de 2016, relativo a la fabricación y la puesta en circulación de cigarrillos electrónicos, modificado por la Ley de 17 de mayo de 2017;</w:t>
            </w:r>
          </w:p>
          <w:p w14:paraId="16B25B38"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p w14:paraId="536243F7" w14:textId="77777777" w:rsidR="006A01C1" w:rsidRPr="009D2E87" w:rsidRDefault="006A01C1" w:rsidP="00BA3E3D">
            <w:pPr>
              <w:tabs>
                <w:tab w:val="left" w:pos="356"/>
                <w:tab w:val="left" w:pos="2268"/>
              </w:tabs>
              <w:jc w:val="both"/>
              <w:rPr>
                <w:rFonts w:asciiTheme="minorHAnsi" w:hAnsiTheme="minorHAnsi" w:cstheme="minorHAnsi"/>
                <w:color w:val="FF0000"/>
                <w:sz w:val="22"/>
                <w:szCs w:val="22"/>
                <w:lang w:val="nl-NL"/>
              </w:rPr>
            </w:pPr>
          </w:p>
          <w:p w14:paraId="7BD645A6" w14:textId="77777777" w:rsidR="006A01C1"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color w:val="000000"/>
                <w:sz w:val="22"/>
              </w:rPr>
              <w:t xml:space="preserve">Vista la notificación a la Comisión Europea, </w:t>
            </w:r>
            <w:r>
              <w:rPr>
                <w:rFonts w:asciiTheme="minorHAnsi" w:hAnsiTheme="minorHAnsi"/>
                <w:sz w:val="22"/>
              </w:rPr>
              <w:t xml:space="preserve">enviada el </w:t>
            </w:r>
            <w:r>
              <w:rPr>
                <w:rFonts w:asciiTheme="minorHAnsi" w:hAnsiTheme="minorHAnsi"/>
                <w:sz w:val="22"/>
                <w:highlight w:val="yellow"/>
              </w:rPr>
              <w:t>XXX</w:t>
            </w:r>
            <w:r>
              <w:rPr>
                <w:rFonts w:asciiTheme="minorHAnsi" w:hAnsiTheme="minorHAnsi"/>
                <w:sz w:val="22"/>
              </w:rPr>
              <w:t xml:space="preserve">, </w:t>
            </w:r>
            <w:r>
              <w:rPr>
                <w:rFonts w:asciiTheme="minorHAnsi" w:hAnsiTheme="minorHAnsi"/>
                <w:color w:val="000000"/>
                <w:sz w:val="22"/>
              </w:rPr>
              <w:t>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63AF939"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tc>
      </w:tr>
      <w:tr w:rsidR="006A01C1" w:rsidRPr="009D2E87" w14:paraId="2033CEFD" w14:textId="77777777" w:rsidTr="006A01C1">
        <w:trPr>
          <w:gridAfter w:val="1"/>
          <w:wAfter w:w="14" w:type="dxa"/>
          <w:trHeight w:val="206"/>
          <w:jc w:val="center"/>
        </w:trPr>
        <w:tc>
          <w:tcPr>
            <w:tcW w:w="9053" w:type="dxa"/>
          </w:tcPr>
          <w:p w14:paraId="36C1806D" w14:textId="77777777" w:rsidR="006A01C1" w:rsidRDefault="006A01C1" w:rsidP="00BA3E3D">
            <w:pPr>
              <w:tabs>
                <w:tab w:val="left" w:pos="356"/>
                <w:tab w:val="left" w:pos="2268"/>
              </w:tabs>
              <w:jc w:val="both"/>
              <w:rPr>
                <w:rFonts w:asciiTheme="minorHAnsi" w:hAnsiTheme="minorHAnsi" w:cstheme="minorHAnsi"/>
                <w:b/>
                <w:bCs/>
                <w:sz w:val="22"/>
                <w:szCs w:val="22"/>
              </w:rPr>
            </w:pPr>
            <w:r>
              <w:rPr>
                <w:rFonts w:asciiTheme="minorHAnsi" w:hAnsiTheme="minorHAnsi"/>
                <w:sz w:val="22"/>
              </w:rPr>
              <w:t>Vista la notificación de la Comisión Europea de XXX, de conformidad con el artículo 24, apartado 3, de la Directiva 2014/40/UE del Parlamento Europeo y del Consejo, de 3 de abril de 2014,</w:t>
            </w:r>
            <w:r>
              <w:t xml:space="preserve"> relativa a la aproximación de las disposiciones legales, reglamentarias y administrativas de los Estados miembros en materia de fabricación, presentación y venta de los productos del tabaco y los productos relacionados y por la que se deroga la Directiva 2001/37/CE</w:t>
            </w:r>
            <w:r>
              <w:rPr>
                <w:rFonts w:asciiTheme="minorHAnsi" w:hAnsiTheme="minorHAnsi"/>
                <w:sz w:val="22"/>
              </w:rPr>
              <w:t>;</w:t>
            </w:r>
          </w:p>
          <w:p w14:paraId="38689BF5" w14:textId="77777777" w:rsidR="006A01C1" w:rsidRPr="009D2E87" w:rsidRDefault="006A01C1" w:rsidP="00BA3E3D">
            <w:pPr>
              <w:tabs>
                <w:tab w:val="left" w:pos="356"/>
                <w:tab w:val="left" w:pos="2268"/>
              </w:tabs>
              <w:jc w:val="both"/>
              <w:rPr>
                <w:rFonts w:asciiTheme="minorHAnsi" w:hAnsiTheme="minorHAnsi" w:cstheme="minorHAnsi"/>
                <w:b/>
                <w:bCs/>
                <w:sz w:val="22"/>
                <w:szCs w:val="22"/>
                <w:lang w:val="nl-NL"/>
              </w:rPr>
            </w:pPr>
          </w:p>
        </w:tc>
      </w:tr>
      <w:tr w:rsidR="006A01C1" w:rsidRPr="00B75A8A" w14:paraId="3916B412" w14:textId="77777777" w:rsidTr="006A01C1">
        <w:trPr>
          <w:gridAfter w:val="1"/>
          <w:wAfter w:w="14" w:type="dxa"/>
          <w:jc w:val="center"/>
        </w:trPr>
        <w:tc>
          <w:tcPr>
            <w:tcW w:w="9053" w:type="dxa"/>
          </w:tcPr>
          <w:p w14:paraId="7E98703C" w14:textId="77777777"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Visto el Dictamen del Inspector de Finanzas, emitido el </w:t>
            </w:r>
            <w:r>
              <w:rPr>
                <w:rFonts w:asciiTheme="minorHAnsi" w:hAnsiTheme="minorHAnsi"/>
                <w:sz w:val="22"/>
                <w:highlight w:val="yellow"/>
              </w:rPr>
              <w:t>XXX</w:t>
            </w:r>
            <w:r>
              <w:rPr>
                <w:rFonts w:asciiTheme="minorHAnsi" w:hAnsiTheme="minorHAnsi"/>
                <w:sz w:val="22"/>
              </w:rPr>
              <w:t>;</w:t>
            </w:r>
          </w:p>
        </w:tc>
      </w:tr>
      <w:tr w:rsidR="006A01C1" w:rsidRPr="006A01C1" w14:paraId="1D60AC05" w14:textId="77777777" w:rsidTr="006A01C1">
        <w:trPr>
          <w:gridAfter w:val="1"/>
          <w:wAfter w:w="14" w:type="dxa"/>
          <w:jc w:val="center"/>
        </w:trPr>
        <w:tc>
          <w:tcPr>
            <w:tcW w:w="9053" w:type="dxa"/>
          </w:tcPr>
          <w:p w14:paraId="3706DD33"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03FAD2C3" w14:textId="77777777" w:rsidTr="006A01C1">
        <w:trPr>
          <w:gridAfter w:val="1"/>
          <w:wAfter w:w="14" w:type="dxa"/>
          <w:jc w:val="center"/>
        </w:trPr>
        <w:tc>
          <w:tcPr>
            <w:tcW w:w="9053" w:type="dxa"/>
          </w:tcPr>
          <w:p w14:paraId="20B40207" w14:textId="77777777" w:rsidR="006A01C1" w:rsidRDefault="006A01C1" w:rsidP="00BA3E3D">
            <w:pPr>
              <w:tabs>
                <w:tab w:val="left" w:pos="356"/>
                <w:tab w:val="left" w:pos="2268"/>
              </w:tabs>
              <w:jc w:val="both"/>
              <w:rPr>
                <w:rFonts w:asciiTheme="minorHAnsi" w:hAnsiTheme="minorHAnsi" w:cstheme="minorHAnsi"/>
                <w:color w:val="FF0000"/>
                <w:sz w:val="22"/>
                <w:szCs w:val="22"/>
              </w:rPr>
            </w:pPr>
            <w:r>
              <w:rPr>
                <w:rFonts w:asciiTheme="minorHAnsi" w:hAnsiTheme="minorHAnsi"/>
                <w:sz w:val="22"/>
              </w:rPr>
              <w:t xml:space="preserve">Visto el acuerdo alcanzado por el Secretario de Estado de Presupuestos, emitido el </w:t>
            </w:r>
            <w:r>
              <w:rPr>
                <w:rFonts w:asciiTheme="minorHAnsi" w:hAnsiTheme="minorHAnsi"/>
                <w:sz w:val="22"/>
                <w:highlight w:val="yellow"/>
              </w:rPr>
              <w:t>XXX</w:t>
            </w:r>
            <w:r>
              <w:rPr>
                <w:rFonts w:asciiTheme="minorHAnsi" w:hAnsiTheme="minorHAnsi"/>
                <w:sz w:val="22"/>
              </w:rPr>
              <w:t>;</w:t>
            </w:r>
          </w:p>
          <w:p w14:paraId="34BE8196" w14:textId="77777777" w:rsidR="006A01C1" w:rsidRDefault="006A01C1" w:rsidP="00BA3E3D">
            <w:pPr>
              <w:tabs>
                <w:tab w:val="left" w:pos="356"/>
                <w:tab w:val="left" w:pos="2268"/>
              </w:tabs>
              <w:jc w:val="both"/>
              <w:rPr>
                <w:rFonts w:asciiTheme="minorHAnsi" w:hAnsiTheme="minorHAnsi" w:cstheme="minorHAnsi"/>
                <w:color w:val="FF0000"/>
                <w:sz w:val="22"/>
                <w:szCs w:val="22"/>
                <w:lang w:val="nl-BE"/>
              </w:rPr>
            </w:pPr>
          </w:p>
          <w:p w14:paraId="0B7E366E" w14:textId="77777777" w:rsidR="006A01C1" w:rsidRPr="00B75A8A" w:rsidRDefault="006A01C1" w:rsidP="00BA3E3D">
            <w:pPr>
              <w:tabs>
                <w:tab w:val="left" w:pos="356"/>
                <w:tab w:val="left" w:pos="2268"/>
              </w:tabs>
              <w:jc w:val="both"/>
              <w:rPr>
                <w:rFonts w:asciiTheme="minorHAnsi" w:hAnsiTheme="minorHAnsi" w:cstheme="minorHAnsi"/>
                <w:sz w:val="22"/>
                <w:szCs w:val="22"/>
                <w:lang w:val="nl-BE"/>
              </w:rPr>
            </w:pPr>
          </w:p>
        </w:tc>
      </w:tr>
      <w:tr w:rsidR="006A01C1" w:rsidRPr="006A01C1" w14:paraId="2B82E80D" w14:textId="77777777" w:rsidTr="006A01C1">
        <w:trPr>
          <w:gridAfter w:val="1"/>
          <w:wAfter w:w="14" w:type="dxa"/>
          <w:jc w:val="center"/>
        </w:trPr>
        <w:tc>
          <w:tcPr>
            <w:tcW w:w="9053" w:type="dxa"/>
          </w:tcPr>
          <w:p w14:paraId="48742A2D"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6DB37ECF" w14:textId="77777777" w:rsidTr="006A01C1">
        <w:trPr>
          <w:gridAfter w:val="1"/>
          <w:wAfter w:w="14" w:type="dxa"/>
          <w:jc w:val="center"/>
        </w:trPr>
        <w:tc>
          <w:tcPr>
            <w:tcW w:w="9053" w:type="dxa"/>
          </w:tcPr>
          <w:p w14:paraId="580CFD2F" w14:textId="77777777" w:rsidR="006A01C1" w:rsidRPr="00F109D4"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Visto el Dictamen 72.095/1/V del Consejo de Estado, emitido el </w:t>
            </w:r>
            <w:r>
              <w:rPr>
                <w:rFonts w:asciiTheme="minorHAnsi" w:hAnsiTheme="minorHAnsi"/>
                <w:sz w:val="22"/>
                <w:highlight w:val="yellow"/>
              </w:rPr>
              <w:t>XXX</w:t>
            </w:r>
            <w:r>
              <w:rPr>
                <w:rFonts w:asciiTheme="minorHAnsi" w:hAnsiTheme="minorHAnsi"/>
                <w:sz w:val="22"/>
              </w:rPr>
              <w:t>, de conformidad con el artículo 84, apartado 1, punto 1, párrafo segundo, de la Ley del Consejo de Estado, coordinada el 12 de enero de 1973;</w:t>
            </w:r>
          </w:p>
          <w:p w14:paraId="0559D257" w14:textId="77777777" w:rsidR="006A01C1" w:rsidRDefault="006A01C1" w:rsidP="00BA3E3D">
            <w:pPr>
              <w:tabs>
                <w:tab w:val="left" w:pos="356"/>
                <w:tab w:val="left" w:pos="2268"/>
              </w:tabs>
              <w:jc w:val="both"/>
              <w:rPr>
                <w:rFonts w:asciiTheme="minorHAnsi" w:hAnsiTheme="minorHAnsi" w:cstheme="minorHAnsi"/>
                <w:sz w:val="22"/>
                <w:szCs w:val="22"/>
                <w:lang w:val="nl-NL"/>
              </w:rPr>
            </w:pPr>
          </w:p>
          <w:p w14:paraId="61E6F40C"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la afluencia explosiva de cigarrillos electrónicos desechables a los mercados belga y europeo;</w:t>
            </w:r>
          </w:p>
          <w:p w14:paraId="742D6326"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C418D23"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que los cigarrillos electrónicos desechables no se comercializan y promueven como medios para dejar de fumar y no tienen cabida en la política belga para dejar de fumar;</w:t>
            </w:r>
          </w:p>
          <w:p w14:paraId="49D03395"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5357B9FD"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lastRenderedPageBreak/>
              <w:t xml:space="preserve">Considerando que, además de riesgos claros para la salud, los cigarrillos electrónicos desechables también conllevan una carga ecológica significativa; </w:t>
            </w:r>
          </w:p>
          <w:p w14:paraId="6786F719"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3FC27244"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que estos productos son populares entre los jóvenes que no tienen intención de dejar de fumar, y también se promocionan principalmente entre ellos;</w:t>
            </w:r>
          </w:p>
          <w:p w14:paraId="21A68208"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BD732E5" w14:textId="77777777" w:rsidR="006A01C1"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Considerando que en el caso de los cigarrillos electrónicos desechables se identifica un número proporcionalmente mayor de infracciones reglamentarias en este ámbito.</w:t>
            </w:r>
          </w:p>
          <w:p w14:paraId="59C82154" w14:textId="77777777" w:rsidR="006A01C1" w:rsidRPr="00B75A8A" w:rsidRDefault="006A01C1" w:rsidP="00BA3E3D">
            <w:pPr>
              <w:tabs>
                <w:tab w:val="left" w:pos="356"/>
                <w:tab w:val="left" w:pos="2268"/>
              </w:tabs>
              <w:jc w:val="both"/>
              <w:rPr>
                <w:rFonts w:asciiTheme="minorHAnsi" w:hAnsiTheme="minorHAnsi" w:cstheme="minorHAnsi"/>
                <w:sz w:val="22"/>
                <w:szCs w:val="22"/>
                <w:lang w:val="nl-NL"/>
              </w:rPr>
            </w:pPr>
          </w:p>
        </w:tc>
      </w:tr>
      <w:tr w:rsidR="006A01C1" w:rsidRPr="00B75A8A" w14:paraId="2B6CF8ED" w14:textId="77777777" w:rsidTr="006A01C1">
        <w:trPr>
          <w:gridAfter w:val="1"/>
          <w:wAfter w:w="14" w:type="dxa"/>
          <w:jc w:val="center"/>
        </w:trPr>
        <w:tc>
          <w:tcPr>
            <w:tcW w:w="9053" w:type="dxa"/>
          </w:tcPr>
          <w:p w14:paraId="1A14CF9A" w14:textId="77777777" w:rsidR="006A01C1" w:rsidRPr="00B75A8A" w:rsidRDefault="006A01C1" w:rsidP="00BA3E3D">
            <w:pPr>
              <w:tabs>
                <w:tab w:val="left" w:pos="356"/>
                <w:tab w:val="left" w:pos="567"/>
                <w:tab w:val="left" w:pos="2268"/>
              </w:tabs>
              <w:jc w:val="both"/>
              <w:rPr>
                <w:rFonts w:asciiTheme="minorHAnsi" w:hAnsiTheme="minorHAnsi" w:cstheme="minorHAnsi"/>
                <w:sz w:val="22"/>
                <w:szCs w:val="22"/>
              </w:rPr>
            </w:pPr>
            <w:r>
              <w:rPr>
                <w:rFonts w:asciiTheme="minorHAnsi" w:hAnsiTheme="minorHAnsi"/>
                <w:sz w:val="22"/>
              </w:rPr>
              <w:lastRenderedPageBreak/>
              <w:t xml:space="preserve">Considerando la propuesta del Ministro de Sanidad, </w:t>
            </w:r>
          </w:p>
        </w:tc>
      </w:tr>
      <w:tr w:rsidR="006A01C1" w:rsidRPr="006A01C1" w14:paraId="385AA1DC" w14:textId="77777777" w:rsidTr="006A01C1">
        <w:trPr>
          <w:gridAfter w:val="1"/>
          <w:wAfter w:w="14" w:type="dxa"/>
          <w:jc w:val="center"/>
        </w:trPr>
        <w:tc>
          <w:tcPr>
            <w:tcW w:w="9053" w:type="dxa"/>
          </w:tcPr>
          <w:p w14:paraId="0E96557F"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BFD617E" w14:textId="77777777" w:rsidTr="006A01C1">
        <w:trPr>
          <w:gridAfter w:val="1"/>
          <w:wAfter w:w="14" w:type="dxa"/>
          <w:jc w:val="center"/>
        </w:trPr>
        <w:tc>
          <w:tcPr>
            <w:tcW w:w="9053" w:type="dxa"/>
          </w:tcPr>
          <w:p w14:paraId="08003BA8" w14:textId="77777777" w:rsidR="006A01C1" w:rsidRPr="00B75A8A" w:rsidRDefault="006A01C1" w:rsidP="00BA3E3D">
            <w:pPr>
              <w:tabs>
                <w:tab w:val="left" w:pos="356"/>
                <w:tab w:val="left" w:pos="567"/>
                <w:tab w:val="left" w:pos="2268"/>
              </w:tabs>
              <w:jc w:val="center"/>
              <w:rPr>
                <w:rFonts w:asciiTheme="minorHAnsi" w:hAnsiTheme="minorHAnsi" w:cstheme="minorHAnsi"/>
                <w:sz w:val="22"/>
                <w:szCs w:val="22"/>
              </w:rPr>
            </w:pPr>
            <w:r>
              <w:rPr>
                <w:rFonts w:asciiTheme="minorHAnsi" w:hAnsiTheme="minorHAnsi"/>
                <w:sz w:val="22"/>
              </w:rPr>
              <w:t>HEMOS DECRETADO Y POR EL PRESENTE DECRETAMOS LO SIGUIENTE:</w:t>
            </w:r>
          </w:p>
        </w:tc>
      </w:tr>
      <w:tr w:rsidR="006A01C1" w:rsidRPr="006A01C1" w14:paraId="016C39B5" w14:textId="77777777" w:rsidTr="006A01C1">
        <w:trPr>
          <w:gridAfter w:val="1"/>
          <w:wAfter w:w="14" w:type="dxa"/>
          <w:jc w:val="center"/>
        </w:trPr>
        <w:tc>
          <w:tcPr>
            <w:tcW w:w="9053" w:type="dxa"/>
          </w:tcPr>
          <w:p w14:paraId="1291E0DD" w14:textId="77777777" w:rsidR="006A01C1" w:rsidRPr="006A01C1" w:rsidRDefault="006A01C1" w:rsidP="00BA3E3D">
            <w:pPr>
              <w:tabs>
                <w:tab w:val="left" w:pos="567"/>
                <w:tab w:val="left" w:pos="2268"/>
              </w:tabs>
              <w:jc w:val="both"/>
              <w:rPr>
                <w:rFonts w:asciiTheme="minorHAnsi" w:hAnsiTheme="minorHAnsi" w:cstheme="minorHAnsi"/>
                <w:b/>
                <w:sz w:val="22"/>
                <w:szCs w:val="22"/>
                <w:lang w:val="nl-BE"/>
              </w:rPr>
            </w:pPr>
          </w:p>
        </w:tc>
      </w:tr>
      <w:tr w:rsidR="006A01C1" w:rsidRPr="00B75A8A" w14:paraId="4740547E" w14:textId="77777777" w:rsidTr="006A01C1">
        <w:trPr>
          <w:gridAfter w:val="1"/>
          <w:wAfter w:w="14" w:type="dxa"/>
          <w:trHeight w:val="322"/>
          <w:jc w:val="center"/>
        </w:trPr>
        <w:tc>
          <w:tcPr>
            <w:tcW w:w="9053" w:type="dxa"/>
          </w:tcPr>
          <w:p w14:paraId="2FEE89CE"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Artículo 1.</w:t>
            </w:r>
            <w:r>
              <w:rPr>
                <w:rFonts w:asciiTheme="minorHAnsi" w:hAnsiTheme="minorHAnsi"/>
              </w:rPr>
              <w:t xml:space="preserve"> En el a</w:t>
            </w:r>
            <w:r>
              <w:rPr>
                <w:rFonts w:asciiTheme="minorHAnsi" w:hAnsiTheme="minorHAnsi"/>
                <w:sz w:val="22"/>
              </w:rPr>
              <w:t>rtículo 4 del Real Decreto de 28 de octubre de 2016 relativo a la fabricación y la puesta en circulación de cigarrillos electrónicos, se realizan las siguientes modificaciones:</w:t>
            </w:r>
          </w:p>
          <w:p w14:paraId="6D296E63"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1) en el apartado 1, se suprimirá la disposición prevista en el punto 2;</w:t>
            </w:r>
          </w:p>
          <w:p w14:paraId="697CCD67"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2) se inserta el apartado 1/1, que tendrá la siguiente redacción: </w:t>
            </w:r>
          </w:p>
          <w:p w14:paraId="73E0CD32"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«Se prohibirá la comercialización de cigarrillos electrónicos en forma de producto desechable integral. </w:t>
            </w:r>
          </w:p>
          <w:p w14:paraId="122CDCC5"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Un producto desechable integral es un producto compuesto por una sola unidad y completamente desechado después de su uso.».</w:t>
            </w:r>
          </w:p>
          <w:p w14:paraId="5E1E30BB" w14:textId="77777777" w:rsidR="006A01C1" w:rsidRPr="00B75A8A" w:rsidRDefault="006A01C1" w:rsidP="00BA3E3D">
            <w:pPr>
              <w:tabs>
                <w:tab w:val="left" w:pos="567"/>
                <w:tab w:val="left" w:pos="2268"/>
              </w:tabs>
              <w:jc w:val="both"/>
              <w:rPr>
                <w:rFonts w:asciiTheme="minorHAnsi" w:hAnsiTheme="minorHAnsi" w:cstheme="minorHAnsi"/>
                <w:sz w:val="22"/>
                <w:szCs w:val="22"/>
                <w:lang w:val="nl-BE"/>
              </w:rPr>
            </w:pPr>
          </w:p>
        </w:tc>
      </w:tr>
      <w:tr w:rsidR="006A01C1" w:rsidRPr="005D72B1" w14:paraId="65E4FC4F" w14:textId="77777777" w:rsidTr="006A01C1">
        <w:trPr>
          <w:gridAfter w:val="1"/>
          <w:wAfter w:w="14" w:type="dxa"/>
          <w:trHeight w:val="1114"/>
          <w:jc w:val="center"/>
        </w:trPr>
        <w:tc>
          <w:tcPr>
            <w:tcW w:w="9053" w:type="dxa"/>
          </w:tcPr>
          <w:p w14:paraId="09F64875"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 xml:space="preserve">Artículo 2. </w:t>
            </w:r>
            <w:r>
              <w:rPr>
                <w:rFonts w:asciiTheme="minorHAnsi" w:hAnsiTheme="minorHAnsi"/>
                <w:sz w:val="22"/>
              </w:rPr>
              <w:t>El presente Decreto entrará en vigor tres meses después de su publicación en el Boletín Oficial de Bélgica, excepto en el caso de los minoristas para los que el presente Decreto entra en vigor seis meses después de su publicación en el Boletín Oficial de Bélgica.</w:t>
            </w:r>
          </w:p>
          <w:p w14:paraId="48466C72" w14:textId="77777777" w:rsidR="006A01C1" w:rsidRPr="00E96D0F"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Los procedimientos de notificación aún pendientes para los cigarrillos electrónicos en forma de producto desechable integral se suspenderán a partir de la publicación del presente Decreto en el Boletín Oficial de Bélgica.</w:t>
            </w:r>
          </w:p>
          <w:p w14:paraId="50BB373E"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sz w:val="22"/>
              </w:rPr>
              <w:t xml:space="preserve">  Para los fabricantes o importadores que ya habían presentado un expediente de notificación para su producto, pero cuando la factura aún no se hubiera pagado en el momento de la publicación, la tarifa expirará</w:t>
            </w:r>
            <w:r>
              <w:rPr>
                <w:rFonts w:asciiTheme="minorHAnsi" w:hAnsiTheme="minorHAnsi"/>
                <w:color w:val="FF0000"/>
                <w:sz w:val="22"/>
              </w:rPr>
              <w:t>.</w:t>
            </w:r>
          </w:p>
          <w:p w14:paraId="39431998"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color w:val="FF0000"/>
                <w:sz w:val="22"/>
              </w:rPr>
              <w:t xml:space="preserve">  </w:t>
            </w:r>
          </w:p>
          <w:p w14:paraId="5E39AE6A" w14:textId="77777777" w:rsidR="006A01C1" w:rsidRPr="005D72B1" w:rsidRDefault="006A01C1" w:rsidP="00BA3E3D">
            <w:pPr>
              <w:tabs>
                <w:tab w:val="left" w:pos="567"/>
                <w:tab w:val="left" w:pos="2268"/>
              </w:tabs>
              <w:jc w:val="both"/>
              <w:rPr>
                <w:rFonts w:ascii="Garamond" w:hAnsi="Garamond"/>
                <w:bCs/>
                <w:sz w:val="22"/>
                <w:szCs w:val="22"/>
                <w:lang w:val="nl-BE"/>
              </w:rPr>
            </w:pPr>
          </w:p>
        </w:tc>
      </w:tr>
      <w:tr w:rsidR="006A01C1" w:rsidRPr="004F527A" w14:paraId="7CC695CD" w14:textId="77777777" w:rsidTr="006A01C1">
        <w:trPr>
          <w:trHeight w:val="322"/>
          <w:jc w:val="center"/>
        </w:trPr>
        <w:tc>
          <w:tcPr>
            <w:tcW w:w="9067" w:type="dxa"/>
            <w:gridSpan w:val="2"/>
          </w:tcPr>
          <w:p w14:paraId="3EA1F410" w14:textId="77777777" w:rsidR="006A01C1" w:rsidRDefault="006A01C1" w:rsidP="00BA3E3D">
            <w:pPr>
              <w:tabs>
                <w:tab w:val="left" w:pos="567"/>
                <w:tab w:val="left" w:pos="2268"/>
              </w:tabs>
              <w:jc w:val="both"/>
              <w:rPr>
                <w:rFonts w:asciiTheme="minorHAnsi" w:hAnsiTheme="minorHAnsi" w:cstheme="minorHAnsi"/>
                <w:b/>
                <w:sz w:val="22"/>
                <w:szCs w:val="22"/>
              </w:rPr>
            </w:pPr>
            <w:r>
              <w:rPr>
                <w:rFonts w:asciiTheme="minorHAnsi" w:hAnsiTheme="minorHAnsi"/>
                <w:b/>
                <w:sz w:val="22"/>
              </w:rPr>
              <w:t xml:space="preserve">Artículo 3. </w:t>
            </w:r>
            <w:r>
              <w:rPr>
                <w:rFonts w:asciiTheme="minorHAnsi" w:hAnsiTheme="minorHAnsi"/>
                <w:sz w:val="22"/>
              </w:rPr>
              <w:t>El Ministro de Salud Pública será el responsable de la ejecución del presente Decreto</w:t>
            </w:r>
            <w:r>
              <w:rPr>
                <w:rFonts w:asciiTheme="minorHAnsi" w:hAnsiTheme="minorHAnsi"/>
              </w:rPr>
              <w:t>.</w:t>
            </w:r>
          </w:p>
          <w:p w14:paraId="661CDFE7" w14:textId="77777777" w:rsidR="006A01C1" w:rsidRPr="004F527A" w:rsidRDefault="006A01C1" w:rsidP="00BA3E3D">
            <w:pPr>
              <w:tabs>
                <w:tab w:val="left" w:pos="567"/>
                <w:tab w:val="left" w:pos="2268"/>
              </w:tabs>
              <w:jc w:val="both"/>
              <w:rPr>
                <w:rFonts w:ascii="Garamond" w:hAnsi="Garamond"/>
                <w:b/>
                <w:sz w:val="22"/>
                <w:szCs w:val="22"/>
              </w:rPr>
            </w:pPr>
            <w:r>
              <w:rPr>
                <w:rFonts w:asciiTheme="minorHAnsi" w:hAnsiTheme="minorHAnsi"/>
                <w:sz w:val="22"/>
              </w:rPr>
              <w:t xml:space="preserve"> </w:t>
            </w:r>
          </w:p>
        </w:tc>
      </w:tr>
      <w:tr w:rsidR="006A01C1" w:rsidRPr="006A01C1" w14:paraId="38557BCD" w14:textId="77777777" w:rsidTr="006A01C1">
        <w:trPr>
          <w:trHeight w:val="322"/>
          <w:jc w:val="center"/>
        </w:trPr>
        <w:tc>
          <w:tcPr>
            <w:tcW w:w="9067" w:type="dxa"/>
            <w:gridSpan w:val="2"/>
          </w:tcPr>
          <w:p w14:paraId="696DE776"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A18B32F" w14:textId="77777777" w:rsidTr="006A01C1">
        <w:trPr>
          <w:trHeight w:val="322"/>
          <w:jc w:val="center"/>
        </w:trPr>
        <w:tc>
          <w:tcPr>
            <w:tcW w:w="9067" w:type="dxa"/>
            <w:gridSpan w:val="2"/>
          </w:tcPr>
          <w:p w14:paraId="427B2A75" w14:textId="77777777" w:rsidR="006A01C1" w:rsidRPr="00B75A8A" w:rsidRDefault="006A01C1" w:rsidP="00BA3E3D">
            <w:pPr>
              <w:tabs>
                <w:tab w:val="left" w:pos="567"/>
                <w:tab w:val="left" w:pos="2268"/>
              </w:tabs>
              <w:rPr>
                <w:rFonts w:asciiTheme="minorHAnsi" w:hAnsiTheme="minorHAnsi" w:cstheme="minorHAnsi"/>
                <w:sz w:val="22"/>
                <w:szCs w:val="22"/>
              </w:rPr>
            </w:pPr>
            <w:r>
              <w:rPr>
                <w:rFonts w:asciiTheme="minorHAnsi" w:hAnsiTheme="minorHAnsi"/>
                <w:sz w:val="22"/>
              </w:rPr>
              <w:t xml:space="preserve">Dado en </w:t>
            </w:r>
          </w:p>
        </w:tc>
      </w:tr>
      <w:tr w:rsidR="006A01C1" w:rsidRPr="00B75A8A" w14:paraId="5E97B9EE" w14:textId="77777777" w:rsidTr="006A01C1">
        <w:trPr>
          <w:trHeight w:val="841"/>
          <w:jc w:val="center"/>
        </w:trPr>
        <w:tc>
          <w:tcPr>
            <w:tcW w:w="9067" w:type="dxa"/>
            <w:gridSpan w:val="2"/>
          </w:tcPr>
          <w:p w14:paraId="14A07452"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A9B398A"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5FFB5579"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64D3839F"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216D66C5"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7D0C5EA4"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tc>
      </w:tr>
      <w:tr w:rsidR="006A01C1" w:rsidRPr="00B75A8A" w14:paraId="7FE5C68E" w14:textId="77777777" w:rsidTr="006A01C1">
        <w:trPr>
          <w:trHeight w:val="493"/>
          <w:jc w:val="center"/>
        </w:trPr>
        <w:tc>
          <w:tcPr>
            <w:tcW w:w="9067" w:type="dxa"/>
            <w:gridSpan w:val="2"/>
          </w:tcPr>
          <w:p w14:paraId="7DC4BF24" w14:textId="77777777"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Por el Rey:</w:t>
            </w:r>
          </w:p>
        </w:tc>
      </w:tr>
      <w:tr w:rsidR="006A01C1" w:rsidRPr="00B75A8A" w14:paraId="538071FE" w14:textId="77777777" w:rsidTr="006A01C1">
        <w:trPr>
          <w:trHeight w:val="191"/>
          <w:jc w:val="center"/>
        </w:trPr>
        <w:tc>
          <w:tcPr>
            <w:tcW w:w="9067" w:type="dxa"/>
            <w:gridSpan w:val="2"/>
          </w:tcPr>
          <w:p w14:paraId="04BF410C" w14:textId="77777777" w:rsidR="006A01C1" w:rsidRDefault="006A01C1" w:rsidP="00BA3E3D">
            <w:pPr>
              <w:tabs>
                <w:tab w:val="left" w:pos="567"/>
                <w:tab w:val="left" w:pos="2268"/>
              </w:tabs>
              <w:jc w:val="center"/>
              <w:rPr>
                <w:rFonts w:asciiTheme="minorHAnsi" w:hAnsiTheme="minorHAnsi" w:cstheme="minorHAnsi"/>
                <w:sz w:val="22"/>
                <w:lang w:val="nl-BE"/>
              </w:rPr>
            </w:pPr>
          </w:p>
          <w:p w14:paraId="10871EE4" w14:textId="29C363EF" w:rsidR="006A01C1"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El Ministro de Salud Pública,</w:t>
            </w:r>
          </w:p>
          <w:p w14:paraId="18340A1B" w14:textId="77777777" w:rsidR="006A01C1" w:rsidRDefault="006A01C1" w:rsidP="00BA3E3D">
            <w:pPr>
              <w:tabs>
                <w:tab w:val="left" w:pos="567"/>
                <w:tab w:val="left" w:pos="2268"/>
              </w:tabs>
              <w:jc w:val="center"/>
              <w:rPr>
                <w:rFonts w:asciiTheme="minorHAnsi" w:hAnsiTheme="minorHAnsi" w:cstheme="minorHAnsi"/>
                <w:sz w:val="22"/>
                <w:lang w:val="nl-BE"/>
              </w:rPr>
            </w:pPr>
          </w:p>
          <w:p w14:paraId="4DD669ED" w14:textId="77777777" w:rsidR="006A01C1" w:rsidRDefault="006A01C1" w:rsidP="00BA3E3D">
            <w:pPr>
              <w:tabs>
                <w:tab w:val="left" w:pos="567"/>
                <w:tab w:val="left" w:pos="2268"/>
              </w:tabs>
              <w:jc w:val="center"/>
              <w:rPr>
                <w:rFonts w:asciiTheme="minorHAnsi" w:hAnsiTheme="minorHAnsi" w:cstheme="minorHAnsi"/>
                <w:sz w:val="22"/>
                <w:lang w:val="nl-BE"/>
              </w:rPr>
            </w:pPr>
          </w:p>
          <w:p w14:paraId="2CFF26CE" w14:textId="0621B849"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Frank VANDENBROUCKE</w:t>
            </w:r>
          </w:p>
        </w:tc>
      </w:tr>
    </w:tbl>
    <w:p w14:paraId="0559B430" w14:textId="77777777" w:rsidR="00715252" w:rsidRPr="006A01C1" w:rsidRDefault="009961FD">
      <w:pPr>
        <w:rPr>
          <w:lang w:val="nl-BE"/>
        </w:rPr>
      </w:pPr>
    </w:p>
    <w:sectPr w:rsidR="00715252" w:rsidRPr="006A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1"/>
    <w:rsid w:val="006A01C1"/>
    <w:rsid w:val="007F53A8"/>
    <w:rsid w:val="009961FD"/>
    <w:rsid w:val="00A414C0"/>
    <w:rsid w:val="00DA62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F310"/>
  <w15:chartTrackingRefBased/>
  <w15:docId w15:val="{D3DB17BE-80D8-43E1-8C50-36CB2894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C1"/>
    <w:pPr>
      <w:spacing w:after="0" w:line="240" w:lineRule="auto"/>
    </w:pPr>
    <w:rPr>
      <w:rFonts w:ascii="Times New Roman" w:eastAsia="Times New Roman" w:hAnsi="Times New Roman" w:cs="Times New Roman"/>
      <w:sz w:val="20"/>
      <w:szCs w:val="20"/>
      <w:lang w:eastAsia="nl-NL"/>
    </w:rPr>
  </w:style>
  <w:style w:type="paragraph" w:styleId="Heading3">
    <w:name w:val="heading 3"/>
    <w:basedOn w:val="Normal"/>
    <w:next w:val="Normal"/>
    <w:link w:val="Heading3Char"/>
    <w:qFormat/>
    <w:rsid w:val="006A01C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01C1"/>
    <w:rPr>
      <w:rFonts w:ascii="Times New Roman" w:eastAsia="Times New Roman" w:hAnsi="Times New Roman" w:cs="Times New Roman"/>
      <w:b/>
      <w:sz w:val="20"/>
      <w:szCs w:val="20"/>
      <w:lang w:val="es-ES" w:eastAsia="nl-NL"/>
    </w:rPr>
  </w:style>
  <w:style w:type="paragraph" w:styleId="Footer">
    <w:name w:val="footer"/>
    <w:basedOn w:val="Normal"/>
    <w:link w:val="FooterChar"/>
    <w:uiPriority w:val="99"/>
    <w:rsid w:val="006A01C1"/>
    <w:pPr>
      <w:tabs>
        <w:tab w:val="center" w:pos="4536"/>
        <w:tab w:val="right" w:pos="9072"/>
      </w:tabs>
    </w:pPr>
  </w:style>
  <w:style w:type="character" w:customStyle="1" w:styleId="FooterChar">
    <w:name w:val="Footer Char"/>
    <w:basedOn w:val="DefaultParagraphFont"/>
    <w:link w:val="Footer"/>
    <w:uiPriority w:val="99"/>
    <w:rsid w:val="006A01C1"/>
    <w:rPr>
      <w:rFonts w:ascii="Times New Roman" w:eastAsia="Times New Roman" w:hAnsi="Times New Roman" w:cs="Times New Roman"/>
      <w:sz w:val="20"/>
      <w:szCs w:val="20"/>
      <w:lang w:val="es-E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Lefèvre (SPF Santé Publique - FOD Volksgezondheid)</dc:creator>
  <cp:keywords/>
  <dc:description/>
  <cp:lastModifiedBy>Liana Brili</cp:lastModifiedBy>
  <cp:revision>3</cp:revision>
  <dcterms:created xsi:type="dcterms:W3CDTF">2022-12-09T16:25:00Z</dcterms:created>
  <dcterms:modified xsi:type="dcterms:W3CDTF">2022-12-19T09:15:00Z</dcterms:modified>
</cp:coreProperties>
</file>