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din 14 decembrie 2021 privind declarația de mediu a produselor destinate utilizării în lucrări de construcții și a declarației de mediu a produselor utilizate pentru calculul performanței de mediu a clădirilor</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NR: LOGL2113185A</w:t>
      </w:r>
      <w:r>
        <w:rPr>
          <w:rFonts w:ascii="Times New Roman" w:hAnsi="Times New Roman"/>
          <w:sz w:val="24"/>
        </w:rPr>
        <w:br/>
        <w:t>ELI: https://www.legifrance.gouv.fr/eli/arrete/2021/12/14/LOGL2113185A/jo/texte</w:t>
      </w:r>
      <w:r>
        <w:rPr>
          <w:rFonts w:ascii="Times New Roman" w:hAnsi="Times New Roman"/>
          <w:sz w:val="24"/>
        </w:rPr>
        <w:br/>
        <w:t>JORF nr. 0296 din 21 decembrie 2021</w:t>
      </w:r>
      <w:r>
        <w:rPr>
          <w:rFonts w:ascii="Times New Roman" w:hAnsi="Times New Roman"/>
          <w:sz w:val="24"/>
        </w:rPr>
        <w:br/>
        <w:t>Text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06845229"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 vizat: declaranți interesați de produsele pentru construcții și decorative, precum și echipamente electrice, electronice și de inginerie climatică destinate utilizării la lucrările de construcții sau utilizate pentru calculul performanței de mediu a clădirilor. </w:t>
      </w:r>
      <w:r>
        <w:rPr>
          <w:rFonts w:ascii="Times New Roman" w:hAnsi="Times New Roman"/>
          <w:sz w:val="24"/>
        </w:rPr>
        <w:br/>
        <w:t xml:space="preserve">Obiect: specificarea modalităților de aplicare a articolelor R. 171-14-R. 171-22 și a articolelor R. 171-23-R. 171-31 din Codul privind construcțiile și locuințele. </w:t>
      </w:r>
      <w:r>
        <w:rPr>
          <w:rFonts w:ascii="Times New Roman" w:hAnsi="Times New Roman"/>
          <w:sz w:val="24"/>
        </w:rPr>
        <w:br/>
        <w:t xml:space="preserve">Intrare in vigoare: textul intră in vigoare la 1 ianuarie 2022. </w:t>
      </w:r>
      <w:r>
        <w:rPr>
          <w:rFonts w:ascii="Times New Roman" w:hAnsi="Times New Roman"/>
          <w:sz w:val="24"/>
        </w:rPr>
        <w:br/>
        <w:t xml:space="preserve">Notă: scopul decretului este de a specifica modalitățile de aplicare a articolelor R. 171-14-R. 171-22 și a articolelor R. 171-23-R. 171-31 din Codul construcțiilor și locuințelor. </w:t>
      </w:r>
      <w:r>
        <w:rPr>
          <w:rFonts w:ascii="Times New Roman" w:hAnsi="Times New Roman"/>
          <w:sz w:val="24"/>
        </w:rPr>
        <w:br/>
        <w:t xml:space="preserve">Decretul stabilește: </w:t>
      </w:r>
      <w:r>
        <w:rPr>
          <w:rFonts w:ascii="Times New Roman" w:hAnsi="Times New Roman"/>
          <w:sz w:val="24"/>
        </w:rPr>
        <w:br/>
        <w:t xml:space="preserve">— detaliile informațiilor menționate la articolul R. 171-17 din Codul privind construcțiile și locuințele; </w:t>
      </w:r>
      <w:r>
        <w:rPr>
          <w:rFonts w:ascii="Times New Roman" w:hAnsi="Times New Roman"/>
          <w:sz w:val="24"/>
        </w:rPr>
        <w:br/>
        <w:t xml:space="preserve">— metodele de calcul al indicatorilor menționați la articolul R. 171-17 din Codul privind construcțiile și locuințele; </w:t>
      </w:r>
      <w:r>
        <w:rPr>
          <w:rFonts w:ascii="Times New Roman" w:hAnsi="Times New Roman"/>
          <w:sz w:val="24"/>
        </w:rPr>
        <w:br/>
        <w:t xml:space="preserve">— elementele menționate la articolul R. 171-21 din Codul privind construcțiile și locuințele, care justifică informațiile cuprinse în declarația de mediu; </w:t>
      </w:r>
      <w:r>
        <w:rPr>
          <w:rFonts w:ascii="Times New Roman" w:hAnsi="Times New Roman"/>
          <w:sz w:val="24"/>
        </w:rPr>
        <w:br/>
        <w:t xml:space="preserve">— adresa bazei (bazelor) de date unde declarațiile de mediu menționate la articolul R. 171-17 din Codul privind construcțiile și locuințele, care dețin un certificat de verificare menționat la articolul R. 171-18 din Codul privind construcțiile și locuințele, sunt puse la dispoziția publicului; </w:t>
      </w:r>
      <w:r>
        <w:rPr>
          <w:rFonts w:ascii="Times New Roman" w:hAnsi="Times New Roman"/>
          <w:sz w:val="24"/>
        </w:rPr>
        <w:br/>
        <w:t xml:space="preserve">— condițiile de elaborare a declarațiilor de mediu colective privind produsele pentru construcții sau decorative sau echipamentele de către mai mulți declaranți; </w:t>
      </w:r>
      <w:r>
        <w:rPr>
          <w:rFonts w:ascii="Times New Roman" w:hAnsi="Times New Roman"/>
          <w:sz w:val="24"/>
        </w:rPr>
        <w:br/>
        <w:t xml:space="preserve">— condițiile de elaborare a declarațiilor parametrizabile referitoare la produsele pentru construcții sau decorative sau echipamente. </w:t>
      </w:r>
      <w:r>
        <w:rPr>
          <w:rFonts w:ascii="Times New Roman" w:hAnsi="Times New Roman"/>
          <w:sz w:val="24"/>
        </w:rPr>
        <w:br/>
        <w:t xml:space="preserve">Referințe: textele create sau modificate prin prezentul decret pot fi consultate, în formularea care rezultă din această modificare, pe site-ul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 și ministrul asociat responsabil cu locuințele de pe lângă ministrul tranziției ecologice,</w:t>
      </w:r>
      <w:r>
        <w:rPr>
          <w:rFonts w:ascii="Times New Roman" w:hAnsi="Times New Roman"/>
          <w:sz w:val="24"/>
        </w:rPr>
        <w:b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și </w:t>
      </w:r>
      <w:r>
        <w:rPr>
          <w:rFonts w:ascii="Times New Roman" w:hAnsi="Times New Roman"/>
          <w:sz w:val="24"/>
        </w:rPr>
        <w:lastRenderedPageBreak/>
        <w:t>Notificarea nr. 2021/257/F adresată Comisiei Europene la 28 aprilie 2021 și răspunsul la aceasta din 29 iulie 2021,</w:t>
      </w:r>
      <w:r>
        <w:rPr>
          <w:rFonts w:ascii="Times New Roman" w:hAnsi="Times New Roman"/>
          <w:sz w:val="24"/>
        </w:rPr>
        <w:br/>
        <w:t>având în vedere Codul consumatorilor, în special articolul L. 412-1 punctul 10,</w:t>
      </w:r>
      <w:r>
        <w:rPr>
          <w:rFonts w:ascii="Times New Roman" w:hAnsi="Times New Roman"/>
          <w:sz w:val="24"/>
        </w:rPr>
        <w:br/>
        <w:t>având în vedere Codul privind construcțiile și locuințele, în special articolele R. 171-14-R. 171-31,</w:t>
      </w:r>
      <w:r>
        <w:rPr>
          <w:rFonts w:ascii="Times New Roman" w:hAnsi="Times New Roman"/>
          <w:sz w:val="24"/>
        </w:rPr>
        <w:br/>
        <w:t>având în vedere avizul Consiliului Superior al construcțiilor și eficienței energetice, din 13 aprilie 2021,</w:t>
      </w:r>
      <w:r>
        <w:rPr>
          <w:rFonts w:ascii="Times New Roman" w:hAnsi="Times New Roman"/>
          <w:sz w:val="24"/>
        </w:rPr>
        <w:br/>
        <w:t>având în vedere observațiile formulate în timpul consultării publice realizate în perioada 18 mai-8 iunie 2021, în conformitate cu articolul L. 123-19-1 din Codul mediului,</w:t>
      </w:r>
      <w:r>
        <w:rPr>
          <w:rFonts w:ascii="Times New Roman" w:hAnsi="Times New Roman"/>
          <w:sz w:val="24"/>
        </w:rPr>
        <w:br/>
        <w:t>prin prezentul, hotărăsc următoarele: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Dispozițiile prezentului ordin se aplică produselor pentru construcții, produselor decorative și echipamentelor electrice, electronice și de inginerie climatică, prevăzute la articolul R. 171-14 din Codul privind construcțiile și locuințele și la articolul R. 171-23 din Codul privind construcțiile și locuințele.</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În sensul prezentului decret, se aplică următoarele definiții:</w:t>
      </w:r>
      <w:r>
        <w:rPr>
          <w:rFonts w:ascii="Times New Roman" w:hAnsi="Times New Roman"/>
          <w:sz w:val="24"/>
        </w:rPr>
        <w:br/>
        <w:t>„declarație parametrizabilă” înseamnă declarația de mediu cu norme de adaptare a informațiilor menționate în aceasta pentru a corespunde unui anumit produs și unui instrument informatic în vederea aplicării acestor norme.</w:t>
      </w:r>
      <w:r>
        <w:rPr>
          <w:rFonts w:ascii="Times New Roman" w:hAnsi="Times New Roman"/>
          <w:sz w:val="24"/>
        </w:rPr>
        <w:br/>
        <w:t>În articolele următoare, termenul „declarant” este înțeles ca „declarant” astfel cum este definit la articolul R. 171-15 din Codul privind construcțiile și locuințele sau cu sensul de „responsabil cu introducerea pe piață”, astfel cum este definit la articolul R. 171-24 din Codul privind construcțiile și locuințele.</w:t>
      </w:r>
      <w:r>
        <w:rPr>
          <w:rFonts w:ascii="Times New Roman" w:hAnsi="Times New Roman"/>
          <w:sz w:val="24"/>
        </w:rPr>
        <w:br/>
        <w:t>În articolele următoare, prin „produs” se înțelege „produse pentru construcții”, „produse decorative” și „echipamente electrice, electronice și de inginerie climatică”, astfel cum sunt definite la articolul R. 171-15 din Codul privind construcțiile și locuințele.</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Declarația de mediu trebuie să conțină informațiile prevăzute la articolul R. 171-17 din Codul privind construcțiile și locuințele.</w:t>
      </w:r>
      <w:r>
        <w:rPr>
          <w:rFonts w:ascii="Times New Roman" w:hAnsi="Times New Roman"/>
          <w:sz w:val="24"/>
        </w:rPr>
        <w:br/>
        <w:t>În conformitate cu articolul R. 171-17 punctul 1 din Codul privind construcțiile și locuințele, declarația de mediu trebuie să conțină, pentru etapa de producție, etapa procesului de construcție, etapa de utilizare, etapa de sfârșit de ciclu de viață și suma acestor etape, valorile următorilor indicatori:</w:t>
      </w:r>
    </w:p>
    <w:p w14:paraId="1B8C0EF8" w14:textId="63840740"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descrierea impactului asupra mediului:</w:t>
      </w:r>
      <w:r>
        <w:rPr>
          <w:rFonts w:ascii="Times New Roman" w:hAnsi="Times New Roman"/>
          <w:sz w:val="24"/>
        </w:rPr>
        <w:br/>
        <w:t>— încălzirea globală (emisii de gaze cu efect de seră);</w:t>
      </w:r>
      <w:r>
        <w:rPr>
          <w:rFonts w:ascii="Times New Roman" w:hAnsi="Times New Roman"/>
          <w:sz w:val="24"/>
        </w:rPr>
        <w:br/>
        <w:t>— epuizarea stratului de ozon;</w:t>
      </w:r>
      <w:r>
        <w:rPr>
          <w:rFonts w:ascii="Times New Roman" w:hAnsi="Times New Roman"/>
          <w:sz w:val="24"/>
        </w:rPr>
        <w:br/>
        <w:t>— acidificarea solului și a apei;</w:t>
      </w:r>
      <w:r>
        <w:rPr>
          <w:rFonts w:ascii="Times New Roman" w:hAnsi="Times New Roman"/>
          <w:sz w:val="24"/>
        </w:rPr>
        <w:br/>
        <w:t>— eutrofizarea;</w:t>
      </w:r>
      <w:r>
        <w:rPr>
          <w:rFonts w:ascii="Times New Roman" w:hAnsi="Times New Roman"/>
          <w:sz w:val="24"/>
        </w:rPr>
        <w:br/>
      </w:r>
      <w:r>
        <w:rPr>
          <w:rFonts w:ascii="Times New Roman" w:hAnsi="Times New Roman"/>
          <w:sz w:val="24"/>
        </w:rPr>
        <w:lastRenderedPageBreak/>
        <w:t>— formarea de ozon fotochimic;</w:t>
      </w:r>
      <w:r>
        <w:rPr>
          <w:rFonts w:ascii="Times New Roman" w:hAnsi="Times New Roman"/>
          <w:sz w:val="24"/>
        </w:rPr>
        <w:br/>
        <w:t>— epuizarea resurselor abiotice – elemente;</w:t>
      </w:r>
      <w:r>
        <w:rPr>
          <w:rFonts w:ascii="Times New Roman" w:hAnsi="Times New Roman"/>
          <w:sz w:val="24"/>
        </w:rPr>
        <w:br/>
        <w:t>— epuizarea resurselor abiotice – combustibili fosili;</w:t>
      </w:r>
      <w:r>
        <w:rPr>
          <w:rFonts w:ascii="Times New Roman" w:hAnsi="Times New Roman"/>
          <w:sz w:val="24"/>
        </w:rPr>
        <w:br/>
        <w:t>— descrierea utilizării resurselor:</w:t>
      </w:r>
      <w:r>
        <w:rPr>
          <w:rFonts w:ascii="Times New Roman" w:hAnsi="Times New Roman"/>
          <w:sz w:val="24"/>
        </w:rPr>
        <w:br/>
        <w:t>— utilizarea energiei primare din surse regenerabile, cu excepția resurselor de energie primară regenerabile utilizate ca materii prime;</w:t>
      </w:r>
      <w:r>
        <w:rPr>
          <w:rFonts w:ascii="Times New Roman" w:hAnsi="Times New Roman"/>
          <w:sz w:val="24"/>
        </w:rPr>
        <w:br/>
        <w:t>— utilizarea resurselor de energie primară regenerabile utilizate ca materii prime;</w:t>
      </w:r>
      <w:r>
        <w:rPr>
          <w:rFonts w:ascii="Times New Roman" w:hAnsi="Times New Roman"/>
          <w:sz w:val="24"/>
        </w:rPr>
        <w:br/>
        <w:t>— utilizarea totală a resurselor de energie primară regenerabile (energie primară și resurse de energie primară utilizate ca materii prime);</w:t>
      </w:r>
      <w:r>
        <w:rPr>
          <w:rFonts w:ascii="Times New Roman" w:hAnsi="Times New Roman"/>
          <w:sz w:val="24"/>
        </w:rPr>
        <w:br/>
        <w:t>— utilizarea energiei primare neregenerabile, cu excepția resurselor de energie primară neregenerabile utilizate ca materii prime;</w:t>
      </w:r>
      <w:r>
        <w:rPr>
          <w:rFonts w:ascii="Times New Roman" w:hAnsi="Times New Roman"/>
          <w:sz w:val="24"/>
        </w:rPr>
        <w:br/>
        <w:t>— utilizarea resurselor de energie primară neregenerabile utilizate ca materii prime;</w:t>
      </w:r>
      <w:r>
        <w:rPr>
          <w:rFonts w:ascii="Times New Roman" w:hAnsi="Times New Roman"/>
          <w:sz w:val="24"/>
        </w:rPr>
        <w:br/>
        <w:t>— utilizarea totală a resurselor de energie primară neregenerabile (energie primară și resurse de energie primară utilizate ca materii prime);</w:t>
      </w:r>
      <w:r>
        <w:rPr>
          <w:rFonts w:ascii="Times New Roman" w:hAnsi="Times New Roman"/>
          <w:sz w:val="24"/>
        </w:rPr>
        <w:br/>
        <w:t>— utilizarea materiilor secundare;</w:t>
      </w:r>
      <w:r>
        <w:rPr>
          <w:rFonts w:ascii="Times New Roman" w:hAnsi="Times New Roman"/>
          <w:sz w:val="24"/>
        </w:rPr>
        <w:br/>
        <w:t>— utilizarea combustibililor secundari regenerabili;</w:t>
      </w:r>
      <w:r>
        <w:rPr>
          <w:rFonts w:ascii="Times New Roman" w:hAnsi="Times New Roman"/>
          <w:sz w:val="24"/>
        </w:rPr>
        <w:br/>
        <w:t>— utilizarea combustibililor secundari neregenerabili;</w:t>
      </w:r>
      <w:r>
        <w:rPr>
          <w:rFonts w:ascii="Times New Roman" w:hAnsi="Times New Roman"/>
          <w:sz w:val="24"/>
        </w:rPr>
        <w:br/>
        <w:t>— utilizarea netă a apei dulci;</w:t>
      </w:r>
      <w:r>
        <w:rPr>
          <w:rFonts w:ascii="Times New Roman" w:hAnsi="Times New Roman"/>
          <w:sz w:val="24"/>
        </w:rPr>
        <w:br/>
        <w:t>— descrierea categoriilor de deșeuri:</w:t>
      </w:r>
      <w:r>
        <w:rPr>
          <w:rFonts w:ascii="Times New Roman" w:hAnsi="Times New Roman"/>
          <w:sz w:val="24"/>
        </w:rPr>
        <w:br/>
        <w:t>— deșeurile periculoase eliminate;</w:t>
      </w:r>
      <w:r>
        <w:rPr>
          <w:rFonts w:ascii="Times New Roman" w:hAnsi="Times New Roman"/>
          <w:sz w:val="24"/>
        </w:rPr>
        <w:br/>
        <w:t>— deșeurile nepericuloase eliminate;</w:t>
      </w:r>
      <w:r>
        <w:rPr>
          <w:rFonts w:ascii="Times New Roman" w:hAnsi="Times New Roman"/>
          <w:sz w:val="24"/>
        </w:rPr>
        <w:br/>
        <w:t>— deșeurile radioactive eliminate;</w:t>
      </w:r>
      <w:r>
        <w:rPr>
          <w:rFonts w:ascii="Times New Roman" w:hAnsi="Times New Roman"/>
          <w:sz w:val="24"/>
        </w:rPr>
        <w:br/>
        <w:t>— descrierea fluxurilor de ieșire:</w:t>
      </w:r>
      <w:r>
        <w:rPr>
          <w:rFonts w:ascii="Times New Roman" w:hAnsi="Times New Roman"/>
          <w:sz w:val="24"/>
        </w:rPr>
        <w:br/>
        <w:t>— componentele destinate reutilizării;</w:t>
      </w:r>
      <w:r>
        <w:rPr>
          <w:rFonts w:ascii="Times New Roman" w:hAnsi="Times New Roman"/>
          <w:sz w:val="24"/>
        </w:rPr>
        <w:br/>
        <w:t>— materialele destinate reciclării;</w:t>
      </w:r>
      <w:r>
        <w:rPr>
          <w:rFonts w:ascii="Times New Roman" w:hAnsi="Times New Roman"/>
          <w:sz w:val="24"/>
        </w:rPr>
        <w:br/>
        <w:t>— materialele destinate recuperării energiei;</w:t>
      </w:r>
      <w:r>
        <w:rPr>
          <w:rFonts w:ascii="Times New Roman" w:hAnsi="Times New Roman"/>
          <w:sz w:val="24"/>
        </w:rPr>
        <w:br/>
        <w:t>— energia furnizată în exterior;</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În conformitate cu articolul R. 171-17 punctul 4 din Codul privind construcțiile și locuințele, în cazul unei declarații de mediu afectate de cerințele articolului 8 din prezentul decret, declarația de mediu trebuie să conțină intervalele de variație (valori maxime și minime) ale indicatorilor de control definiți la articolul 8 din prezentul decret.</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Declarantul pune la dispoziția autorităților de inspecție și a persoanei juridice responsabile cu implementarea unui program de declarație de mediu, astfel cum este definit la articolul R. 171-21 din Codul privind construcțiile și locuințele și la articolul R. 171-26 din Codul privind construcțiile și locuințele, toate elementele sau datele de contact ale persoanelor fizice sau juridice care dețin aceste elemente, pentru a justifica informațiile cuprinse în declarația de mediu.</w:t>
      </w:r>
      <w:r>
        <w:rPr>
          <w:rFonts w:ascii="Times New Roman" w:hAnsi="Times New Roman"/>
          <w:sz w:val="24"/>
        </w:rPr>
        <w:br/>
        <w:t>Elementele menționate mai sus sunt:</w:t>
      </w:r>
    </w:p>
    <w:p w14:paraId="4D6FBAE8" w14:textId="0E5403C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originea materiilor prime, materialelor și componentelor produsului;</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identificarea intrărilor care nu sunt incluse în inventarul ciclului de viață în conformitate cu regula de separare;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 xml:space="preserve">masa totală a intrărilor care nu sunt incluse în inventarul ciclului de viață în </w:t>
      </w:r>
      <w:r>
        <w:rPr>
          <w:rFonts w:ascii="Times New Roman" w:hAnsi="Times New Roman"/>
          <w:sz w:val="24"/>
        </w:rPr>
        <w:lastRenderedPageBreak/>
        <w:t>conformitate cu regula de separare;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rezultatele calculelor de inventar;</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dovezile justificative privind durata de viață de referință a produsului;</w:t>
      </w:r>
      <w:r>
        <w:rPr>
          <w:rFonts w:ascii="Times New Roman" w:hAnsi="Times New Roman"/>
          <w:sz w:val="24"/>
        </w:rPr>
        <w:br/>
        <w:t>— documentația referitoare la cât de reprezentative din punct de vedere tehnologic, geografic și temporal sunt datele generice utilizate, referințele bazelor de date din care provin și referințele modulelor de date utilizate, în cazul în care trebuie utilizate date generice care provin din baze de date publice sau private;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scenariile pe care se bazează inventarul ciclului de viață;</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locul (locurile) de producție care fac(e) obiectul declarației de mediu;</w:t>
      </w:r>
      <w:r>
        <w:rPr>
          <w:rFonts w:ascii="Times New Roman" w:hAnsi="Times New Roman"/>
          <w:sz w:val="24"/>
        </w:rPr>
        <w:br/>
        <w:t>producția fiecărui loc, exprimată în unitatea de cantitate definită în unitatea funcțională;</w:t>
      </w:r>
      <w:r>
        <w:rPr>
          <w:rFonts w:ascii="Times New Roman" w:hAnsi="Times New Roman"/>
          <w:sz w:val="24"/>
        </w:rPr>
        <w:br/>
        <w:t>— dovada că eșantionul utilizat este reprezentativ, mai ales din punct de vedere geografic, temporal și tehnologic, pentru producția produsului, în cazul în care se utilizează o metodă de eșantionare;</w:t>
      </w:r>
      <w:r>
        <w:rPr>
          <w:rFonts w:ascii="Times New Roman" w:hAnsi="Times New Roman"/>
          <w:sz w:val="24"/>
        </w:rPr>
        <w:br/>
        <w:t>— elementele constitutive ale cadrului de valabilitate a declarațiilor de mediu vizate de cerințele de la articolul 8 din prezentul decret;</w:t>
      </w:r>
      <w:r>
        <w:rPr>
          <w:rFonts w:ascii="Times New Roman" w:hAnsi="Times New Roman"/>
          <w:sz w:val="24"/>
        </w:rPr>
        <w:br/>
        <w:t>— elementele constitutive ale declarației parametrizabile menționate la articolul 10 din prezentul decret.</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Formatele de unități funcționale, astfel cum sunt definite la articolul R. 171-15 din Codul privind construcțiile și locuințele, pentru fiecare categorie de produse pentru construcții și de decorare sunt definite în anexa I la prezentul decret.</w:t>
      </w:r>
      <w:r>
        <w:rPr>
          <w:rFonts w:ascii="Times New Roman" w:hAnsi="Times New Roman"/>
          <w:sz w:val="24"/>
        </w:rPr>
        <w:br/>
        <w:t>Formatele unităților funcționale sau al unităților declarate, astfel cum sunt definite la articolul R. 171-15 din Codul privind construcțiile și locuințele, pentru echipamentele electrice, electronice și de inginerie climatică sunt definite în anexa II la prezentul decret.</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Se presupune că metodele de evaluare, de calculare a informațiilor și de determinare a indicatorilor prevăzuți la articolul R. 171-17 punctele 1, 2, 3, 14 și 15 din Codul privind construcțiile și locuințele și la articolul 3 din prezentul decret îndeplinesc cerințele prezentului decret dacă respectă toate condițiile următoare:</w:t>
      </w:r>
    </w:p>
    <w:p w14:paraId="616E0A2A" w14:textId="6F28E5B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acestea nu au ca rezultat omiterea proceselor care reprezintă un total de peste 5 % din valoarea fiecăreia dintre informațiile menționate;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acestea nu conduc la acordarea beneficiilor aduse de alte produse produsului care face obiectul declarației de mediu, în calculul informațiilor menționate, cu excepția indicatorilor care vizează profiturile și cheltuielile asociate valorificării la sfârșitul ciclului de viață;</w:t>
      </w:r>
      <w:r>
        <w:rPr>
          <w:rFonts w:ascii="Times New Roman" w:hAnsi="Times New Roman"/>
          <w:sz w:val="24"/>
        </w:rPr>
        <w:br/>
        <w:t>— respectă standardul NF EN 15804 + A1: 2014-04 sau standardul XP C08-100-1: 2016-12 sau standardele XP C08-100-1: 2016-12 și EN 50693: standardele 2019-08 sau orice standard echivalent;</w:t>
      </w:r>
      <w:r>
        <w:rPr>
          <w:rFonts w:ascii="Times New Roman" w:hAnsi="Times New Roman"/>
          <w:sz w:val="24"/>
        </w:rPr>
        <w:br/>
        <w:t>— respectă metoda de calcul a evaluării profitului și a cheltuielilor asociate valorificării la sfârșitul ciclului de viață, astfel cum este definită în anexa III la prezentul decret.</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În plus, pentru declarațiile de mediu care beneficiază de un certificat de conformitate după data de 1 octombrie 2022, în cazul în care declarația de mediu acoperă diferite modalități de instalare a produsului care face obiectul acesteia, metodele de evaluare și de calcul al informațiilor menționate respectă următoarele norme:</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pentru fiecare dintre aceste moduri de instalare sunt evaluați următorii indicatori de control: încălzirea climatică, utilizarea energiei primare neregenerabile cu excluderea resurselor de energie primară neregenerabile utilizate ca materii prime, deșeuri nepericuloase eliminate;</w:t>
      </w:r>
      <w:r>
        <w:rPr>
          <w:rFonts w:ascii="Times New Roman" w:hAnsi="Times New Roman"/>
          <w:sz w:val="24"/>
        </w:rPr>
        <w:br/>
        <w:t>— pentru fiecare dintre acești indicatori de control, valoarea maximă obținută pentru suma etapelor menționate la articolul 3 din prezentul decret se compară cu media valorilor obținute (și anume impactul mediu al diferitelor moduri de instalare). Dacă valoarea maximă pentru unul dintre acești indicatori este mai mare de 1,1 ori valoarea medie, este deci cea mai slabă valoare care trebuie raportată pentru fiecare dintre indicatorii enumerați în declarația de mediu (adică cele mai slabe valori ale diferitelor moduri de instalare). În caz contrar, valoarea medie poate fi raportată pentru fiecare indicator.</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Adresa (adresele) bazei (bazelor) de date, menționată(e) la articolul R. 171-20 din Codul privind construcțiile și locuințele, unde sunt disponibile datele de mediu ale serviciului și datele de mediu implicite, astfel cum sunt definite la articolul R. 171-16 din Codul privind construcțiile și locuințele, precum și declarațiile de mediu, sunt furnizate pe site-ul ministerului responsabil cu construcțiile.</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Declarația de mediu se poate baza pe o declarație colectivă de mediu a unor produse similare provenind de la mai mulți declaranți.</w:t>
      </w:r>
      <w:r>
        <w:rPr>
          <w:rFonts w:ascii="Times New Roman" w:hAnsi="Times New Roman"/>
          <w:sz w:val="24"/>
        </w:rPr>
        <w:br/>
        <w:t>1. Această declarație de mediu colectivă îndeplinește următoarele condiții:</w:t>
      </w:r>
    </w:p>
    <w:p w14:paraId="7E91553F" w14:textId="6B5F583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se referă la un „produs standard”;</w:t>
      </w:r>
      <w:r>
        <w:rPr>
          <w:rFonts w:ascii="Times New Roman" w:hAnsi="Times New Roman"/>
          <w:sz w:val="24"/>
        </w:rPr>
        <w:br/>
        <w:t>se stabilește în condițiile menționate la articolele precedente;</w:t>
      </w:r>
      <w:r>
        <w:rPr>
          <w:rFonts w:ascii="Times New Roman" w:hAnsi="Times New Roman"/>
          <w:sz w:val="24"/>
        </w:rPr>
        <w:br/>
        <w:t>— trebuie asigurată omogenitatea parametrilor care influențează semnificativ valoarea fiecărui indicator; în acest scop, declarația de mediu colectivă conține un cadru de valabilitate, astfel cum este definit în anexa IV la prezentul decret, care colectează următoarele informații:</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identificarea parametrilor influenți, precizând dacă sunt completați cu date generice sau specifice;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perioadele de valabilitate ale acestor parametri.</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Declarantul care a depus declarația de mediu colectivă este responsabil pentru informațiile pe care le conține, inclusiv o listă a produselor în cauză și condițiile în care </w:t>
      </w:r>
      <w:r>
        <w:rPr>
          <w:rFonts w:ascii="Times New Roman" w:hAnsi="Times New Roman"/>
          <w:sz w:val="24"/>
        </w:rPr>
        <w:lastRenderedPageBreak/>
        <w:t>produsele pot fi legate de aceasta, dacă este necesar;</w:t>
      </w:r>
      <w:r>
        <w:rPr>
          <w:rFonts w:ascii="Times New Roman" w:hAnsi="Times New Roman"/>
          <w:sz w:val="24"/>
        </w:rPr>
        <w:br/>
        <w:t>3. Declaranții care înregistrează produsele care fac obiectul acestei declarații de mediu colective îndeplinesc următoarele condiții:</w:t>
      </w:r>
    </w:p>
    <w:p w14:paraId="5C7B5DE1" w14:textId="0EDD7E6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sunt responsabili pentru informațiile pe care le transmit declarantului menționat mai sus;</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respectă cadrul de valabilitate al declarației de mediu colective;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trebuie să prezinte un certificat care să indice conformitatea cu cadrul de valabilitate al declarației de mediu colective;</w:t>
      </w:r>
      <w:r>
        <w:rPr>
          <w:rFonts w:ascii="Times New Roman" w:hAnsi="Times New Roman"/>
          <w:sz w:val="24"/>
        </w:rPr>
        <w:br/>
        <w:t>— să pună la dispoziția autorităților de inspecție și a entității juridice responsabile cu implementarea unui program de declarații de mediu dovezile justificative ale conformității cu cadrul de valabilitate.</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Declarația de mediu colectivă respectă cerințele de verificare a conformității părților terțe independente definite la articolul R. 171-18 din Codul privind construcțiile și locuințele și menționate la articolul R. 171-29 din Codul privind construcțiile și locuințele.</w:t>
      </w:r>
      <w:r>
        <w:rPr>
          <w:rFonts w:ascii="Times New Roman" w:hAnsi="Times New Roman"/>
          <w:sz w:val="24"/>
        </w:rPr>
        <w:br/>
        <w:t>5. Indicatorii de control care trebuie luați în considerare sunt cel puțin: încălzirea climatică, utilizarea energiei primare neregenerabile cu excluderea resurselor de energie primară neregenerabile utilizate ca materii prime, deșeurile nepericuloase eliminate;</w:t>
      </w:r>
      <w:r>
        <w:rPr>
          <w:rFonts w:ascii="Times New Roman" w:hAnsi="Times New Roman"/>
          <w:sz w:val="24"/>
        </w:rPr>
        <w:br/>
        <w:t>6. Declarațiile de mediu colective trebuie să îndeplinească următoarele cerințe:</w:t>
      </w:r>
      <w:r>
        <w:rPr>
          <w:rFonts w:ascii="Times New Roman" w:hAnsi="Times New Roman"/>
          <w:sz w:val="24"/>
        </w:rPr>
        <w:br/>
        <w:t>în cazul în care valoarea maximă a fiecărui indicator de control, obținută pentru suma etapelor menționate la articolul 3 din prezentul decret și prin calculul variabilității descrise în anexa IV la prezentul decret este mai mică sau egală cu valoarea medie a indicatorului înmulțită cu o valoare-limită, atunci valorile indicatorilor pot fi calculate cu valorile medii ale parametrilor sensibili. În caz contrar, trebuie declarat pragul cel mai puțin favorabil (valoarea maximă pe care o poate atinge indicatorul dacă reflectă o cheltuială și valoarea minimă dacă reflectă un profit).</w:t>
      </w:r>
      <w:r>
        <w:rPr>
          <w:rFonts w:ascii="Times New Roman" w:hAnsi="Times New Roman"/>
          <w:sz w:val="24"/>
        </w:rPr>
        <w:br/>
        <w:t>Pentru declarațiile de mediu colective care beneficiază un certificat de conformitate înainte de data de 1 octombrie 2022, valoarea-limită menționată mai sus este „1,4”, iar calculul variabilității menționate mai sus trebuie să acopere cel puțin parametrii sensibili referitori la:</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compoziția produsului: masa și tipul materialelor;</w:t>
      </w:r>
      <w:r>
        <w:rPr>
          <w:rFonts w:ascii="Times New Roman" w:hAnsi="Times New Roman"/>
          <w:sz w:val="24"/>
        </w:rPr>
        <w:br/>
        <w:t>— masele ambalajelor;</w:t>
      </w:r>
      <w:r>
        <w:rPr>
          <w:rFonts w:ascii="Times New Roman" w:hAnsi="Times New Roman"/>
          <w:sz w:val="24"/>
        </w:rPr>
        <w:br/>
        <w:t>— procesele de fabricație, cu excepția extracției și prelucrării materiilor prime (etapele A2 și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Pentru declarațiile de mediu colective care beneficiază de un certificat de conformitate după data de 1 octombrie 2022, valoarea-limită menționată mai sus este „1,35”, iar calculul variabilității menționate mai sus trebuie să acopere cel puțin parametrii sensibili referitori la:</w:t>
      </w:r>
    </w:p>
    <w:p w14:paraId="40F7CD3B" w14:textId="5CD5E26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compoziția produsului: masa și tipul materialelor;</w:t>
      </w:r>
      <w:r>
        <w:rPr>
          <w:rFonts w:ascii="Times New Roman" w:hAnsi="Times New Roman"/>
          <w:sz w:val="24"/>
        </w:rPr>
        <w:br/>
        <w:t>— masele ambalajelor;</w:t>
      </w:r>
      <w:r>
        <w:rPr>
          <w:rFonts w:ascii="Times New Roman" w:hAnsi="Times New Roman"/>
          <w:sz w:val="24"/>
        </w:rPr>
        <w:br/>
      </w:r>
      <w:r w:rsidR="00E96553">
        <w:rPr>
          <w:rFonts w:ascii="Times New Roman" w:hAnsi="Times New Roman"/>
          <w:sz w:val="24"/>
        </w:rPr>
        <w:lastRenderedPageBreak/>
        <w:t>—</w:t>
      </w:r>
      <w:r w:rsidR="00E96553">
        <w:rPr>
          <w:rFonts w:ascii="Times New Roman" w:hAnsi="Times New Roman"/>
          <w:sz w:val="24"/>
        </w:rPr>
        <w:t xml:space="preserve"> </w:t>
      </w:r>
      <w:r>
        <w:rPr>
          <w:rFonts w:ascii="Times New Roman" w:hAnsi="Times New Roman"/>
          <w:sz w:val="24"/>
        </w:rPr>
        <w:t>procesele de fabricație, cu excepția extracției și prelucrării materiilor prime (etapele A2 și A3);</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transportul până la șantier (etapa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Declarația de mediu se poate baza pe produse similare provenite de la același declarant. Aceste declarații de mediu trebuie să îndeplinească cerințele pentru declarațiile de mediu colective prevăzute la articolul 8 din prezentul decret.</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Declarația de mediu se poate baza pe o declarație parametrizabilă.</w:t>
      </w:r>
      <w:r>
        <w:rPr>
          <w:rFonts w:ascii="Times New Roman" w:hAnsi="Times New Roman"/>
          <w:sz w:val="24"/>
        </w:rPr>
        <w:br/>
        <w:t>Această declarație parametrizabilă îndeplinește următoarele condiții:</w:t>
      </w:r>
    </w:p>
    <w:p w14:paraId="6A4F1CB3" w14:textId="0A02347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se referă la un „produs standard”;</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se stabilește în condițiile menționate la articolele precedente;</w:t>
      </w:r>
      <w:r>
        <w:rPr>
          <w:rFonts w:ascii="Times New Roman" w:hAnsi="Times New Roman"/>
          <w:sz w:val="24"/>
        </w:rPr>
        <w:br/>
        <w:t>acesta conține un set de norme de calcul pentru adaptarea, pe baza parametrilor modificabili, a informațiilor menționate în acesta pentru a corespunde unui produs similar cu produsul standard, însă ale cărui dimensiuni, compoziție sau anumite procese ale ciclului de viață diferă;</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valoarea parametrilor modificabili menționați mai sus trebuie să poată fi verificată la livrarea unei clădiri;</w:t>
      </w:r>
      <w:r>
        <w:rPr>
          <w:rFonts w:ascii="Times New Roman" w:hAnsi="Times New Roman"/>
          <w:sz w:val="24"/>
        </w:rPr>
        <w:br/>
        <w:t>— acesta conține un cadru de conformitate care definește valorile care pot fi preluate de parametrii modificabili menționați mai sus și caracteristicile care trebuie îndeplinite de produsul similar menționat anterior.</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Orice declarație parametrizabilă care beneficiază de un certificat de conformitate după data de 1 octombrie 2022 este însoțită de un instrument informatic de calcul pentru aplicarea regulilor de calcul menționate mai sus și pentru exportul informațiilor prevăzute la articolul R. 171-17 din Codul privind construcțiile și locuințele și la articolul 3 din prezentul decret, împreună cu lista parametrilor modificabili menționați mai sus și valorile asociate acestora. Toate aceste informații sunt exportate sub forma unui fișier informatic în conformitate cu formatul definit pe site-ul web al ministerului responsabil cu construcțiile.</w:t>
      </w:r>
      <w:r>
        <w:rPr>
          <w:rFonts w:ascii="Times New Roman" w:hAnsi="Times New Roman"/>
          <w:sz w:val="24"/>
        </w:rPr>
        <w:br/>
        <w:t>Verificarea de către o terță parte independentă menționată la articolul R. 171-18 din Codul privind construcțiile și locuințele și menționată la articolul R. 171-29 din Codul construcțiilor și locuințelor acoperă, de asemenea, în cazul unei declarații parametrizabile, normele de calcul menționate la prezentul articol și instrumentul de calcul informatic menționat la alineatul precedent.</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Se presupune că certificarea caracteristicilor de mediu menționate la articolul R. 171-27 din Codul privind construcțiile și locuințele este conformă dacă ia în considerare toate </w:t>
      </w:r>
      <w:r>
        <w:rPr>
          <w:rFonts w:ascii="Times New Roman" w:hAnsi="Times New Roman"/>
          <w:sz w:val="24"/>
        </w:rPr>
        <w:lastRenderedPageBreak/>
        <w:t>cerințele standardului NF EN ISO 14024: 2018-03. Această certificare a produselor pentru construcții sau decorative sau a echipamentelor este emisă de o organizație acreditată în acest scop de Comitetul francez de acreditare (COFRAC) sau de un alt organism de acreditare semnatar al acordurilor multilaterale de recunoaștere reciprocă.</w:t>
      </w:r>
      <w:r>
        <w:rPr>
          <w:rFonts w:ascii="Times New Roman" w:hAnsi="Times New Roman"/>
          <w:sz w:val="24"/>
        </w:rPr>
        <w:br/>
        <w:t>Acest articol nu se aplică declarațiilor de mediu utilizate la calculul performanței de mediu a clădirilor.</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Decretul din 23 decembrie 2013 privind declarația de mediu a produselor pentru construcții și decorative destinate utilizării în lucrări de construcție se abrogă.</w:t>
      </w:r>
      <w:r>
        <w:rPr>
          <w:rFonts w:ascii="Times New Roman" w:hAnsi="Times New Roman"/>
          <w:sz w:val="24"/>
        </w:rPr>
        <w:br/>
        <w:t>Ordinul din 31 august 2015 privind declarația de mediu a echipamentelor electrice, electronice și de inginerie climatică destinate lucrărilor de construcții se abrogă.</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Dispozițiile prezentului decret intră în vigoare la 1 ianuarie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Directorul Locuințelor, Dezvoltării Urbane și Peisajelor este responsabil de punerea în aplicare a prezentului decret, care va fi publicat în Jurnalul Oficial al Republicii Franceze.</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ANEXE</w:t>
      </w:r>
      <w:r>
        <w:rPr>
          <w:rFonts w:ascii="Times New Roman" w:hAnsi="Times New Roman"/>
          <w:sz w:val="24"/>
        </w:rPr>
        <w:br/>
        <w:t>ANEXA I</w:t>
      </w:r>
      <w:r>
        <w:rPr>
          <w:rFonts w:ascii="Times New Roman" w:hAnsi="Times New Roman"/>
          <w:sz w:val="24"/>
        </w:rPr>
        <w:br/>
        <w:t>FORMATELE UNITĂȚILOR FUNCȚIONALE PENTRU FIECARE CATEGORIE DE PRODUSE PENTRU CONSTRUCȚII SAU DE DECORARE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2690"/>
        <w:gridCol w:w="2822"/>
        <w:gridCol w:w="2988"/>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FORMATUL UNITĂȚII</w:t>
            </w:r>
            <w:r>
              <w:rPr>
                <w:rFonts w:ascii="Times New Roman" w:hAnsi="Times New Roman"/>
                <w:b/>
                <w:sz w:val="24"/>
              </w:rPr>
              <w:br/>
              <w:t>funcțional exprimat în unități</w:t>
            </w:r>
            <w:r>
              <w:rPr>
                <w:rFonts w:ascii="Times New Roman" w:hAnsi="Times New Roman"/>
                <w:b/>
                <w:sz w:val="24"/>
              </w:rPr>
              <w:br/>
              <w:t>ale sistemului internațional</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Drumuri, rețele diverse (inclusiv rețele interne)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Bazine și rezervoare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 unitate de volum dat</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Rețele de drenaj și canalizare (ape pluviale și ape uzate)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Rețele de alimentare cu apă (interior și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Rețelele de alimentare cu gaz</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Sistemele de drenaj</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Drumuri și îmbrăcăminți exterioare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îmbrăcăminte pentru o utilizare dată (terasă externă, drumuri cu trafic redus, parcare etc.)</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Garduri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garduri</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Canale/canalizări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Structură, zidărie, lucrări majore, șarpantă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Tuburi de fum și coșuri de fum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conductă de secțiune interioară dată</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Șape/șape flotante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pentru o grosime dată</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Șarpante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suprafață acoperită sau m</w:t>
            </w:r>
            <w:r>
              <w:rPr>
                <w:rFonts w:ascii="Times New Roman" w:hAnsi="Times New Roman"/>
                <w:sz w:val="24"/>
                <w:vertAlign w:val="superscript"/>
              </w:rPr>
              <w:t>3</w:t>
            </w:r>
            <w:r>
              <w:rPr>
                <w:rFonts w:ascii="Times New Roman" w:hAnsi="Times New Roman"/>
                <w:sz w:val="24"/>
              </w:rPr>
              <w:t xml:space="preserve"> sau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Contravântuiri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contravântuire sau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Dale și dale prefabricate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Elemente portante orizontale (grinzi, bare, podini, plăci cu goluri interioare, grinzi orizontale)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element portant (a se specifica suprafața de susținere și secțiunea) sau m² (pentru elementul de suprafață) sau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Elemente portante verticale (stâlpi/coloane/piloni)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element (a se preciza secțiunea) sau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Scări (interioare și exterioare)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 unitate pentru o înălțime a elevației date</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Fundații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Componente mici de zidărie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 se specifica rezistența termică)</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Pardoseli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pardoseală (a se preciza sarcina suportată)</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Pereți (elemente arhitecturale)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 se specifica grosimea)</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Fațade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Acoperire prin placare (îmbrăcăminte, căptușeală, parament)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fațadă</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Fațade cortină și lucarne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fațadă (a se preciza procentul de suprafață opacă)</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Suprafață externă a fațadelor (inclusiv sisteme compozite de izolare termică externă)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fațadă (a se specifica rezistența termică, dacă este cazul)</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Acoperișuri/etanșeitate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Elemente mari de acoperiș</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acoperiș</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Elemente mici de acoperiș</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acoperiș</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Produse de etanșare și impermeabilizare pentru pereții îngropați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acoperiș</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Produse pentru etanșarea acoperișurilor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acoperiș</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Elemente de acoperișuri verzi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acoperire (a se preciza tipul de vegetație susținută și caracteristicile termice, dacă este cazul)</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Tâmplărie interioară și exterioară, închideri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Ferestre, ferestre-uși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tâmplărie (suprafața deschisă înainte de montare) (a se preciza valoarea U, factorul solar, indicele apă aer vânt și transmisia luminii)</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Balustrade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balustrade</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Uși (interioare, exterioare, portal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(suprafața deschisă înainte de instalare)</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Obloane, jaluzele, storuri, copertine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suprafață opacă/protejată</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Lucarne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tâmplărie (suprafața deschisă înainte de montare) (a se preciza valoarea U, factorul solar, indicele apă aer vânt și transmisia luminii)</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structuri chesonate, panouri de acoperiș</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(specificați rezistența termică)</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Sisteme de căptușeală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(specificați rezistența termică)</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Izolație suplimentară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(specificați rezistența termică)</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Plăci tubulare, panouri izolante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(specificați rezistența termică)</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Izolatori termici și acustici ai peretelui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 sau performanța acustică)</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Izolatoare termice și acustice pentru poduri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Izolare termică și fonică, în vrac</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Izolatoare termice si fonice pentru terase de acoperiș</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Izolație termică și fonică sub șapă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 sau performanța acustică)</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Izolație distribuită neportantă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Izolatoare termice și fonice pentru pereți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Izolatoare de sunet pentru pereți despărțitori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acustică)</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Izolare termică și fonică sub 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 sau performanța acustică)</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Izolație sub dalaj și radier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izolație (a se specifica rezistența termică)</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Compartimentare, plafoane suspendate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Compartimentare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compartimentare (a se specifica o performanță acustică, dacă este cazul)</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Plafoane suspendate, plafoane tapisate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plafon suspendat (a se specifica performanța acustică)</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Îmbrăcăminți de pardoseală și de pereți, vopsele, produse decorative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Vopsele, coloranți și lacuri, vopsele (fără saturatori)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suprafață acoperită</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Plinte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de plinte</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Îmbrăcăminți pentru pereți și plafoane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îmbrăcăminte</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Îmbrăcăminți de pardoseli dure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îmbrăcăminte (a se preciza clasa de utilizare sau clasificarea rezistenței la uzură și perforare, comportamentul apei și rezistența la agenți chimici sau echivalent)</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Îmbrăcăminți de pardoseli flexibile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îmbrăcăminte (a se preciza clasa de utilizare sau clasificarea rezistenței la uzură și perforare, comportamentul apei și rezistența la agenți chimici sau echivalent)</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Produse acustice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îmbrăcăminte (a se preciza clasa de utilizare sau clasificarea rezistenței la uzură și perforare, comportamentul apei și rezistența la agenți chimici sau echivalent)</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Saturatoare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suprafață acoperită</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Produse de preparare și de aplicare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Adezivi de tâmplărie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Reparații și asamblare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 adeziv la sol</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Mortar pentru zidărie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Gresie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gresie</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Masticuri și spume poliuretanice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(a se preciza masa liniară)</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Chimia clădirilor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Produse pentru 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(a se specifica densitatea)</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Rășini sintetice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 se specifica densitatea)</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Echipamente sanitare si de baie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Robinete și coloane de duș</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preciza tipul)</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Cadă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specifica volumul de capacitate în litru și formă)</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Lavoar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preciza dimensiunile: lățime și lungime)</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Chiuvetă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preciza dimensiunile: lățimea, lungimea și numărul de coșuri de gunoi)</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Chiuvetă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preciza dimensiunile: lățimea, lungimea și numărul de coșuri de gunoi)</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Toaletă – Bazin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Unitate (a se preciza dimensiunile: lățime și lungime)</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Altele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28737CA4" w14:textId="77777777" w:rsidR="00E96553" w:rsidRDefault="00E96553" w:rsidP="00B77F10">
      <w:pPr>
        <w:spacing w:before="100" w:beforeAutospacing="1" w:after="100" w:afterAutospacing="1" w:line="240" w:lineRule="auto"/>
        <w:outlineLvl w:val="2"/>
        <w:rPr>
          <w:rFonts w:ascii="Times New Roman" w:hAnsi="Times New Roman"/>
          <w:b/>
          <w:sz w:val="27"/>
        </w:rPr>
      </w:pPr>
    </w:p>
    <w:p w14:paraId="432DD491" w14:textId="11A2AA7F"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Anexă</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Anexa II</w:t>
      </w:r>
      <w:r>
        <w:rPr>
          <w:rFonts w:ascii="Times New Roman" w:hAnsi="Times New Roman"/>
          <w:sz w:val="24"/>
        </w:rPr>
        <w:br/>
        <w:t>Formate de unități funcționale sau de unități declarate pentru echipamente.</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1343"/>
        <w:gridCol w:w="1410"/>
        <w:gridCol w:w="1251"/>
        <w:gridCol w:w="1050"/>
        <w:gridCol w:w="2090"/>
        <w:gridCol w:w="2358"/>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Unitate funcțională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Unitate declarată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Grupul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Soluție</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Aparatură de instalare pentru rețelele de energie electrică și de comunicații</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Aparatură de perete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Sisteme automate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Senzori de mișcare</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Termostate</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Variatoare</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Cutii de echipamente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Pentru pereți de rambleu</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Pentru zidărie</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Întrerupătoare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Comutatoare</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Butoane de comandă</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Altele: Ventilație prin conducte, storuri, etc.</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Plăci și suporturi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Subansamblul echipamentelor de perete</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Prize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Prize de curent slab</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Prize de curent tare</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Diverse prize (TV, difuzor, IT etc.)</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Semnalizare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Ieșire audio: difuzor</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Ieșire audio: sonerie și clopoței</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Lumini de semnalizare</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Telecomandă, obloane, cleme</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modulare pentru incinte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generale de protecție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Conexiuni</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Întrerupătoare de circuite</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Întrerupătoare de circuite de conectare la rețea</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Comutatoare/izolatoare</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Invertoare sursă</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Relee diferențiale</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Protecție împotriva fulgerelor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Paratrăsnete</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Paratrăsnete de telecomunicații</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Protecția liniei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Disjunctoare</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Disjunctoare divizionare</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Disjunctoare motoare</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Siguranțe</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Protecție împotriva pierderilor la pământ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Blocuri diferențiale</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Întrerupătoare de circuite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Comutatoare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Gestionarea iluminatului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Comutatoare fotocelulare</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Gestionare solară</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Variatoare</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Gestionarea energiei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Reductoare de sarcină</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Administratorii de energie</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Gestionarea jaluzelelor și a obloanelor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Gestionarea jaluzelelor și a obloanelor</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Gestionarea timpului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Intersectări orare</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Cronometre</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Relee de temporizare</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Gestionarea termică (încălzire, ventilație)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Termostate</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Măsurători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Contoare de energie</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Senzori de ploaie, soare etc.</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Voltmetre, ampermetre</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Dispozitive de control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Butoane de comandă</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Conectori</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Comutatoare, invertoare, comutatoare, etc.</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Întrerupătoare de impuls de la distanță</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Dispozitive de semnalizare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Clopoței și tonuri de apel</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Lumini de semnalizare</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Sisteme de automatizare si comunicații pentru locuințe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Rețele multimedia și VDI (Voce-Date-Imagine)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modulare pentru automatizarea locuinței</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terminale pentru automatizarea locuinței</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Distribuitori de semnalizare/detecție</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Puncte de acces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Incinte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Dulapuri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Dulapuri din poliester</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Dulapuri metalice</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Conexiuni</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pentru dulapuri</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Cutii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Panouri pentru borne</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încastrate</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etanșe</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ieșite în relief</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de joncțiune</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Birouri, gestionarea termică a incintelor</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Soluții de rutare a cablurilor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Metru</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Sisteme de rutare a cablurilor și suporturi pentru cabluri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Căi de cablu de sârmă</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Tăvițe pentru cabluri din gresie</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Rafturi pentru cabluri</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Sisteme de canale transportatoare și de conducte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profilate</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Tuburi și conducte rigide</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de alimentare</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de pardoseală</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de instalare</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Muluri și plinte</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Alte produse punct pentru gestionarea cablurilor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Canale tehnice de adăpostire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de pardoseală</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Cutii de separare și coloane verticale de instalare</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Canal de cabluri pentru dulapuri</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Alte și accesorii</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Altele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Conexiune/joncțiune (în afara incintei)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Blocuri de joncțiune</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Conectori</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Prize industriale</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Alimentare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Transformatoare</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Surse centrale</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electrice mobile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Lumină de inspecție</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Blocuri multiprize, prize telefonice, altele</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 de deschidere a clapetei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Motorizarea ușilor, porților etc.</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Motorizarea obloanelor rulante</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Fire și cabluri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Rețele electrice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Cabluri de medie tensiune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Cabluri de joasă tensiune &lt; 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Accesorii de rețea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Transferul de energie electrică și date în interiorul clădirii</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Fire și cabluri electrice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Cabluri de comunicații din cupru și fibră optică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Accesorii în interiorul clădirii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Alte fire și cabluri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Neizolat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Cabluri de încălzire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Siguranța persoanelor fizice și controlul accesului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Detectarea și controlul accesului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de detectare a intruziunii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detectare a intruziunii</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control (tastatură, telecomandă etc.)</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Console de alarmă</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semnalizare (sirenă, transmițător etc.)</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Sistemul de control al accesului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Uși cu acces prin voce</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Uși cu acces video</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Supraveghere video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de supraveghere video****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captare a imaginii (camere)</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management al imaginii</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Interconexiuni</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Securitatea clădirii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Sistem de iluminat de securitate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Împrejurimi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de iluminat de urgență autonome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 de iluminat pentru sursa centrală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de iluminat în caz de inundație</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de iluminat de urgență autonome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de iluminat rezidențial independente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Unitate cu funcție dublă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 de iluminat pentru sursa centrală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(dispozitiv de iluminat)</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(dispozitiv de identificare îmbunătățit)</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iluminat de urgență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de iluminat rezidențial independente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Unitate cu funcție dublă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Unități autonome portabile de intervenție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Alimentare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Sursă centrală pentru montarea luminii de urgență</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Protecția împotriva incendiilor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Siguranță la incendiu și alarmă tehnică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Detectoare de fum/alarme independente</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Alarme și detectoare tehnice (inundație, gaz etc.)</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Detectoare autonome de monoxid de carbon</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Alarme și detectoare tehnice</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 HVAC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Încălzire și/sau răcire și/sau producție internă de apă caldă</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Cazan (doar încălzire)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pe gaz</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pe păcură</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hibrid</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pe biomasă</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Cazane mixte (încălzire și apă caldă menajeră)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pe gaz</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Cazan pe păcură</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Aparate independente pe bază de biomasă</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Pompe de căldură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Pompă de căldură electrică de compresie</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Pompă de căldură hibridă</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Pompă de circulație a apei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Uscător de prosoape</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Încălzire electrică directă printr-o unitate fixă vizibilă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Convector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Radiant</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cu funcție secundară ca uscător de prosoape</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Producția internă de apă caldă menajeră</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Litru</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Instalație individuală de stocare pentru încălzirea apei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Instalație electrică pentru încălzirea apei</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Instalație termodinamică pentru încălzirea apei</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Instalație pentru încălzirea apei cu gaz</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Instalație individuală solară pentru încălzirea apei</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Unități terminale de confort</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Ventiloconvectoare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Ventiloconvectoare</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sau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Grinzi climatice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Grinzi climatice pasive</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Grinzi climatice active</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Radiatoare dinamice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Radiatoare dinamice</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Conducte și accesorii de rețea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Coturi și accesorii</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flexibile</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Conducte rigide</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Difuzie de aer</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m³/oră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Prize de aer</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Terminale pasive</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Difuzoare</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Filtru de aer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Deschideri de extracție și de insuflare</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Tratarea aerului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m³/oră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Stație de tratare a aerului</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Unitate cu debit dublu</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Cutie de ventilație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m³/oră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Ventilație controlată mecanic cu un singur flux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Ventilație controlată </w:t>
            </w:r>
            <w:r>
              <w:rPr>
                <w:rFonts w:ascii="Times New Roman" w:hAnsi="Times New Roman"/>
                <w:sz w:val="24"/>
              </w:rPr>
              <w:lastRenderedPageBreak/>
              <w:t>mecanic cu debit dublu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Cutie de ventilație</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Refrigerare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Unitate de producție a apei cu gheață</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Turn de răcire</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Răcitoare de aer</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Extractor mecanic de fum</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m³/oră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Turelă, ventilator</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Clapetă antifoc sau firewall, clapetă, obturator</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Cutie de releu</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Producția locală de energie electrică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Generator de energie electrică</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Module fotovoltaice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Siliciu cristalin (monocristalin sau policristalin)</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Straturi subțiri</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Generatoare de aer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Orizontale</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Verticale</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Conversia și reglarea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Invertoare sincrone</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Invertoare autonome</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Convertizor DC/DC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Convertizor AC/DC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Reglare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Controler de sarcină</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Stocare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Baterie electrochimică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Plumb – acid</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Litiu – ion</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Altele</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Monitorizare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Monitorizare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Echipamente de monitorizare</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de iluminat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pentru iluminat interior și surse de alimentare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Iluminatul încastrat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 interior liniar pentru iluminatul de birou</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 interior încastrat neliniar pentru iluminatul de birou</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 interior încastrat de accentuare (spoturi)</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Lumini montate la suprafață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Lumini de tavan, accesorii suspendate interne liniare pentru iluminatul de birou sau industrial</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 pe perete interior liniar funcțional montat pe suprafață</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Lumini de tavan, iluminat de perete montat la suprafață, accesorii interioare decorative suspendate</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Hublouri interne</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Benzi de iluminat interioare (fără </w:t>
            </w:r>
            <w:r>
              <w:rPr>
                <w:rFonts w:ascii="Times New Roman" w:hAnsi="Times New Roman"/>
                <w:sz w:val="24"/>
              </w:rPr>
              <w:lastRenderedPageBreak/>
              <w:t>dispozitive optice, spre deosebire de produsele liniare)</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Proiectoare interioare, montate pe perete sau pe șine sau suspendate, pentru iluminatul cu accent</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Fitinguri interne de lumină rezistente la apă</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Bare și benzi flexibile LED (inclusiv sursa de alimentare)</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Accesorii suspendate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Accesorii industriale</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Structuri online continue pentru iluminatul industrial sau comercial</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Montaje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Șine de alimentare cu reflectoare</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Echipamente pentru iluminat exterior și surse de alimentare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Reflectoare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Reflectoare pentru sport și zone extinse</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Reflectoare exterioare pentru iluminat decorativ</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Corpuri de iluminat pentru iluminat exterior, altele decât lumina reflectoarelor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Corpuri de iluminat pentru iluminat decorativ</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Corpuri de iluminat pentru iluminatul funcțional</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Iluminatul temporizat</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Reflectoare încastrate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Reflectoare exterioare care urmează să fie încastrate în podea sau pereți</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Iluminat încastrat pentru orientare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Corpuri de iluminat cu orientare exterioară care urmează să fie încastrate în podea sau pe pereți</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Stâlpi și coloane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Terminale exterioare decorative</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Coloane luminoase exterioare decorative</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Corpuri de iluminat rezistente la apă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Lumini de perete montate la suprafață și hublouri impermeabile</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Iluminat încastrat submersibil pentru piscine sau fântâni</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Reflectoare submersibile pentru piscine sau fântâni</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unitate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Stâlpi și suporturi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Stâlpi</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Croșete</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Diverse suporturi pentru corpurile de iluminat exterioare</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0BCEB591" w14:textId="77777777" w:rsidR="00E96553" w:rsidRDefault="00E96553" w:rsidP="00B77F10">
      <w:pPr>
        <w:spacing w:before="100" w:beforeAutospacing="1" w:after="100" w:afterAutospacing="1" w:line="240" w:lineRule="auto"/>
        <w:outlineLvl w:val="2"/>
        <w:rPr>
          <w:rFonts w:ascii="Times New Roman" w:hAnsi="Times New Roman"/>
          <w:b/>
          <w:sz w:val="27"/>
        </w:rPr>
      </w:pPr>
    </w:p>
    <w:p w14:paraId="021D1715" w14:textId="77777777" w:rsidR="00E96553" w:rsidRDefault="00E96553" w:rsidP="00B77F10">
      <w:pPr>
        <w:spacing w:before="100" w:beforeAutospacing="1" w:after="100" w:afterAutospacing="1" w:line="240" w:lineRule="auto"/>
        <w:outlineLvl w:val="2"/>
        <w:rPr>
          <w:rFonts w:ascii="Times New Roman" w:hAnsi="Times New Roman"/>
          <w:b/>
          <w:sz w:val="27"/>
        </w:rPr>
      </w:pPr>
    </w:p>
    <w:p w14:paraId="4E4212C7" w14:textId="14184509"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Anexă</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Anexa III</w:t>
      </w:r>
      <w:r>
        <w:rPr>
          <w:rFonts w:ascii="Times New Roman" w:hAnsi="Times New Roman"/>
          <w:caps/>
          <w:sz w:val="24"/>
        </w:rPr>
        <w:br/>
        <w:t>Calcularea profiturilor și a cheltuielilor legate de valorificarea la sfârșitul ciclului de viață.</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Afișarea unei valori pozitive are ca rezultat o sarcină netă, iar o valoare negativă are ca rezultat un profit net.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În cazul reciclării, pentru un anumit flux de deșeuri reciclate (și, prin urmare, un anumit material lambda), se aplică următoarea formulă:</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unde</w:t>
      </w:r>
      <w:r>
        <w:rPr>
          <w:rFonts w:ascii="Times New Roman" w:hAnsi="Times New Roman"/>
          <w:sz w:val="24"/>
        </w:rPr>
        <w:br/>
        <w:t>MSval = masa (kg) de material secundar recuperat efectiv din masa stocului colectat (componenta lambda a materialului din „materialele destinate reciclării);</w:t>
      </w:r>
      <w:r>
        <w:rPr>
          <w:rFonts w:ascii="Times New Roman" w:hAnsi="Times New Roman"/>
          <w:sz w:val="24"/>
        </w:rPr>
        <w:br/>
        <w:t>IVval = inventarul producției (per kg) de material (sau amestec) pentru care materialul secundar reciclat lambda este înlocuit în sistemul din aval utilizându-l (și anume, nu inventarul producției produsului din aval, ci materialul de inventar al producției care alcătuiește acest produs din aval);</w:t>
      </w:r>
      <w:r>
        <w:rPr>
          <w:rFonts w:ascii="Times New Roman" w:hAnsi="Times New Roman"/>
          <w:sz w:val="24"/>
        </w:rPr>
        <w:br/>
        <w:t>ISval = inventarul (per kg) producției de material secundar gata de utilizare în sistemul din aval din stoc;</w:t>
      </w:r>
      <w:r>
        <w:rPr>
          <w:rFonts w:ascii="Times New Roman" w:hAnsi="Times New Roman"/>
          <w:sz w:val="24"/>
        </w:rPr>
        <w:br/>
        <w:t>MS = masa (kg) de material secundar încorporat în produsul căruia se aplică declarația la fabricare (componenta lambda a materialului în fluxul de „utilizare a materialelor secundare”;</w:t>
      </w:r>
      <w:r>
        <w:rPr>
          <w:rFonts w:ascii="Times New Roman" w:hAnsi="Times New Roman"/>
          <w:sz w:val="24"/>
        </w:rPr>
        <w:br/>
        <w:t>IV = inventarul producției (per kg) de material virgin utilizat pentru producerea produsului căruia i se aplică declarația, în absența reciclării materialului;</w:t>
      </w:r>
      <w:r>
        <w:rPr>
          <w:rFonts w:ascii="Times New Roman" w:hAnsi="Times New Roman"/>
          <w:sz w:val="24"/>
        </w:rPr>
        <w:br/>
        <w:t>Is = inventarul (per kg) de producție a materialului secundar gata de utilizare utilizat pentru a produce produsul căruia i se aplică declarația.</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În cazul recuperării energiei, pentru un anumit flux de deșeuri reciclate, se aplică următoarea formulă:</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x REval x IVval),</w:t>
      </w:r>
      <w:r>
        <w:rPr>
          <w:rFonts w:ascii="Times New Roman" w:hAnsi="Times New Roman"/>
          <w:sz w:val="24"/>
        </w:rPr>
        <w:br/>
        <w:t>unde</w:t>
      </w:r>
      <w:r>
        <w:rPr>
          <w:rFonts w:ascii="Times New Roman" w:hAnsi="Times New Roman"/>
          <w:sz w:val="24"/>
        </w:rPr>
        <w:br/>
        <w:t>MSval = masa (în kg) de material secundar recuperat efectiv din masa stocului colectat [componenta (componentele) lambda din materialul fluxului „materiale de recuperare a energiei”];</w:t>
      </w:r>
      <w:r>
        <w:rPr>
          <w:rFonts w:ascii="Times New Roman" w:hAnsi="Times New Roman"/>
          <w:sz w:val="24"/>
        </w:rPr>
        <w:br/>
        <w:t xml:space="preserve">IVval = inventarul producției (per kg) al energiei la care energia recuperată prin reciclarea energiei a materialelor secundare este înlocuită în sistemul din aval (și anume, nu inventarul producției sistemului din aval la care va contribui materialul secundar, ci inventarul producției de energie consumată de sistemul din aval, exprimat </w:t>
      </w:r>
      <w:r>
        <w:rPr>
          <w:rFonts w:ascii="Times New Roman" w:hAnsi="Times New Roman"/>
          <w:sz w:val="24"/>
        </w:rPr>
        <w:lastRenderedPageBreak/>
        <w:t>în MJ livrat);</w:t>
      </w:r>
      <w:r>
        <w:rPr>
          <w:rFonts w:ascii="Times New Roman" w:hAnsi="Times New Roman"/>
          <w:sz w:val="24"/>
        </w:rPr>
        <w:br/>
        <w:t>ISval = inventarul (per kg) al reciclării energetice a materialului secundar din stoc, pentru care fluxul de referință este masa de material secundar reciclat;</w:t>
      </w:r>
      <w:r>
        <w:rPr>
          <w:rFonts w:ascii="Times New Roman" w:hAnsi="Times New Roman"/>
          <w:sz w:val="24"/>
        </w:rPr>
        <w:br/>
        <w:t>PCISval = IBD (MJ/kg) de material secundar recuperat;</w:t>
      </w:r>
      <w:r>
        <w:rPr>
          <w:rFonts w:ascii="Times New Roman" w:hAnsi="Times New Roman"/>
          <w:sz w:val="24"/>
        </w:rPr>
        <w:br/>
        <w:t>REval = producția de energie a instalației de reciclare a energiei materialelor secundare recuperate.</w:t>
      </w:r>
      <w:r>
        <w:rPr>
          <w:rFonts w:ascii="Times New Roman" w:hAnsi="Times New Roman"/>
          <w:sz w:val="24"/>
        </w:rPr>
        <w:br/>
        <w:t>Beneficiul global pentru produsul declarat este apoi obținut ca sumă a tuturor beneficiilor colective calculate pentru fiecare dintre materiale/fluxuri.</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ANEXA IV</w:t>
      </w:r>
      <w:r>
        <w:rPr>
          <w:rFonts w:ascii="Times New Roman" w:hAnsi="Times New Roman"/>
          <w:sz w:val="24"/>
        </w:rPr>
        <w:br/>
        <w:t>CADRUL DE VALABILITATE A DECLARAȚIILOR COLECTIVE DE MEDIU PENTRU PRODUSE</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Omogenitate</w:t>
      </w:r>
      <w:r>
        <w:rPr>
          <w:rFonts w:ascii="Times New Roman" w:hAnsi="Times New Roman"/>
          <w:sz w:val="24"/>
        </w:rPr>
        <w:br/>
        <w:t>O analiză a ciclului de viață (LCA) implică o cantitate mare de date pentru numeroase scenarii. Anumite date sunt colectate la fața locului, unele sunt calculate și unele sunt estimate. Prin urmare, datele care furnizează o LCA sunt date cu un anumit nivel de incertitudine. Astfel, rezultatul unei LCA este destul de sensibil la variațiile datelor de intrare.</w:t>
      </w:r>
      <w:r>
        <w:rPr>
          <w:rFonts w:ascii="Times New Roman" w:hAnsi="Times New Roman"/>
          <w:sz w:val="24"/>
        </w:rPr>
        <w:br/>
        <w:t>Articolul 8 din decret prevede ca impactul asupra mediului al înregistrărilor care utilizează aceeași declarație colectivă de mediu să fie omogen. Astfel, o declarație de mediu colectivă va acoperi produsele omogene din punct de vedere al mediului dacă este posibil să se asigure că toate produsele vizate declară impactul asupra mediului sub o valoare-limită dacă respectă cadrul de valabilitate asociat prezentei declarații de mediu colective.</w:t>
      </w:r>
      <w:r>
        <w:rPr>
          <w:rFonts w:ascii="Times New Roman" w:hAnsi="Times New Roman"/>
          <w:sz w:val="24"/>
        </w:rPr>
        <w:br/>
        <w:t>Se acceptă ca această omogenitate să fie demonstrată numai pentru anumiți indicatori de control.</w:t>
      </w:r>
      <w:r>
        <w:rPr>
          <w:rFonts w:ascii="Times New Roman" w:hAnsi="Times New Roman"/>
          <w:sz w:val="24"/>
        </w:rPr>
        <w:br/>
        <w:t>Pentru indicatorii APL, demonstrarea omogenității se realizează printr-o analiză de sensibilitate a parametrilor incerți și a parametrilor care variază de la un declarant la altul. Se recomandă cu fermitate ca această analiză să fie efectuată la începutul procesului APL și ca declarația colectivă de mediu să fie construită pe baza acestei analize.</w:t>
      </w:r>
      <w:r>
        <w:rPr>
          <w:rFonts w:ascii="Times New Roman" w:hAnsi="Times New Roman"/>
          <w:sz w:val="24"/>
        </w:rPr>
        <w:br/>
        <w:t>2. Analiza sensibilității</w:t>
      </w:r>
      <w:r>
        <w:rPr>
          <w:rFonts w:ascii="Times New Roman" w:hAnsi="Times New Roman"/>
          <w:sz w:val="24"/>
        </w:rPr>
        <w:br/>
        <w:t>O analiză a sensibilității LCA trebuie să includă următoarele etape: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selectarea indicatorilor de control;</w:t>
      </w:r>
      <w:r>
        <w:rPr>
          <w:rFonts w:ascii="Times New Roman" w:hAnsi="Times New Roman"/>
          <w:sz w:val="24"/>
        </w:rPr>
        <w:br/>
        <w:t>(b) identificarea parametrilor sensibili: studiul contribuției pentru identificarea parametrilor de intrare care contribuie cel mai mult la explicarea valorii indicatorilor de control (rezultatele LCA);</w:t>
      </w:r>
      <w:r>
        <w:rPr>
          <w:rFonts w:ascii="Times New Roman" w:hAnsi="Times New Roman"/>
          <w:sz w:val="24"/>
        </w:rPr>
        <w:br/>
        <w:t>(c) determinarea intervalelor de variație a parametrilor sensibili (parametrii-limită și orice distribuție statistică);</w:t>
      </w:r>
      <w:r>
        <w:rPr>
          <w:rFonts w:ascii="Times New Roman" w:hAnsi="Times New Roman"/>
          <w:sz w:val="24"/>
        </w:rPr>
        <w:br/>
        <w:t>(d) simulări parametrizate pe etape b și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Analiza sensibilității poate fi iterativă. Rezultatul analizei de sensibilitate trebuie să fie:</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o listă de factori care influențează rezultatele APL (parametri sensibili) și câmpurile lor de variație autorizate (această listă este câmpul de validitate);</w:t>
      </w:r>
      <w:r>
        <w:rPr>
          <w:rFonts w:ascii="Times New Roman" w:hAnsi="Times New Roman"/>
          <w:sz w:val="24"/>
        </w:rPr>
        <w:br/>
        <w:t>(b) pentru fiecare indicator de control, un interval probabil de variație (interval de încredere 95 %) a valorilor indicatorului obținute prin simulările parametrilor.</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Etapa 1: selectarea indicatorilor de control</w:t>
      </w:r>
      <w:r>
        <w:rPr>
          <w:rFonts w:ascii="Times New Roman" w:hAnsi="Times New Roman"/>
          <w:sz w:val="24"/>
        </w:rPr>
        <w:br/>
        <w:t>Selectarea indicatorilor de control trebuie să fie rezonabilă. Acestea pot fi alese de la caz la caz dintre cele menționate la articolul 3 din prezentul decret. Alegerea lor trebuie să fie justificată. Următorii indicatori trebuie studiați cel puțin:</w:t>
      </w:r>
    </w:p>
    <w:p w14:paraId="3EA16B40" w14:textId="5B616045"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încălzirea globală;</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utilizarea energiei primare neregenerabile, cu excepția resurselor de energie primară neregenerabile utilizate ca materii prime;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deșeuri nepericuloase eliminate.</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Etapa 2: identificarea parametrilor sensibili</w:t>
      </w:r>
      <w:r>
        <w:rPr>
          <w:rFonts w:ascii="Times New Roman" w:hAnsi="Times New Roman"/>
          <w:sz w:val="24"/>
        </w:rPr>
        <w:br/>
        <w:t>Trebuie efectuată o analiză a parametrilor sensibili pentru fiecare indicator de control. În acest scop, se propune ca, în calitate de abordare inițială, impacturile să fie împărțite în funcție de procesele incluse în ciclul de viață. Această analiză ar trebui să se bazeze pe scenariul de referință descris în analiza sensibilității.</w:t>
      </w:r>
      <w:r>
        <w:rPr>
          <w:rFonts w:ascii="Times New Roman" w:hAnsi="Times New Roman"/>
          <w:sz w:val="24"/>
        </w:rPr>
        <w:br/>
        <w:t>Se recomandă luarea în considerare a tuturor proceselor cu:</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o contribuție mai mare de 5 % la unul dintre indicatorii de control din scenariul de bază;</w:t>
      </w:r>
      <w:r>
        <w:rPr>
          <w:rFonts w:ascii="Times New Roman" w:hAnsi="Times New Roman"/>
          <w:sz w:val="24"/>
        </w:rPr>
        <w:br/>
        <w:t>— sau impacturi cumulative care reprezintă cel puțin 80 % din impactul unuia dintre indicatorii de control.</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Parametrii modelului LCA (introducerea sau părăsirea procesului, parametrul de modelare a proceselor interne etc.) care modifică această contribuție ar trebui apoi identificați. Aceștia sunt parametrii considerați sensibili.</w:t>
      </w:r>
      <w:r>
        <w:rPr>
          <w:rFonts w:ascii="Times New Roman" w:hAnsi="Times New Roman"/>
          <w:sz w:val="24"/>
        </w:rPr>
        <w:br/>
        <w:t>La sfârșitul acestei analize, declarantul va avea o listă a proceselor care contribuie cel mai mult la indicatorii de control de-a lungul întregului ciclu de viață și o listă de parametri sensibili.</w:t>
      </w:r>
      <w:r>
        <w:rPr>
          <w:rFonts w:ascii="Times New Roman" w:hAnsi="Times New Roman"/>
          <w:sz w:val="24"/>
        </w:rPr>
        <w:br/>
        <w:t>Etapa 3: definirea intervalelor de variație a parametrilor sensibili</w:t>
      </w:r>
      <w:r>
        <w:rPr>
          <w:rFonts w:ascii="Times New Roman" w:hAnsi="Times New Roman"/>
          <w:sz w:val="24"/>
        </w:rPr>
        <w:br/>
        <w:t>Această etapă constă în definirea intervalului de variație al fiecărui parametru sensibil. Acest interval ar trebui apoi propus ca un minim sub formă de intervale. Dacă se cunoaște, se poate prevedea o lege pentru distribuția parametrului în intervalul definit mai sus.</w:t>
      </w:r>
      <w:r>
        <w:rPr>
          <w:rFonts w:ascii="Times New Roman" w:hAnsi="Times New Roman"/>
          <w:sz w:val="24"/>
        </w:rPr>
        <w:br/>
        <w:t>În urma acestei etape, fiecare parametru sensibil este asociat cu o gamă de variații.</w:t>
      </w:r>
      <w:r>
        <w:rPr>
          <w:rFonts w:ascii="Times New Roman" w:hAnsi="Times New Roman"/>
          <w:sz w:val="24"/>
        </w:rPr>
        <w:br/>
        <w:t>Etapa 4: Calcularea variabilității indicatorilor</w:t>
      </w:r>
      <w:r>
        <w:rPr>
          <w:rFonts w:ascii="Times New Roman" w:hAnsi="Times New Roman"/>
          <w:sz w:val="24"/>
        </w:rPr>
        <w:br/>
      </w:r>
      <w:r>
        <w:rPr>
          <w:rFonts w:ascii="Times New Roman" w:hAnsi="Times New Roman"/>
          <w:sz w:val="24"/>
        </w:rPr>
        <w:lastRenderedPageBreak/>
        <w:t>Pe baza etapelor 2 și 3, această etapă implică utilizarea unei metode matematice adecvate pentru a determina intervalele de variație a indicatorilor (valori maxime, valori medii și valori minime) la supunerea modelului LCA la variații ale parametrilor sensibili.</w:t>
      </w:r>
      <w:r>
        <w:rPr>
          <w:rFonts w:ascii="Times New Roman" w:hAnsi="Times New Roman"/>
          <w:sz w:val="24"/>
        </w:rPr>
        <w:br/>
        <w:t>Rezultatul etapei 4 este un set de intervale de valori luate de fiecare dintre indicatorii care fac obiectul analizei de sensibilitate.</w:t>
      </w:r>
      <w:r>
        <w:rPr>
          <w:rFonts w:ascii="Times New Roman" w:hAnsi="Times New Roman"/>
          <w:sz w:val="24"/>
        </w:rPr>
        <w:br/>
        <w:t>Calculul variabilității indicatorilor acoperă cel puțin parametrii sensibili referitori la elementele menționate la articolul 8 din prezentul decret.</w:t>
      </w:r>
      <w:r>
        <w:rPr>
          <w:rFonts w:ascii="Times New Roman" w:hAnsi="Times New Roman"/>
          <w:sz w:val="24"/>
        </w:rPr>
        <w:br/>
        <w:t>Etapele 3 și 4 pot fi efectuate prin iterație pentru a adapta gama de parametri sensibili la condițiile de omogenitate necesare.</w:t>
      </w:r>
      <w:r>
        <w:rPr>
          <w:rFonts w:ascii="Times New Roman" w:hAnsi="Times New Roman"/>
          <w:sz w:val="24"/>
        </w:rPr>
        <w:br/>
        <w:t>Raport de analiză a sensibilității</w:t>
      </w:r>
      <w:r>
        <w:rPr>
          <w:rFonts w:ascii="Times New Roman" w:hAnsi="Times New Roman"/>
          <w:sz w:val="24"/>
        </w:rPr>
        <w:br/>
        <w:t>Raportul conține elementele corespunzătoare celor patru etape ale analizei de sensibilitate și rezultatul final al analizei de sensibilitate, inclusiv domeniul de aplicare al declarației colective de mediu și intervalele de variație a indicatorilor de control.</w:t>
      </w:r>
      <w:r>
        <w:rPr>
          <w:rFonts w:ascii="Times New Roman" w:hAnsi="Times New Roman"/>
          <w:sz w:val="24"/>
        </w:rPr>
        <w:br/>
        <w:t>3. Analiza sensibilității și valorile de mediu declarate</w:t>
      </w:r>
      <w:r>
        <w:rPr>
          <w:rFonts w:ascii="Times New Roman" w:hAnsi="Times New Roman"/>
          <w:sz w:val="24"/>
        </w:rPr>
        <w:br/>
        <w:t>Rezultatele analizei de sensibilitate condiționează valorile de mediu raportate în declarația colectivă de mediu, astfel cum se specifică la articolul 8 din prezentul decret.</w:t>
      </w:r>
      <w:r>
        <w:rPr>
          <w:rFonts w:ascii="Times New Roman" w:hAnsi="Times New Roman"/>
          <w:sz w:val="24"/>
        </w:rPr>
        <w:br/>
        <w:t>Atunci când valoarea maximă (sau maximă de 95 % încredere, dacă se utilizează o abordare statistică) a intervalului de variație al fiecărui indicator de control al impactului asupra mediului este mai mică sau egală cu valoarea medie a indicatorului înmulțită cu o valoare-limită (specificată la articolul 8 din prezentul decret), atunci valorile indicatorilor de impact asupra mediului declarați se calculează cu valorile medii ale parametrilor sensibili. În caz contrar, adică dacă cel puțin unul dintre indicatorii de control al impactului asupra mediului are o valoare maximă mai mare decât valoarea medie a indicatorului înmulțită cu o valoare-limită (precizată la articolul 8 din prezentul decret), atunci trebuie declarată limita cea mai puțin favorabilă (valoarea maximă pe care o poate atinge indicatorul dacă reflectă o cheltuială și valoarea minimă dacă reflectă un profit). Dacă indicatorii reflectă o cheltuială, această limită superioară corespunde valorii indicatorilor obținuți atunci când se utilizează valorile maxime (sau maxime cu o probabilitate de 95 %, dacă se utilizează o abordare statistică) a parametrilor sensibili.</w:t>
      </w:r>
      <w:r>
        <w:rPr>
          <w:rFonts w:ascii="Times New Roman" w:hAnsi="Times New Roman"/>
          <w:sz w:val="24"/>
        </w:rPr>
        <w:br/>
        <w:t>4. Identificarea exactă a produselor care fac obiectul unei declarații</w:t>
      </w:r>
      <w:r>
        <w:rPr>
          <w:rFonts w:ascii="Times New Roman" w:hAnsi="Times New Roman"/>
          <w:sz w:val="24"/>
        </w:rPr>
        <w:br/>
        <w:t>Pentru a stabili dacă un produs este susceptibil de a face obiectul unei declarații de mediu colective, trebuie să se stabilească dacă produsul este similar cu produsul standard acoperit și dacă declarantul respectiv este autorizat să utilizeze această declarație de mediu colectivă.</w:t>
      </w:r>
      <w:r>
        <w:rPr>
          <w:rFonts w:ascii="Times New Roman" w:hAnsi="Times New Roman"/>
          <w:sz w:val="24"/>
        </w:rPr>
        <w:br/>
        <w:t>Identificarea produsului standard</w:t>
      </w:r>
      <w:r>
        <w:rPr>
          <w:rFonts w:ascii="Times New Roman" w:hAnsi="Times New Roman"/>
          <w:sz w:val="24"/>
        </w:rPr>
        <w:br/>
        <w:t>Produsul standard trebuie definit și descris în mod corect pentru a facilita reconcilierea dintre descrierea unui produs și cea a produsului standard. Descrierea produsului standard trebuie să includă cel puțin următoarele: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o listă a principalelor componente sau materiale predominante;</w:t>
      </w:r>
      <w:r>
        <w:rPr>
          <w:rFonts w:ascii="Times New Roman" w:hAnsi="Times New Roman"/>
          <w:sz w:val="24"/>
        </w:rPr>
        <w:br/>
        <w:t>(b) informații privind funcționalitatea sau nivelul de performanță.</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Această identificare trebuie să fie suficientă pentru a afla rapid și fără echivoc dacă un anumit produs poate face obiectul declarației colective.</w:t>
      </w:r>
      <w:r>
        <w:rPr>
          <w:rFonts w:ascii="Times New Roman" w:hAnsi="Times New Roman"/>
          <w:sz w:val="24"/>
        </w:rPr>
        <w:br/>
        <w:t>Identificarea declaranților care pot utiliza declarația de mediu colectivă</w:t>
      </w:r>
      <w:r>
        <w:rPr>
          <w:rFonts w:ascii="Times New Roman" w:hAnsi="Times New Roman"/>
          <w:sz w:val="24"/>
        </w:rPr>
        <w:br/>
      </w:r>
      <w:r>
        <w:rPr>
          <w:rFonts w:ascii="Times New Roman" w:hAnsi="Times New Roman"/>
          <w:sz w:val="24"/>
        </w:rPr>
        <w:lastRenderedPageBreak/>
        <w:t>Întrucât declarația de mediu colectivă este proprietatea și responsabilitatea unei comunități, această comunitate poate decide că numai unii dintre declaranți pot utiliza această declarație de mediu colectivă.</w:t>
      </w:r>
      <w:r>
        <w:rPr>
          <w:rFonts w:ascii="Times New Roman" w:hAnsi="Times New Roman"/>
          <w:sz w:val="24"/>
        </w:rPr>
        <w:br/>
        <w:t>Trebuie furnizată o listă a solicitanților autorizați să utilizeze o declarație colectivă de mediu:</w:t>
      </w:r>
    </w:p>
    <w:p w14:paraId="2AB81917" w14:textId="3B917BEE"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fie sub forma unei liste exhaustive de denumiri;</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sau sub forma unei condiții de apartenență la o entitate colectivă (asociație, sindicat, semnatari ai unei carte de bune practici etc.). În acest caz, lista membrilor acestei comunități trebuie să fie accesibilă publicului.</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Conținutul cadrului de valabilitate</w:t>
      </w:r>
      <w:r>
        <w:rPr>
          <w:rFonts w:ascii="Times New Roman" w:hAnsi="Times New Roman"/>
          <w:sz w:val="24"/>
        </w:rPr>
        <w:br/>
        <w:t>Cadrul de valabilitate conține cel puțin:</w:t>
      </w:r>
    </w:p>
    <w:p w14:paraId="76B32132" w14:textId="3065996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identificarea produsului standard (obligatoriu);</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produsele care fac obiectul declarației de mediu colective;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identificarea declaranților care pot utiliza declarația de mediu colectivă;</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raportul studiului de sensibilitate, inclusiv intervalul de valabilitate și furnizarea de dovezi că valorile declarate ale indicatorilor sunt omogene.</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Utilizarea cadrului de valabilitate</w:t>
      </w:r>
      <w:r>
        <w:rPr>
          <w:rFonts w:ascii="Times New Roman" w:hAnsi="Times New Roman"/>
          <w:sz w:val="24"/>
        </w:rPr>
        <w:br/>
        <w:t>Pentru ca un declarant să poată utiliza o declarație de mediu colectivă pentru produsul său, acesta trebuie să prezinte dovezi potrivit cărora:</w:t>
      </w:r>
    </w:p>
    <w:p w14:paraId="0B262F36" w14:textId="208F66F9"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produsul său este conform cu „produsul standard” care face obiectul declarației de mediu colective;</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acesta se află pe lista declaranților autorizați pentru această declarație de mediu colectivă;</w:t>
      </w:r>
      <w:r>
        <w:rPr>
          <w:rFonts w:ascii="Times New Roman" w:hAnsi="Times New Roman"/>
          <w:sz w:val="24"/>
        </w:rPr>
        <w:br/>
      </w:r>
      <w:r w:rsidR="00E96553">
        <w:rPr>
          <w:rFonts w:ascii="Times New Roman" w:hAnsi="Times New Roman"/>
          <w:sz w:val="24"/>
        </w:rPr>
        <w:t>—</w:t>
      </w:r>
      <w:r w:rsidR="00E96553">
        <w:rPr>
          <w:rFonts w:ascii="Times New Roman" w:hAnsi="Times New Roman"/>
          <w:sz w:val="24"/>
        </w:rPr>
        <w:t xml:space="preserve"> </w:t>
      </w:r>
      <w:r>
        <w:rPr>
          <w:rFonts w:ascii="Times New Roman" w:hAnsi="Times New Roman"/>
          <w:sz w:val="24"/>
        </w:rPr>
        <w:t>respectă domeniul de valabilitate al acestei declarații de mediu colective.</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Redactat la 14 decembrie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delegat pe lângă ministrul tranziției ecologice, responsabil cu locuințele,</w:t>
      </w:r>
      <w:r>
        <w:rPr>
          <w:rFonts w:ascii="Times New Roman" w:hAnsi="Times New Roman"/>
          <w:sz w:val="24"/>
        </w:rPr>
        <w:br/>
        <w:t>Pentru ministru și prin delegare:</w:t>
      </w:r>
      <w:r>
        <w:rPr>
          <w:rFonts w:ascii="Times New Roman" w:hAnsi="Times New Roman"/>
          <w:sz w:val="24"/>
        </w:rPr>
        <w:br/>
        <w:t>Directorul Locuințelor, Dezvoltării Urbane și Peisajelor,</w:t>
      </w:r>
      <w:r>
        <w:rPr>
          <w:rFonts w:ascii="Times New Roman" w:hAnsi="Times New Roman"/>
          <w:sz w:val="24"/>
        </w:rPr>
        <w:br/>
        <w:t>F. Adam</w:t>
      </w:r>
    </w:p>
    <w:p w14:paraId="60DBE7FC" w14:textId="386E1E39" w:rsidR="003F2E4D" w:rsidRPr="00E96553" w:rsidRDefault="00B77F10" w:rsidP="00E96553">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w:t>
      </w:r>
      <w:r>
        <w:rPr>
          <w:rFonts w:ascii="Times New Roman" w:hAnsi="Times New Roman"/>
          <w:sz w:val="24"/>
        </w:rPr>
        <w:br/>
        <w:t>Pentru ministru și prin delegare:</w:t>
      </w:r>
      <w:r>
        <w:rPr>
          <w:rFonts w:ascii="Times New Roman" w:hAnsi="Times New Roman"/>
          <w:sz w:val="24"/>
        </w:rPr>
        <w:br/>
        <w:t>Directorul Locuințelor, Dezvoltării Urbane și Peisajelor,</w:t>
      </w:r>
      <w:r>
        <w:rPr>
          <w:rFonts w:ascii="Times New Roman" w:hAnsi="Times New Roman"/>
          <w:sz w:val="24"/>
        </w:rPr>
        <w:br/>
        <w:t>F. Adam</w:t>
      </w:r>
    </w:p>
    <w:sectPr w:rsidR="003F2E4D" w:rsidRPr="00E96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45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B77F10"/>
    <w:rsid w:val="00D64750"/>
    <w:rsid w:val="00E96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6908</Words>
  <Characters>42904</Characters>
  <Application>Microsoft Office Word</Application>
  <DocSecurity>0</DocSecurity>
  <Lines>3900</Lines>
  <Paragraphs>816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2022-05-05T06:05:00Z</dcterms:created>
  <dcterms:modified xsi:type="dcterms:W3CDTF">2022-05-05T06:05:00Z</dcterms:modified>
</cp:coreProperties>
</file>