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EEE5" w14:textId="77777777" w:rsidR="0023656E" w:rsidRDefault="00956BE5">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Förordning nr </w:t>
      </w:r>
      <w:proofErr w:type="gramStart"/>
      <w:r>
        <w:rPr>
          <w:rFonts w:ascii="Times New Roman" w:hAnsi="Times New Roman"/>
          <w:b/>
          <w:sz w:val="36"/>
        </w:rPr>
        <w:t>2024-316</w:t>
      </w:r>
      <w:proofErr w:type="gramEnd"/>
      <w:r>
        <w:rPr>
          <w:rFonts w:ascii="Times New Roman" w:hAnsi="Times New Roman"/>
          <w:b/>
          <w:sz w:val="36"/>
        </w:rPr>
        <w:t xml:space="preserve"> av den 5 april 2024 om hållbarhetsindex till elektriska och elektroniska produkter</w:t>
      </w:r>
    </w:p>
    <w:p w14:paraId="16D700DD" w14:textId="77777777" w:rsidR="007B3CEE" w:rsidRPr="00B54C8A" w:rsidRDefault="00956BE5">
      <w:pPr>
        <w:spacing w:after="0" w:line="240" w:lineRule="auto"/>
        <w:rPr>
          <w:rFonts w:ascii="Times New Roman" w:eastAsia="Times New Roman" w:hAnsi="Times New Roman" w:cs="Times New Roman"/>
          <w:sz w:val="24"/>
          <w:szCs w:val="24"/>
          <w:lang w:val="en-US"/>
        </w:rPr>
      </w:pPr>
      <w:r w:rsidRPr="00B54C8A">
        <w:rPr>
          <w:rFonts w:ascii="Times New Roman" w:hAnsi="Times New Roman"/>
          <w:sz w:val="24"/>
          <w:lang w:val="en-US"/>
        </w:rPr>
        <w:t>NOR: TRED2329205D</w:t>
      </w:r>
    </w:p>
    <w:p w14:paraId="7D920524" w14:textId="192AB7B9" w:rsidR="007B3CEE" w:rsidRPr="00B54C8A" w:rsidRDefault="00956BE5">
      <w:pPr>
        <w:spacing w:after="0" w:line="240" w:lineRule="auto"/>
        <w:rPr>
          <w:rFonts w:ascii="Times New Roman" w:eastAsia="Times New Roman" w:hAnsi="Times New Roman" w:cs="Times New Roman"/>
          <w:sz w:val="24"/>
          <w:szCs w:val="24"/>
          <w:lang w:val="en-US"/>
        </w:rPr>
      </w:pPr>
      <w:r w:rsidRPr="00B54C8A">
        <w:rPr>
          <w:rFonts w:ascii="Times New Roman" w:hAnsi="Times New Roman"/>
          <w:sz w:val="24"/>
          <w:lang w:val="en-US"/>
        </w:rPr>
        <w:t xml:space="preserve">ELI: </w:t>
      </w:r>
      <w:hyperlink r:id="rId4" w:history="1">
        <w:r w:rsidRPr="00B54C8A">
          <w:rPr>
            <w:rStyle w:val="Hyperlink"/>
            <w:rFonts w:ascii="Times New Roman" w:hAnsi="Times New Roman"/>
            <w:sz w:val="24"/>
            <w:lang w:val="en-US"/>
          </w:rPr>
          <w:t>https://www.legifrance.gouv.fr/eli/decret/2024/4/5/TRED2329205D/jo/texte</w:t>
        </w:r>
      </w:hyperlink>
    </w:p>
    <w:p w14:paraId="6CAA6AAE" w14:textId="783AAEE7" w:rsidR="007B3CEE" w:rsidRPr="00B54C8A" w:rsidRDefault="00956BE5">
      <w:pPr>
        <w:spacing w:after="0" w:line="240" w:lineRule="auto"/>
        <w:rPr>
          <w:rFonts w:ascii="Times New Roman" w:eastAsia="Times New Roman" w:hAnsi="Times New Roman" w:cs="Times New Roman"/>
          <w:sz w:val="24"/>
          <w:szCs w:val="24"/>
          <w:lang w:val="fi-FI"/>
        </w:rPr>
      </w:pPr>
      <w:r w:rsidRPr="00B54C8A">
        <w:rPr>
          <w:rFonts w:ascii="Times New Roman" w:hAnsi="Times New Roman"/>
          <w:sz w:val="24"/>
          <w:lang w:val="fi-FI"/>
        </w:rPr>
        <w:t xml:space="preserve">Alias: </w:t>
      </w:r>
      <w:hyperlink r:id="rId5" w:history="1">
        <w:r w:rsidRPr="00B54C8A">
          <w:rPr>
            <w:rStyle w:val="Hyperlink"/>
            <w:rFonts w:ascii="Times New Roman" w:hAnsi="Times New Roman"/>
            <w:sz w:val="24"/>
            <w:lang w:val="fi-FI"/>
          </w:rPr>
          <w:t>https://www.legifrance.gouv.fr/eli/decret/2024/4/5/2024-316/jo/texte</w:t>
        </w:r>
      </w:hyperlink>
    </w:p>
    <w:p w14:paraId="2AC6BE26" w14:textId="77777777" w:rsidR="007B3CE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Frankrikes officiella tidning nr 0082 av den 7 april 2024</w:t>
      </w:r>
    </w:p>
    <w:p w14:paraId="7693BB8D" w14:textId="7098A389" w:rsidR="0023656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Text nr 21</w:t>
      </w:r>
    </w:p>
    <w:p w14:paraId="1C8F13CD"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Målgrupper: tillverkare, importörer, distributörer eller andra personer som släpper ut elektriska och elektroniska produkter på marknaden liksom försäljare av samma produkter samt de som driver en webbplats, en plattform eller någon annan elektronisk distributionskanal inom ramen för sin yrkesmässiga verksamhet i Frankrike. </w:t>
      </w:r>
      <w:r>
        <w:rPr>
          <w:rFonts w:ascii="Times New Roman" w:hAnsi="Times New Roman"/>
          <w:sz w:val="24"/>
        </w:rPr>
        <w:br/>
        <w:t xml:space="preserve">Syfte: genomförandebestämmelser för det hållbarhetsindex som definieras i artikel L. 541-9-2 i miljöbalken. </w:t>
      </w:r>
      <w:r>
        <w:rPr>
          <w:rFonts w:ascii="Times New Roman" w:hAnsi="Times New Roman"/>
          <w:sz w:val="24"/>
        </w:rPr>
        <w:br/>
        <w:t xml:space="preserve">Ikraftträdande: texten träder i kraft dagen efter dess publicering. </w:t>
      </w:r>
      <w:r>
        <w:rPr>
          <w:rFonts w:ascii="Times New Roman" w:hAnsi="Times New Roman"/>
          <w:sz w:val="24"/>
        </w:rPr>
        <w:br/>
        <w:t xml:space="preserve">Anmärkning: i förordningen fastställs tillämpningsföreskrifterna för artikel L. 541-9-2 i miljöbalken, i vilken det föreskrivs att ett hållbarhetsindex ska införas för vissa kategorier av elektriska och elektroniska produkter. Det ska särskilt ange kriterier och parametrar för den beräkning som används för att upprätta detta index samt den allmänna ramen för skyldigheterna i samband med dess kommunikation och presentation. </w:t>
      </w:r>
      <w:r>
        <w:rPr>
          <w:rFonts w:ascii="Times New Roman" w:hAnsi="Times New Roman"/>
          <w:sz w:val="24"/>
        </w:rPr>
        <w:br/>
        <w:t xml:space="preserve">Referenser: Dekretet finns tillgängligt på webbplatsen tillhörande </w:t>
      </w:r>
      <w:proofErr w:type="spellStart"/>
      <w:r>
        <w:rPr>
          <w:rFonts w:ascii="Times New Roman" w:hAnsi="Times New Roman"/>
          <w:sz w:val="24"/>
        </w:rPr>
        <w:t>Légifrance</w:t>
      </w:r>
      <w:proofErr w:type="spellEnd"/>
      <w:r>
        <w:rPr>
          <w:rFonts w:ascii="Times New Roman" w:hAnsi="Times New Roman"/>
          <w:sz w:val="24"/>
        </w:rPr>
        <w:t xml:space="preserve"> (https://www.legifrance.gouv.fr). </w:t>
      </w:r>
    </w:p>
    <w:p w14:paraId="286486BA" w14:textId="77777777" w:rsidR="00366729" w:rsidRDefault="00956BE5" w:rsidP="00366729">
      <w:pPr>
        <w:spacing w:after="0" w:line="240" w:lineRule="auto"/>
        <w:rPr>
          <w:rFonts w:ascii="Times New Roman" w:eastAsia="Times New Roman" w:hAnsi="Times New Roman" w:cs="Times New Roman"/>
          <w:sz w:val="24"/>
          <w:szCs w:val="24"/>
        </w:rPr>
      </w:pPr>
      <w:r>
        <w:rPr>
          <w:rFonts w:ascii="Times New Roman" w:hAnsi="Times New Roman"/>
          <w:sz w:val="24"/>
        </w:rPr>
        <w:br/>
        <w:t>Premiärministern föreskriver,</w:t>
      </w:r>
    </w:p>
    <w:p w14:paraId="4F0D4103" w14:textId="77777777" w:rsidR="00366729"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om rapporten från ministern för ekonomi, finans och industriell och digital suveränitet och ministern för ekologisk omställning och territoriell sammanhållning,</w:t>
      </w:r>
    </w:p>
    <w:p w14:paraId="37F75173" w14:textId="442EB61D"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med beaktande av Europaparlamentets och rådets direktiv (EU) 2015/1535 av den 9 september 2015 om ett informationsförfarande beträffande tekniska föreskrifter och beträffande föreskrifter för informationssamhällets tjänster, tillsammans med anmälan nr 2023/477-481/FR som inlämnats till Europeiska kommissionen den 2 augusti 2023 och svaren på denna från den 27 oktober 2023 och den 5 februari 2024,</w:t>
      </w:r>
      <w:r>
        <w:rPr>
          <w:rFonts w:ascii="Times New Roman" w:hAnsi="Times New Roman"/>
          <w:sz w:val="24"/>
        </w:rPr>
        <w:br/>
        <w:t>med beaktande av miljöbalken, särskilt artiklarna L. 541-9-1, L. 541-9-2, L. 541-9-4 och L. 541-9-4-1,</w:t>
      </w:r>
      <w:r>
        <w:rPr>
          <w:rFonts w:ascii="Times New Roman" w:hAnsi="Times New Roman"/>
          <w:sz w:val="24"/>
        </w:rPr>
        <w:br/>
        <w:t>med beaktande av lagen om förbindelser mellan allmänheten och myndigheterna, särskilt bok III däri,</w:t>
      </w:r>
      <w:r>
        <w:rPr>
          <w:rFonts w:ascii="Times New Roman" w:hAnsi="Times New Roman"/>
          <w:sz w:val="24"/>
        </w:rPr>
        <w:br/>
        <w:t>med beaktande av de iakttagelser som gjordes under det offentliga samråd som genomfördes mellan den 5 september och den 13 oktober 2023, i enlighet med artikel L. 123–19–1 i miljöbalken,</w:t>
      </w:r>
      <w:r>
        <w:rPr>
          <w:rFonts w:ascii="Times New Roman" w:hAnsi="Times New Roman"/>
          <w:sz w:val="24"/>
        </w:rPr>
        <w:br/>
        <w:t>efter att ha hört statens råd (</w:t>
      </w:r>
      <w:proofErr w:type="spellStart"/>
      <w:r>
        <w:rPr>
          <w:rFonts w:ascii="Times New Roman" w:hAnsi="Times New Roman"/>
          <w:sz w:val="24"/>
        </w:rPr>
        <w:t>conseil</w:t>
      </w:r>
      <w:proofErr w:type="spellEnd"/>
      <w:r>
        <w:rPr>
          <w:rFonts w:ascii="Times New Roman" w:hAnsi="Times New Roman"/>
          <w:sz w:val="24"/>
        </w:rPr>
        <w:t xml:space="preserve"> </w:t>
      </w:r>
      <w:proofErr w:type="spellStart"/>
      <w:r>
        <w:rPr>
          <w:rFonts w:ascii="Times New Roman" w:hAnsi="Times New Roman"/>
          <w:sz w:val="24"/>
        </w:rPr>
        <w:t>d'état</w:t>
      </w:r>
      <w:proofErr w:type="spellEnd"/>
      <w:r>
        <w:rPr>
          <w:rFonts w:ascii="Times New Roman" w:hAnsi="Times New Roman"/>
          <w:sz w:val="24"/>
        </w:rPr>
        <w:t>) (avdelningen för offentliga arbeten [</w:t>
      </w:r>
      <w:proofErr w:type="spellStart"/>
      <w:r>
        <w:rPr>
          <w:rFonts w:ascii="Times New Roman" w:hAnsi="Times New Roman"/>
          <w:sz w:val="24"/>
        </w:rPr>
        <w:t>section</w:t>
      </w:r>
      <w:proofErr w:type="spellEnd"/>
      <w:r>
        <w:rPr>
          <w:rFonts w:ascii="Times New Roman" w:hAnsi="Times New Roman"/>
          <w:sz w:val="24"/>
        </w:rPr>
        <w:t xml:space="preserve"> des </w:t>
      </w:r>
      <w:proofErr w:type="spellStart"/>
      <w:r>
        <w:rPr>
          <w:rFonts w:ascii="Times New Roman" w:hAnsi="Times New Roman"/>
          <w:sz w:val="24"/>
        </w:rPr>
        <w:t>travaux</w:t>
      </w:r>
      <w:proofErr w:type="spellEnd"/>
      <w:r>
        <w:rPr>
          <w:rFonts w:ascii="Times New Roman" w:hAnsi="Times New Roman"/>
          <w:sz w:val="24"/>
        </w:rPr>
        <w:t xml:space="preserve"> </w:t>
      </w:r>
      <w:proofErr w:type="spellStart"/>
      <w:r>
        <w:rPr>
          <w:rFonts w:ascii="Times New Roman" w:hAnsi="Times New Roman"/>
          <w:sz w:val="24"/>
        </w:rPr>
        <w:t>publics</w:t>
      </w:r>
      <w:proofErr w:type="spellEnd"/>
      <w:r>
        <w:rPr>
          <w:rFonts w:ascii="Times New Roman" w:hAnsi="Times New Roman"/>
          <w:sz w:val="24"/>
        </w:rPr>
        <w:t>]).</w:t>
      </w:r>
      <w:r>
        <w:rPr>
          <w:rFonts w:ascii="Times New Roman" w:hAnsi="Times New Roman"/>
          <w:sz w:val="24"/>
        </w:rPr>
        <w:br/>
        <w:t>Härmed förordnas följande:</w:t>
      </w:r>
    </w:p>
    <w:p w14:paraId="25FC888A"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1</w:t>
      </w:r>
    </w:p>
    <w:p w14:paraId="640ECEDA"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t xml:space="preserve">I avdelning IV i bok V i kapitel I </w:t>
      </w:r>
      <w:proofErr w:type="spellStart"/>
      <w:r>
        <w:rPr>
          <w:rFonts w:ascii="Times New Roman" w:hAnsi="Times New Roman"/>
          <w:sz w:val="24"/>
        </w:rPr>
        <w:t>i</w:t>
      </w:r>
      <w:proofErr w:type="spellEnd"/>
      <w:r>
        <w:rPr>
          <w:rFonts w:ascii="Times New Roman" w:hAnsi="Times New Roman"/>
          <w:sz w:val="24"/>
        </w:rPr>
        <w:t xml:space="preserve"> avsnitt 9 i miljöbalkens regleringsdel ska ett underavsnitt 2 läggas till enligt följande: </w:t>
      </w:r>
    </w:p>
    <w:p w14:paraId="27226E4B"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Underavsnitt 2</w:t>
      </w:r>
      <w:r>
        <w:rPr>
          <w:rFonts w:ascii="Times New Roman" w:hAnsi="Times New Roman"/>
          <w:sz w:val="24"/>
        </w:rPr>
        <w:br/>
        <w:t xml:space="preserve">“Visning av det hållbarhetsindex som gäller för elektriska och elektroniska produkter </w:t>
      </w:r>
    </w:p>
    <w:p w14:paraId="6EEDF8B4"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Artikel R. </w:t>
      </w:r>
      <w:proofErr w:type="gramStart"/>
      <w:r>
        <w:rPr>
          <w:rFonts w:ascii="Times New Roman" w:hAnsi="Times New Roman"/>
          <w:sz w:val="24"/>
        </w:rPr>
        <w:t>541-215</w:t>
      </w:r>
      <w:proofErr w:type="gramEnd"/>
      <w:r>
        <w:rPr>
          <w:rFonts w:ascii="Times New Roman" w:hAnsi="Times New Roman"/>
          <w:sz w:val="24"/>
        </w:rPr>
        <w:t xml:space="preserve"> – Detta underavsnitt gäller för de kategorier av ny elektrisk och elektronisk utrustning som definieras genom beslut av ministrarna med ansvar för miljö och ekonomi. </w:t>
      </w:r>
    </w:p>
    <w:p w14:paraId="3A6AF9D7"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Artikel R. </w:t>
      </w:r>
      <w:proofErr w:type="gramStart"/>
      <w:r>
        <w:rPr>
          <w:rFonts w:ascii="Times New Roman" w:hAnsi="Times New Roman"/>
          <w:sz w:val="24"/>
        </w:rPr>
        <w:t>541-216</w:t>
      </w:r>
      <w:proofErr w:type="gramEnd"/>
      <w:r>
        <w:rPr>
          <w:rFonts w:ascii="Times New Roman" w:hAnsi="Times New Roman"/>
          <w:sz w:val="24"/>
        </w:rPr>
        <w:t xml:space="preserve"> – Det hållbarhetsindex som fastställs av tillverkare eller importörer i enlighet med II i artikel L. 541-9-2 ska bestå av ett poängvärde som fastställs för varje modell av utrustning i enlighet med de förfaranden som anges nedan. Detta poängvärde är avsett att uppmärksammas av konsumenterna vid tidpunkten för inköp av nya produkter. </w:t>
      </w:r>
      <w:r>
        <w:rPr>
          <w:rFonts w:ascii="Times New Roman" w:hAnsi="Times New Roman"/>
          <w:sz w:val="24"/>
        </w:rPr>
        <w:br/>
        <w:t xml:space="preserve">” Hållbarhetsindexet ska ersätta det reparerbarhetsindex som föreskrivs i </w:t>
      </w:r>
      <w:proofErr w:type="spellStart"/>
      <w:r>
        <w:rPr>
          <w:rFonts w:ascii="Times New Roman" w:hAnsi="Times New Roman"/>
          <w:sz w:val="24"/>
        </w:rPr>
        <w:t>I</w:t>
      </w:r>
      <w:proofErr w:type="spellEnd"/>
      <w:r>
        <w:rPr>
          <w:rFonts w:ascii="Times New Roman" w:hAnsi="Times New Roman"/>
          <w:sz w:val="24"/>
        </w:rPr>
        <w:t xml:space="preserve"> </w:t>
      </w:r>
      <w:proofErr w:type="spellStart"/>
      <w:r>
        <w:rPr>
          <w:rFonts w:ascii="Times New Roman" w:hAnsi="Times New Roman"/>
          <w:sz w:val="24"/>
        </w:rPr>
        <w:t>i</w:t>
      </w:r>
      <w:proofErr w:type="spellEnd"/>
      <w:r>
        <w:rPr>
          <w:rFonts w:ascii="Times New Roman" w:hAnsi="Times New Roman"/>
          <w:sz w:val="24"/>
        </w:rPr>
        <w:t xml:space="preserve"> artikel L. 541-9-2 från och med ikraftträdandet av skyldigheterna gällande hållbarhetsindexet för den berörda produktkategorin. </w:t>
      </w:r>
    </w:p>
    <w:p w14:paraId="34FF8F0A"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Artikel R </w:t>
      </w:r>
      <w:proofErr w:type="gramStart"/>
      <w:r>
        <w:rPr>
          <w:rFonts w:ascii="Times New Roman" w:hAnsi="Times New Roman"/>
          <w:sz w:val="24"/>
        </w:rPr>
        <w:t>541-217</w:t>
      </w:r>
      <w:proofErr w:type="gramEnd"/>
      <w:r>
        <w:rPr>
          <w:rFonts w:ascii="Times New Roman" w:hAnsi="Times New Roman"/>
          <w:sz w:val="24"/>
        </w:rPr>
        <w:t xml:space="preserve"> – I detta underavsnitt gäller följande definitioner: </w:t>
      </w:r>
      <w:r>
        <w:rPr>
          <w:rFonts w:ascii="Times New Roman" w:hAnsi="Times New Roman"/>
          <w:sz w:val="24"/>
        </w:rPr>
        <w:br/>
        <w:t xml:space="preserve">“1. tillhandahållande på marknaden: varje leverans inom ramen för kommersiell verksamhet av produkter som är avsedda för distribution eller användning på den nationella marknaden, mot ersättning eller kostnadsfritt.  </w:t>
      </w:r>
      <w:r>
        <w:rPr>
          <w:rFonts w:ascii="Times New Roman" w:hAnsi="Times New Roman"/>
          <w:sz w:val="24"/>
        </w:rPr>
        <w:br/>
        <w:t xml:space="preserve">“2. utsläppande på marknaden: det första tillhandahållandet av en produkt på den nationella marknaden.  </w:t>
      </w:r>
      <w:r>
        <w:rPr>
          <w:rFonts w:ascii="Times New Roman" w:hAnsi="Times New Roman"/>
          <w:sz w:val="24"/>
        </w:rPr>
        <w:br/>
        <w:t xml:space="preserve">“3. tillverkare: varje fysisk eller juridisk person som tillverkar eller låter konstruera och saluföra produkten under eget namn eller varumärke.  </w:t>
      </w:r>
      <w:r>
        <w:rPr>
          <w:rFonts w:ascii="Times New Roman" w:hAnsi="Times New Roman"/>
          <w:sz w:val="24"/>
        </w:rPr>
        <w:br/>
        <w:t xml:space="preserve">“4. importör: varje fysisk eller juridisk person som släpper ut produkter på den nationella marknaden från Europeiska unionens medlemsstater eller från tredjeländer.  </w:t>
      </w:r>
      <w:r>
        <w:rPr>
          <w:rFonts w:ascii="Times New Roman" w:hAnsi="Times New Roman"/>
          <w:sz w:val="24"/>
        </w:rPr>
        <w:br/>
        <w:t xml:space="preserve">“5. distributör: varje fysisk eller juridisk person i leveranskedjan, utom producenten eller importören, som erbjuder produkter för försäljning på den inhemska marknaden.  </w:t>
      </w:r>
      <w:r>
        <w:rPr>
          <w:rFonts w:ascii="Times New Roman" w:hAnsi="Times New Roman"/>
          <w:sz w:val="24"/>
        </w:rPr>
        <w:br/>
        <w:t xml:space="preserve">“6. säljare: varje fysisk eller juridisk person som i samband med kommersiell verksamhet tillhandahåller på marknaden genom att sälja produkter, även på distans, till konsumenter.  </w:t>
      </w:r>
      <w:r>
        <w:rPr>
          <w:rFonts w:ascii="Times New Roman" w:hAnsi="Times New Roman"/>
          <w:sz w:val="24"/>
        </w:rPr>
        <w:br/>
        <w:t xml:space="preserve">“7. distansförsäljning: distansavtal mellan en yrkesmässig säljare och en konsument inom ramen för ett organiserat system för försäljning, utan näringsidkarens och konsumentens samtidiga närvaro, som enbart ingås med hjälp av ett eller flera medel för distanskommunikation.  </w:t>
      </w:r>
      <w:r>
        <w:rPr>
          <w:rFonts w:ascii="Times New Roman" w:hAnsi="Times New Roman"/>
          <w:sz w:val="24"/>
        </w:rPr>
        <w:br/>
        <w:t xml:space="preserve">“8.  modell: en version av en produkt vars enheter har samma relevanta tekniska egenskaper för beräkningen av indexet. </w:t>
      </w:r>
      <w:r>
        <w:rPr>
          <w:rFonts w:ascii="Times New Roman" w:hAnsi="Times New Roman"/>
          <w:sz w:val="24"/>
        </w:rPr>
        <w:br/>
        <w:t xml:space="preserve">“9. likvärdiga modeller: en grupp modeller som har samma tekniska egenskaper som är relevanta för de tillförlitlighetstester som ska utföras och som släpps ut på marknaden eller tas i bruk av samma tillverkare, importör eller annan marknadsförare som en annan modell med en annan modellreferens. </w:t>
      </w:r>
    </w:p>
    <w:p w14:paraId="664ACBEA" w14:textId="77777777" w:rsidR="00366729" w:rsidRDefault="00956BE5" w:rsidP="00366729">
      <w:pPr>
        <w:spacing w:after="0" w:line="240" w:lineRule="auto"/>
        <w:ind w:left="446"/>
        <w:rPr>
          <w:rFonts w:ascii="Times New Roman" w:eastAsia="Times New Roman" w:hAnsi="Times New Roman" w:cs="Times New Roman"/>
          <w:sz w:val="24"/>
          <w:szCs w:val="24"/>
        </w:rPr>
      </w:pPr>
      <w:r>
        <w:rPr>
          <w:rFonts w:ascii="Times New Roman" w:hAnsi="Times New Roman"/>
          <w:sz w:val="24"/>
        </w:rPr>
        <w:lastRenderedPageBreak/>
        <w:br/>
        <w:t>” Artikel R. </w:t>
      </w:r>
      <w:proofErr w:type="gramStart"/>
      <w:r>
        <w:rPr>
          <w:rFonts w:ascii="Times New Roman" w:hAnsi="Times New Roman"/>
          <w:sz w:val="24"/>
        </w:rPr>
        <w:t>541-218</w:t>
      </w:r>
      <w:proofErr w:type="gramEnd"/>
      <w:r>
        <w:rPr>
          <w:rFonts w:ascii="Times New Roman" w:hAnsi="Times New Roman"/>
          <w:sz w:val="24"/>
        </w:rPr>
        <w:t xml:space="preserve"> – I – Producenter eller importörer ska för varje modell av den produkt de släpper ut på marknaden fastställa hållbarhetsindexet och de parametrar som gör det möjligt att fastställa det i enlighet med de förfaranden som anges i beslutet av ministrarna med ansvar för miljö och ekonomi. </w:t>
      </w:r>
      <w:r>
        <w:rPr>
          <w:rFonts w:ascii="Times New Roman" w:hAnsi="Times New Roman"/>
          <w:sz w:val="24"/>
        </w:rPr>
        <w:br/>
        <w:t xml:space="preserve">“II.- Producenter eller importörer ska kommunicera i elektroniskt format och kostnadsfritt och till distributörer eller säljare vid tidpunkten för upptagande och leverans av produkten för varje modell av produkten som släpps ut på marknaden:  </w:t>
      </w:r>
      <w:r>
        <w:rPr>
          <w:rFonts w:ascii="Times New Roman" w:hAnsi="Times New Roman"/>
          <w:sz w:val="24"/>
        </w:rPr>
        <w:br/>
        <w:t xml:space="preserve">”1. Hållbarhetsindexet i enlighet med de villkor och skyltar som anges i det beslut som nämns i </w:t>
      </w:r>
      <w:proofErr w:type="spellStart"/>
      <w:r>
        <w:rPr>
          <w:rFonts w:ascii="Times New Roman" w:hAnsi="Times New Roman"/>
          <w:sz w:val="24"/>
        </w:rPr>
        <w:t>I</w:t>
      </w:r>
      <w:proofErr w:type="spellEnd"/>
      <w:r>
        <w:rPr>
          <w:rFonts w:ascii="Times New Roman" w:hAnsi="Times New Roman"/>
          <w:sz w:val="24"/>
        </w:rPr>
        <w:t xml:space="preserve">. </w:t>
      </w:r>
      <w:r>
        <w:rPr>
          <w:rFonts w:ascii="Times New Roman" w:hAnsi="Times New Roman"/>
          <w:sz w:val="24"/>
        </w:rPr>
        <w:br/>
        <w:t xml:space="preserve">”2. En tabell med uppgifter om faktorer som beaktas i hållbarhetsindexets poäng, i enlighet med det format för presentation som anges i det beslut som nämns i </w:t>
      </w:r>
      <w:proofErr w:type="spellStart"/>
      <w:r>
        <w:rPr>
          <w:rFonts w:ascii="Times New Roman" w:hAnsi="Times New Roman"/>
          <w:sz w:val="24"/>
        </w:rPr>
        <w:t>I</w:t>
      </w:r>
      <w:proofErr w:type="spellEnd"/>
      <w:r>
        <w:rPr>
          <w:rFonts w:ascii="Times New Roman" w:hAnsi="Times New Roman"/>
          <w:sz w:val="24"/>
        </w:rPr>
        <w:t xml:space="preserve">. </w:t>
      </w:r>
    </w:p>
    <w:p w14:paraId="67E6F352" w14:textId="77777777" w:rsidR="00366729" w:rsidRDefault="00956BE5" w:rsidP="00366729">
      <w:pPr>
        <w:spacing w:after="0" w:line="240" w:lineRule="auto"/>
        <w:ind w:left="446"/>
        <w:rPr>
          <w:rFonts w:ascii="Times New Roman" w:eastAsia="Times New Roman" w:hAnsi="Times New Roman" w:cs="Times New Roman"/>
          <w:sz w:val="24"/>
          <w:szCs w:val="24"/>
        </w:rPr>
      </w:pPr>
      <w:r>
        <w:rPr>
          <w:rFonts w:ascii="Times New Roman" w:hAnsi="Times New Roman"/>
          <w:sz w:val="24"/>
        </w:rPr>
        <w:t xml:space="preserve">” III – Om det inte är samma person som säljaren ska distributören på samma villkor som anges i punkterna 1 och 2 i II kostnadsfritt meddela säljaren om indexet och den tabell som avses i II, vid tidpunkten för noteringen och leveransen av de elektriska och elektroniska produkterna. </w:t>
      </w:r>
      <w:r>
        <w:rPr>
          <w:rFonts w:ascii="Times New Roman" w:hAnsi="Times New Roman"/>
          <w:sz w:val="24"/>
        </w:rPr>
        <w:br/>
        <w:t xml:space="preserve">” IV – Indexet kan dessutom anbringas direkt på varje produkt eller på förpackningen genom etikettering eller märkning, samtidigt som de tecken som föreskrivs i det beslut som nämns i </w:t>
      </w:r>
      <w:proofErr w:type="spellStart"/>
      <w:r>
        <w:rPr>
          <w:rFonts w:ascii="Times New Roman" w:hAnsi="Times New Roman"/>
          <w:sz w:val="24"/>
        </w:rPr>
        <w:t>I</w:t>
      </w:r>
      <w:proofErr w:type="spellEnd"/>
      <w:r>
        <w:rPr>
          <w:rFonts w:ascii="Times New Roman" w:hAnsi="Times New Roman"/>
          <w:sz w:val="24"/>
        </w:rPr>
        <w:t xml:space="preserve"> iakttas. </w:t>
      </w:r>
    </w:p>
    <w:p w14:paraId="4B1F359E" w14:textId="17C1264C" w:rsidR="0023656E" w:rsidRDefault="00956BE5" w:rsidP="00956BE5">
      <w:pPr>
        <w:spacing w:after="0" w:line="240" w:lineRule="auto"/>
        <w:ind w:left="446"/>
        <w:rPr>
          <w:rFonts w:ascii="Times New Roman" w:eastAsia="Times New Roman" w:hAnsi="Times New Roman" w:cs="Times New Roman"/>
          <w:sz w:val="24"/>
          <w:szCs w:val="24"/>
        </w:rPr>
      </w:pPr>
      <w:r>
        <w:rPr>
          <w:rFonts w:ascii="Times New Roman" w:hAnsi="Times New Roman"/>
          <w:sz w:val="24"/>
        </w:rPr>
        <w:t xml:space="preserve">” V – De uppgifter som avses i II ska göras tillgängliga för allmänheten elektroniskt och kostnadsfritt av producenter eller importörer, inom fem arbetsdagar, till varje person som begär det under en period av minst två år efter det att den sista enheten av en produktmodell släpptes ut på marknaden. </w:t>
      </w:r>
    </w:p>
    <w:p w14:paraId="0758D714"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Artikel R. </w:t>
      </w:r>
      <w:proofErr w:type="gramStart"/>
      <w:r>
        <w:rPr>
          <w:rFonts w:ascii="Times New Roman" w:hAnsi="Times New Roman"/>
          <w:sz w:val="24"/>
        </w:rPr>
        <w:t>541-219</w:t>
      </w:r>
      <w:proofErr w:type="gramEnd"/>
      <w:r>
        <w:rPr>
          <w:rFonts w:ascii="Times New Roman" w:hAnsi="Times New Roman"/>
          <w:sz w:val="24"/>
        </w:rPr>
        <w:t xml:space="preserve"> – Den administrativa myndigheten ska säkerställa centraliserad tillgång till den information som avses i II i artikel R. 541-218 på de villkor som anges nedan. </w:t>
      </w:r>
      <w:r>
        <w:rPr>
          <w:rFonts w:ascii="Times New Roman" w:hAnsi="Times New Roman"/>
          <w:sz w:val="24"/>
        </w:rPr>
        <w:br/>
        <w:t>” För varje kategori av utrustning ska indexet, de beräkningsparametrar som gjorde det möjligt att fastställa detta, med undantag för dem som rör priset på reservdelar, samt information om identifieringen av modellerna och metoderna för att beräkna poängen, spridas offentligt via den enda interministeriella portal som avses i artikel R. </w:t>
      </w:r>
      <w:proofErr w:type="gramStart"/>
      <w:r>
        <w:rPr>
          <w:rFonts w:ascii="Times New Roman" w:hAnsi="Times New Roman"/>
          <w:sz w:val="24"/>
        </w:rPr>
        <w:t>321-8</w:t>
      </w:r>
      <w:proofErr w:type="gramEnd"/>
      <w:r>
        <w:rPr>
          <w:rFonts w:ascii="Times New Roman" w:hAnsi="Times New Roman"/>
          <w:sz w:val="24"/>
        </w:rPr>
        <w:t xml:space="preserve"> i lagen om förbindelser mellan allmänheten och myndigheterna. </w:t>
      </w:r>
      <w:r>
        <w:rPr>
          <w:rFonts w:ascii="Times New Roman" w:hAnsi="Times New Roman"/>
          <w:sz w:val="24"/>
        </w:rPr>
        <w:br/>
        <w:t xml:space="preserve">” Dessa uppgifter ska överföras och offentliggöras under ansvar av producenten eller importören i enlighet med ett uppgiftsschema som finns tillgängligt på den portalen. Ett beslut från ministrarna med ansvar för miljö och ekonomi ska vid behov ange de tekniska arrangemangen för genomförandet av uppgiftsschemat. </w:t>
      </w:r>
      <w:r>
        <w:rPr>
          <w:rFonts w:ascii="Times New Roman" w:hAnsi="Times New Roman"/>
          <w:sz w:val="24"/>
        </w:rPr>
        <w:br/>
        <w:t xml:space="preserve">” Dessa uppgifter får återanvändas på de villkor som fastställs i avdelning II i bok III i lagen om förbindelser mellan allmänheten och myndigheterna och enligt villkoren i den öppna licens som nämns i punkt 1 i artikel D. 323-2-1 i samma lag. </w:t>
      </w:r>
      <w:r>
        <w:rPr>
          <w:rFonts w:ascii="Times New Roman" w:hAnsi="Times New Roman"/>
          <w:sz w:val="24"/>
        </w:rPr>
        <w:br/>
        <w:t xml:space="preserve">” Om beräkningen av en modells hållbarhetsindexpoäng uppdateras ska dessa uppgifter uppdateras inom en period som inte överstiger en månad. </w:t>
      </w:r>
    </w:p>
    <w:p w14:paraId="763FC439"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Artikel R. </w:t>
      </w:r>
      <w:proofErr w:type="gramStart"/>
      <w:r>
        <w:rPr>
          <w:rFonts w:ascii="Times New Roman" w:hAnsi="Times New Roman"/>
          <w:sz w:val="24"/>
        </w:rPr>
        <w:t>541-220</w:t>
      </w:r>
      <w:proofErr w:type="gramEnd"/>
      <w:r>
        <w:rPr>
          <w:rFonts w:ascii="Times New Roman" w:hAnsi="Times New Roman"/>
          <w:sz w:val="24"/>
        </w:rPr>
        <w:t xml:space="preserve"> – I – När produkten bjuds ut till försäljning i butiker ska säljaren på det sätt och den skylt som anges i det beslut som nämns i </w:t>
      </w:r>
      <w:proofErr w:type="spellStart"/>
      <w:r>
        <w:rPr>
          <w:rFonts w:ascii="Times New Roman" w:hAnsi="Times New Roman"/>
          <w:sz w:val="24"/>
        </w:rPr>
        <w:t>I</w:t>
      </w:r>
      <w:proofErr w:type="spellEnd"/>
      <w:r>
        <w:rPr>
          <w:rFonts w:ascii="Times New Roman" w:hAnsi="Times New Roman"/>
          <w:sz w:val="24"/>
        </w:rPr>
        <w:t xml:space="preserve"> </w:t>
      </w:r>
      <w:proofErr w:type="spellStart"/>
      <w:r>
        <w:rPr>
          <w:rFonts w:ascii="Times New Roman" w:hAnsi="Times New Roman"/>
          <w:sz w:val="24"/>
        </w:rPr>
        <w:t>i</w:t>
      </w:r>
      <w:proofErr w:type="spellEnd"/>
      <w:r>
        <w:rPr>
          <w:rFonts w:ascii="Times New Roman" w:hAnsi="Times New Roman"/>
          <w:sz w:val="24"/>
        </w:rPr>
        <w:t xml:space="preserve"> artikel R. 541-218 visa hållbarhetsindexet på ett synligt, läsbart och lättåtkomligt sätt på varje produkt som bjuds ut till försäljning eller i dess omedelbara närhet. </w:t>
      </w:r>
      <w:r>
        <w:rPr>
          <w:rFonts w:ascii="Times New Roman" w:hAnsi="Times New Roman"/>
          <w:sz w:val="24"/>
        </w:rPr>
        <w:br/>
        <w:t xml:space="preserve">” II – När produkten bjuds ut till försäljning på distans, ska säljaren visa hållbarhetsindexet på ett synligt, läsbart och lättåtkomligt sätt i presentationen av </w:t>
      </w:r>
      <w:r>
        <w:rPr>
          <w:rFonts w:ascii="Times New Roman" w:hAnsi="Times New Roman"/>
          <w:sz w:val="24"/>
        </w:rPr>
        <w:lastRenderedPageBreak/>
        <w:t xml:space="preserve">produkten och på alla webbsidor på vilka köp av produkten erbjuds, nära dess prisangivelse, på det sätt och den skyltning som föreskrivs i det beslut som nämns i </w:t>
      </w:r>
      <w:proofErr w:type="spellStart"/>
      <w:r>
        <w:rPr>
          <w:rFonts w:ascii="Times New Roman" w:hAnsi="Times New Roman"/>
          <w:sz w:val="24"/>
        </w:rPr>
        <w:t>I</w:t>
      </w:r>
      <w:proofErr w:type="spellEnd"/>
      <w:r>
        <w:rPr>
          <w:rFonts w:ascii="Times New Roman" w:hAnsi="Times New Roman"/>
          <w:sz w:val="24"/>
        </w:rPr>
        <w:t xml:space="preserve"> </w:t>
      </w:r>
      <w:proofErr w:type="spellStart"/>
      <w:r>
        <w:rPr>
          <w:rFonts w:ascii="Times New Roman" w:hAnsi="Times New Roman"/>
          <w:sz w:val="24"/>
        </w:rPr>
        <w:t>i</w:t>
      </w:r>
      <w:proofErr w:type="spellEnd"/>
      <w:r>
        <w:rPr>
          <w:rFonts w:ascii="Times New Roman" w:hAnsi="Times New Roman"/>
          <w:sz w:val="24"/>
        </w:rPr>
        <w:t xml:space="preserve"> artikel R. </w:t>
      </w:r>
      <w:proofErr w:type="gramStart"/>
      <w:r>
        <w:rPr>
          <w:rFonts w:ascii="Times New Roman" w:hAnsi="Times New Roman"/>
          <w:sz w:val="24"/>
        </w:rPr>
        <w:t>541-218</w:t>
      </w:r>
      <w:proofErr w:type="gramEnd"/>
      <w:r>
        <w:rPr>
          <w:rFonts w:ascii="Times New Roman" w:hAnsi="Times New Roman"/>
          <w:sz w:val="24"/>
        </w:rPr>
        <w:t xml:space="preserve">. Denna skyldighet tillämpas inte på sammanfattningssidorna för beställning och betalning. </w:t>
      </w:r>
      <w:r>
        <w:rPr>
          <w:rFonts w:ascii="Times New Roman" w:hAnsi="Times New Roman"/>
          <w:sz w:val="24"/>
        </w:rPr>
        <w:br/>
        <w:t>” III – Säljaren ska också på något lämpligt sätt ge konsumenterna tillgång till den tabell som nämns i punkt 2 i II i artikel R. </w:t>
      </w:r>
      <w:proofErr w:type="gramStart"/>
      <w:r>
        <w:rPr>
          <w:rFonts w:ascii="Times New Roman" w:hAnsi="Times New Roman"/>
          <w:sz w:val="24"/>
        </w:rPr>
        <w:t>541-218</w:t>
      </w:r>
      <w:proofErr w:type="gramEnd"/>
      <w:r>
        <w:rPr>
          <w:rFonts w:ascii="Times New Roman" w:hAnsi="Times New Roman"/>
          <w:sz w:val="24"/>
        </w:rPr>
        <w:t xml:space="preserve">. Om produkten bjuds ut till försäljning i butik ska tabellens förekomst och möjligheten att få tillgång till den anges på hyllan. På begäran av kunden ska en kopia utfärdas i pappersformat eller elektroniskt format, enligt kundens val. Om produkten bjuds ut till försäljning online ska denna tabell vara tillgänglig direkt från webbsidor där hållbarhetsindexet visas. </w:t>
      </w:r>
    </w:p>
    <w:p w14:paraId="0757B420"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Artikel R. </w:t>
      </w:r>
      <w:proofErr w:type="gramStart"/>
      <w:r>
        <w:rPr>
          <w:rFonts w:ascii="Times New Roman" w:hAnsi="Times New Roman"/>
          <w:sz w:val="24"/>
        </w:rPr>
        <w:t>541-221</w:t>
      </w:r>
      <w:proofErr w:type="gramEnd"/>
      <w:r>
        <w:rPr>
          <w:rFonts w:ascii="Times New Roman" w:hAnsi="Times New Roman"/>
          <w:sz w:val="24"/>
        </w:rPr>
        <w:t xml:space="preserve"> – I – Hållbarhetsindexet ska beräknas på grundval av följande kriterier och parametrar: </w:t>
      </w:r>
      <w:r>
        <w:rPr>
          <w:rFonts w:ascii="Times New Roman" w:hAnsi="Times New Roman"/>
          <w:sz w:val="24"/>
        </w:rPr>
        <w:br/>
        <w:t xml:space="preserve">”1. En poäng fastställs på en skala från 0–10 gällande produktens reparerbarhet, med särskilt beaktande av den tekniska dokumentationens tillgänglighet, hur lätt produkten är att demontera, tillgänglighet och pris på reservdelar. </w:t>
      </w:r>
      <w:r>
        <w:rPr>
          <w:rFonts w:ascii="Times New Roman" w:hAnsi="Times New Roman"/>
          <w:sz w:val="24"/>
        </w:rPr>
        <w:br/>
        <w:t xml:space="preserve">”2. En poäng fastställs på en skala från 0–10 för utrustningens tillförlitlighet, med beaktande av bland annat stress- och slitstyrka, hur lätt underhåll och service av produkten är samt förekomsten av en kommersiell garanti och en kvalitetsprocess. </w:t>
      </w:r>
      <w:r>
        <w:rPr>
          <w:rFonts w:ascii="Times New Roman" w:hAnsi="Times New Roman"/>
          <w:sz w:val="24"/>
        </w:rPr>
        <w:br/>
        <w:t xml:space="preserve">”3. I förekommande fall, en poäng som fastställs på skalan 0–10 vad gäller produktens programvaru- och maskinvaruuppdateringar. </w:t>
      </w:r>
      <w:r>
        <w:rPr>
          <w:rFonts w:ascii="Times New Roman" w:hAnsi="Times New Roman"/>
          <w:sz w:val="24"/>
        </w:rPr>
        <w:br/>
        <w:t xml:space="preserve">” Hållbarhetsindexet ska beräknas på grundval av de poäng som nämns i punkterna 1 och 2 och, i förekommande fall, i punkt 3. Det uttrycks som en global poäng på en skala från 0–10. </w:t>
      </w:r>
      <w:r>
        <w:rPr>
          <w:rFonts w:ascii="Times New Roman" w:hAnsi="Times New Roman"/>
          <w:sz w:val="24"/>
        </w:rPr>
        <w:br/>
        <w:t xml:space="preserve">” II – För varje kategori av produkter som berörs ska miljö- och ekonomiministrarna i ett beslut ange alla kriterier och underkriterier som beaktas och metoderna för att beräkna indexet. </w:t>
      </w:r>
      <w:r>
        <w:rPr>
          <w:rFonts w:ascii="Times New Roman" w:hAnsi="Times New Roman"/>
          <w:sz w:val="24"/>
        </w:rPr>
        <w:br/>
        <w:t xml:space="preserve">” III – Genom det beslut som avses i </w:t>
      </w:r>
      <w:proofErr w:type="spellStart"/>
      <w:r>
        <w:rPr>
          <w:rFonts w:ascii="Times New Roman" w:hAnsi="Times New Roman"/>
          <w:sz w:val="24"/>
        </w:rPr>
        <w:t>I</w:t>
      </w:r>
      <w:proofErr w:type="spellEnd"/>
      <w:r>
        <w:rPr>
          <w:rFonts w:ascii="Times New Roman" w:hAnsi="Times New Roman"/>
          <w:sz w:val="24"/>
        </w:rPr>
        <w:t xml:space="preserve"> </w:t>
      </w:r>
      <w:proofErr w:type="spellStart"/>
      <w:r>
        <w:rPr>
          <w:rFonts w:ascii="Times New Roman" w:hAnsi="Times New Roman"/>
          <w:sz w:val="24"/>
        </w:rPr>
        <w:t>i</w:t>
      </w:r>
      <w:proofErr w:type="spellEnd"/>
      <w:r>
        <w:rPr>
          <w:rFonts w:ascii="Times New Roman" w:hAnsi="Times New Roman"/>
          <w:sz w:val="24"/>
        </w:rPr>
        <w:t xml:space="preserve"> artikel R. </w:t>
      </w:r>
      <w:proofErr w:type="gramStart"/>
      <w:r>
        <w:rPr>
          <w:rFonts w:ascii="Times New Roman" w:hAnsi="Times New Roman"/>
          <w:sz w:val="24"/>
        </w:rPr>
        <w:t>541-218</w:t>
      </w:r>
      <w:proofErr w:type="gramEnd"/>
      <w:r>
        <w:rPr>
          <w:rFonts w:ascii="Times New Roman" w:hAnsi="Times New Roman"/>
          <w:sz w:val="24"/>
        </w:rPr>
        <w:t xml:space="preserve"> får man föreskriva att vissa kriterier eller underkriterier för utrustningens tillförlitlighet får fastställas för en enda modell för en uppsättning modeller som kan anses vara likvärdiga.”</w:t>
      </w:r>
    </w:p>
    <w:p w14:paraId="4AA5D504"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2</w:t>
      </w:r>
    </w:p>
    <w:p w14:paraId="56E9C66E"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Artikel R. </w:t>
      </w:r>
      <w:proofErr w:type="gramStart"/>
      <w:r>
        <w:rPr>
          <w:rFonts w:ascii="Times New Roman" w:hAnsi="Times New Roman"/>
          <w:sz w:val="24"/>
        </w:rPr>
        <w:t>541-211</w:t>
      </w:r>
      <w:proofErr w:type="gramEnd"/>
      <w:r>
        <w:rPr>
          <w:rFonts w:ascii="Times New Roman" w:hAnsi="Times New Roman"/>
          <w:sz w:val="24"/>
        </w:rPr>
        <w:t xml:space="preserve"> i miljöbalken ska ersättas med följande: </w:t>
      </w:r>
    </w:p>
    <w:p w14:paraId="616E4AD7"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Artikel R. </w:t>
      </w:r>
      <w:proofErr w:type="gramStart"/>
      <w:r>
        <w:rPr>
          <w:rFonts w:ascii="Times New Roman" w:hAnsi="Times New Roman"/>
          <w:sz w:val="24"/>
        </w:rPr>
        <w:t>541-211</w:t>
      </w:r>
      <w:proofErr w:type="gramEnd"/>
      <w:r>
        <w:rPr>
          <w:rFonts w:ascii="Times New Roman" w:hAnsi="Times New Roman"/>
          <w:sz w:val="24"/>
        </w:rPr>
        <w:t xml:space="preserve"> – I detta underavsnitt gäller definitionerna i punkterna 1–8 i artikel R. 541-217.”</w:t>
      </w:r>
    </w:p>
    <w:p w14:paraId="5F3A14FC"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3</w:t>
      </w:r>
    </w:p>
    <w:p w14:paraId="5244038D"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Underavsnitten 2, 3 och 4 i avsnitt 9 i kapitel I </w:t>
      </w:r>
      <w:proofErr w:type="spellStart"/>
      <w:r>
        <w:rPr>
          <w:rFonts w:ascii="Times New Roman" w:hAnsi="Times New Roman"/>
          <w:sz w:val="24"/>
        </w:rPr>
        <w:t>i</w:t>
      </w:r>
      <w:proofErr w:type="spellEnd"/>
      <w:r>
        <w:rPr>
          <w:rFonts w:ascii="Times New Roman" w:hAnsi="Times New Roman"/>
          <w:sz w:val="24"/>
        </w:rPr>
        <w:t xml:space="preserve"> avdelning IV i bok V i miljöbalkens regleringsdel blir underavsnitten 3, 4 respektive 5 i samma avsnitt. </w:t>
      </w:r>
      <w:r>
        <w:rPr>
          <w:rFonts w:ascii="Times New Roman" w:hAnsi="Times New Roman"/>
          <w:sz w:val="24"/>
        </w:rPr>
        <w:br/>
        <w:t>Artiklarna D. </w:t>
      </w:r>
      <w:proofErr w:type="gramStart"/>
      <w:r>
        <w:rPr>
          <w:rFonts w:ascii="Times New Roman" w:hAnsi="Times New Roman"/>
          <w:sz w:val="24"/>
        </w:rPr>
        <w:t>541-215</w:t>
      </w:r>
      <w:proofErr w:type="gramEnd"/>
      <w:r>
        <w:rPr>
          <w:rFonts w:ascii="Times New Roman" w:hAnsi="Times New Roman"/>
          <w:sz w:val="24"/>
        </w:rPr>
        <w:t xml:space="preserve">–D. 541-219 i miljöbalken blir artiklarna D. 541-222–D. 541-226 i samma lag, artiklarna R. 541-220–R. 541-223 i miljöbalken blir artiklarna R. 541-227–R. 541-230 i samma lag och artiklarna D. 541-225–D. 541-232-1 i miljöbalken blir artiklarna D. 541-231–D. 541-239 i samma lag. </w:t>
      </w:r>
      <w:r>
        <w:rPr>
          <w:rFonts w:ascii="Times New Roman" w:hAnsi="Times New Roman"/>
          <w:sz w:val="24"/>
        </w:rPr>
        <w:br/>
      </w:r>
      <w:r>
        <w:rPr>
          <w:rFonts w:ascii="Times New Roman" w:hAnsi="Times New Roman"/>
          <w:sz w:val="24"/>
        </w:rPr>
        <w:lastRenderedPageBreak/>
        <w:t xml:space="preserve">I gällande föreskrifter ändras hänvisningarna till bestämmelserna i artiklarna D. </w:t>
      </w:r>
      <w:proofErr w:type="gramStart"/>
      <w:r>
        <w:rPr>
          <w:rFonts w:ascii="Times New Roman" w:hAnsi="Times New Roman"/>
          <w:sz w:val="24"/>
        </w:rPr>
        <w:t>541-215</w:t>
      </w:r>
      <w:proofErr w:type="gramEnd"/>
      <w:r>
        <w:rPr>
          <w:rFonts w:ascii="Times New Roman" w:hAnsi="Times New Roman"/>
          <w:sz w:val="24"/>
        </w:rPr>
        <w:t>–D. 541-232-1 i miljöbalken i enlighet med detta.</w:t>
      </w:r>
    </w:p>
    <w:p w14:paraId="164929AB"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4</w:t>
      </w:r>
    </w:p>
    <w:p w14:paraId="0FD038C0"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Ministern för ekonomi, finans och industriell och digital suveränitet och ministern för ekologisk omställning och territoriell sammanhållning ansvarar var för tillämpningen av denna förordning, som kommer att offentliggöras i Franska Republikens officiella tidning.</w:t>
      </w:r>
    </w:p>
    <w:p w14:paraId="421DD6FF"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Utfärdad den 5 april 2024.</w:t>
      </w:r>
    </w:p>
    <w:p w14:paraId="0DCDC5CA"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Gabriel </w:t>
      </w:r>
      <w:proofErr w:type="spellStart"/>
      <w:r>
        <w:rPr>
          <w:rFonts w:ascii="Times New Roman" w:hAnsi="Times New Roman"/>
          <w:sz w:val="24"/>
        </w:rPr>
        <w:t>Attal</w:t>
      </w:r>
      <w:proofErr w:type="spellEnd"/>
      <w:r>
        <w:rPr>
          <w:rFonts w:ascii="Times New Roman" w:hAnsi="Times New Roman"/>
          <w:sz w:val="24"/>
        </w:rPr>
        <w:br/>
        <w:t>Av premiärministern:</w:t>
      </w:r>
    </w:p>
    <w:p w14:paraId="2A297EFF"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 för ekologisk omställning och territoriell sammanhållning,</w:t>
      </w:r>
      <w:r>
        <w:rPr>
          <w:rFonts w:ascii="Times New Roman" w:hAnsi="Times New Roman"/>
          <w:sz w:val="24"/>
        </w:rPr>
        <w:br/>
        <w:t xml:space="preserve">Christophe </w:t>
      </w:r>
      <w:proofErr w:type="spellStart"/>
      <w:r>
        <w:rPr>
          <w:rFonts w:ascii="Times New Roman" w:hAnsi="Times New Roman"/>
          <w:sz w:val="24"/>
        </w:rPr>
        <w:t>Béchu</w:t>
      </w:r>
      <w:proofErr w:type="spellEnd"/>
    </w:p>
    <w:p w14:paraId="14F9C159"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 för ekonomi, finans och industriell och digital suveränitet,</w:t>
      </w:r>
      <w:r>
        <w:rPr>
          <w:rFonts w:ascii="Times New Roman" w:hAnsi="Times New Roman"/>
          <w:sz w:val="24"/>
        </w:rPr>
        <w:br/>
        <w:t>Bruno Le Maire</w:t>
      </w:r>
    </w:p>
    <w:p w14:paraId="4C7B3C76" w14:textId="77777777" w:rsidR="0023656E" w:rsidRDefault="0023656E"/>
    <w:sectPr w:rsidR="00236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6E"/>
    <w:rsid w:val="0023656E"/>
    <w:rsid w:val="00366729"/>
    <w:rsid w:val="007B3CEE"/>
    <w:rsid w:val="00956BE5"/>
    <w:rsid w:val="00B54C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403D"/>
  <w15:chartTrackingRefBased/>
  <w15:docId w15:val="{FD5B4176-1E84-4468-A5A1-BF138CC1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character" w:customStyle="1" w:styleId="word-break-all">
    <w:name w:val="word-break-all"/>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7B3CEE"/>
    <w:rPr>
      <w:color w:val="0563C1" w:themeColor="hyperlink"/>
      <w:u w:val="single"/>
    </w:rPr>
  </w:style>
  <w:style w:type="character" w:styleId="UnresolvedMention">
    <w:name w:val="Unresolved Mention"/>
    <w:basedOn w:val="DefaultParagraphFont"/>
    <w:uiPriority w:val="99"/>
    <w:semiHidden/>
    <w:unhideWhenUsed/>
    <w:rsid w:val="007B3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0092">
      <w:bodyDiv w:val="1"/>
      <w:marLeft w:val="0"/>
      <w:marRight w:val="0"/>
      <w:marTop w:val="0"/>
      <w:marBottom w:val="0"/>
      <w:divBdr>
        <w:top w:val="none" w:sz="0" w:space="0" w:color="auto"/>
        <w:left w:val="none" w:sz="0" w:space="0" w:color="auto"/>
        <w:bottom w:val="none" w:sz="0" w:space="0" w:color="auto"/>
        <w:right w:val="none" w:sz="0" w:space="0" w:color="auto"/>
      </w:divBdr>
      <w:divsChild>
        <w:div w:id="1042554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ifrance.gouv.fr/eli/decret/2024/4/5/2024-316/jo/texte" TargetMode="External"/><Relationship Id="rId4" Type="http://schemas.openxmlformats.org/officeDocument/2006/relationships/hyperlink" Target="https://www.legifrance.gouv.fr/eli/decret/2024/4/5/TRED2329205D/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1802</Words>
  <Characters>10455</Characters>
  <Application>Microsoft Office Word</Application>
  <DocSecurity>0</DocSecurity>
  <Lines>205</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KARADEMIR Emma</dc:creator>
  <cp:keywords>class='Internal'</cp:keywords>
  <dc:description/>
  <cp:lastModifiedBy>Ragnhild Efraimsson</cp:lastModifiedBy>
  <cp:revision>2</cp:revision>
  <dcterms:created xsi:type="dcterms:W3CDTF">2024-05-06T08:46:00Z</dcterms:created>
  <dcterms:modified xsi:type="dcterms:W3CDTF">2024-05-06T08:46:00Z</dcterms:modified>
</cp:coreProperties>
</file>