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6811" w14:textId="77777777" w:rsidR="00A167A6" w:rsidRDefault="00160D9A">
      <w:pPr>
        <w:pStyle w:val="center"/>
        <w:spacing w:after="210"/>
        <w:rPr>
          <w:rFonts w:ascii="Arial" w:eastAsia="Arial" w:hAnsi="Arial" w:cs="Arial"/>
          <w:b/>
          <w:bCs/>
          <w:caps/>
          <w:sz w:val="21"/>
          <w:szCs w:val="21"/>
        </w:rPr>
      </w:pPr>
      <w:r>
        <w:rPr>
          <w:rFonts w:ascii="Arial" w:hAnsi="Arial"/>
          <w:b/>
          <w:caps/>
          <w:sz w:val="21"/>
        </w:rPr>
        <w:t>L A G</w:t>
      </w:r>
    </w:p>
    <w:p w14:paraId="13EB0E8C" w14:textId="77777777" w:rsidR="00A167A6" w:rsidRDefault="00160D9A">
      <w:pPr>
        <w:pStyle w:val="center"/>
        <w:spacing w:before="210" w:after="210"/>
        <w:rPr>
          <w:rFonts w:ascii="Arial" w:eastAsia="Arial" w:hAnsi="Arial" w:cs="Arial"/>
          <w:b/>
          <w:bCs/>
          <w:caps/>
          <w:sz w:val="21"/>
          <w:szCs w:val="21"/>
        </w:rPr>
      </w:pPr>
      <w:r>
        <w:rPr>
          <w:rFonts w:ascii="Arial" w:hAnsi="Arial"/>
          <w:b/>
          <w:caps/>
          <w:sz w:val="21"/>
        </w:rPr>
        <w:t>ÄNDRING AV LAGEN OM BEGRÄNSNING AV ANVÄNDNINGEN AV TOBAKSVAROR OCH RELATERADE PRODUKTER</w:t>
      </w:r>
    </w:p>
    <w:p w14:paraId="3B99D77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17EAE7F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 i lagen om begränsning av användningen av tobaksvaror och relaterade produkter (Republiken Sloveniens officiella tidning, nr 9/17 och 29/17) ska orden ”</w:t>
      </w:r>
      <w:hyperlink r:id="rId4" w:tgtFrame="_blank" w:tooltip="to EUR-Lex" w:history="1">
        <w:r>
          <w:rPr>
            <w:rFonts w:ascii="Arial" w:hAnsi="Arial"/>
            <w:color w:val="0000EE"/>
            <w:sz w:val="21"/>
            <w:u w:val="single" w:color="0000EE"/>
          </w:rPr>
          <w:t>kommissionens delegerade direktiv 2014/109/EU</w:t>
        </w:r>
      </w:hyperlink>
      <w:r>
        <w:rPr>
          <w:rFonts w:ascii="Arial" w:hAnsi="Arial"/>
          <w:sz w:val="21"/>
        </w:rPr>
        <w:t xml:space="preserve"> av den 10 oktober 2014 om ändring av </w:t>
      </w:r>
      <w:hyperlink r:id="rId5" w:tgtFrame="_blank" w:tooltip="to EUR-Lex" w:history="1">
        <w:r>
          <w:rPr>
            <w:rFonts w:ascii="Arial" w:hAnsi="Arial"/>
            <w:color w:val="0000EE"/>
            <w:sz w:val="21"/>
            <w:u w:val="single" w:color="0000EE"/>
          </w:rPr>
          <w:t>bilaga II till Europaparlamentets och rådets direktiv 2014/40/EU</w:t>
        </w:r>
      </w:hyperlink>
      <w:r>
        <w:rPr>
          <w:rFonts w:ascii="Arial" w:hAnsi="Arial"/>
          <w:sz w:val="21"/>
        </w:rPr>
        <w:t xml:space="preserve"> genom fastställande av ett arkiv med varningsbilder som ska användas på tobaksvaror (EUT L 360, 17. 12. 2014, s. 22)” ersättas med orden ”</w:t>
      </w:r>
      <w:hyperlink r:id="rId6" w:tgtFrame="_blank" w:tooltip="to EUR-Lex" w:history="1">
        <w:r>
          <w:rPr>
            <w:rFonts w:ascii="Arial" w:hAnsi="Arial"/>
            <w:color w:val="0000EE"/>
            <w:sz w:val="21"/>
            <w:u w:val="single" w:color="0000EE"/>
          </w:rPr>
          <w:t>Kommissionen Delegerad direktiv (EU) 2022/2100</w:t>
        </w:r>
      </w:hyperlink>
      <w:r>
        <w:rPr>
          <w:rFonts w:ascii="Arial" w:hAnsi="Arial"/>
          <w:sz w:val="21"/>
        </w:rPr>
        <w:t xml:space="preserve"> av den 29 juni 2022 om ändring av </w:t>
      </w:r>
      <w:hyperlink r:id="rId7" w:tgtFrame="_blank" w:tooltip="to EUR-Lex" w:history="1">
        <w:r>
          <w:rPr>
            <w:rFonts w:ascii="Arial" w:hAnsi="Arial"/>
            <w:color w:val="0000EE"/>
            <w:sz w:val="21"/>
            <w:u w:val="single" w:color="0000EE"/>
          </w:rPr>
          <w:t>Europaparlamentets och rådets direktiv 2014/40/EU</w:t>
        </w:r>
      </w:hyperlink>
      <w:r>
        <w:rPr>
          <w:rFonts w:ascii="Arial" w:hAnsi="Arial"/>
          <w:sz w:val="21"/>
        </w:rPr>
        <w:t xml:space="preserve"> vad gäller upphävande av vissa undantag för upphettade tobaksvaror (EUT L 283, 3. 11. 2022, s. 4)”.</w:t>
      </w:r>
    </w:p>
    <w:p w14:paraId="29D0AC8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457724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 ska punkt 12 ändras på följande sätt:</w:t>
      </w:r>
    </w:p>
    <w:p w14:paraId="06D2BA0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En elektronisk cigarett är en produkt som kan användas för att inhalera nikotinhaltig ånga genom ett munstycke eller någon komponent i den produkten, inklusive en patron, en tank och en anordning utan patron eller tank. Elektroniska cigaretter kan antingen vara för engångsbruk eller påfyllningsbara med en påfyllningsbehållare och tank, eller så kan de fyllas på med en engångspatron.”. En elektronisk cigarett ska också betraktas som en elektronisk cigarett om den återfylls med en nikotinfri påfyllningsbehållare och tank eller fylls på med en nikotinfri engångsfyllning för inandning av nikotinfria gaser. ”</w:t>
      </w:r>
    </w:p>
    <w:p w14:paraId="5D3685C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12 a ska läggas till efter punkt 12, med följande lydelse:</w:t>
      </w:r>
    </w:p>
    <w:p w14:paraId="0FB67C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”12 a En nikotinfri elektronisk cigarett är en engångsprodukt som innehåller en tank med en nikotinfri vätska och som används för inandning av ångor som inte innehåller nikotin genom munstycket eller någon beståndsdel i denna produkt.”</w:t>
      </w:r>
    </w:p>
    <w:p w14:paraId="66C111D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17 ska utgå.</w:t>
      </w:r>
    </w:p>
    <w:p w14:paraId="17D6B4F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19.a ska läggas till efter punkt 19, med följande lydelse:</w:t>
      </w:r>
    </w:p>
    <w:p w14:paraId="22E8EFE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”19.a. En ny nikotinprodukt är en produkt som inte tillhör någon av följande kategorier av produkter som innehåller nikotin men som inte innehåller tobak: elektroniska cigaretter, påfyllningsbehållare och registrerade nikotinersättningsprodukter.”.</w:t>
      </w:r>
    </w:p>
    <w:p w14:paraId="5D481CA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22.a ska läggas till efter punkt 22, med följande lydelse:</w:t>
      </w:r>
    </w:p>
    <w:p w14:paraId="3280F5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”22.a. En upphettad tobaksvara är en ny tobaksvara som värms upp för att producera utsläpp som innehåller nikotin och andra kemikalier, som sedan inandas av användaren/användarna och som, beroende på dess egenskaper, är en rökfri tobaksvara eller en tobaksvara för rökning.”.</w:t>
      </w:r>
    </w:p>
    <w:p w14:paraId="185E167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23 a ska läggas till efter punkt 23, med följande lydelse:</w:t>
      </w:r>
    </w:p>
    <w:p w14:paraId="6C8F94A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a En nikotinfri påfyllningsbehållare är en behållare som innehåller en nikotinfri vätska som kan användas för att fylla på en elektronisk cigarett.”.</w:t>
      </w:r>
    </w:p>
    <w:p w14:paraId="5B48012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25 ska ändras och få följande lydelse:</w:t>
      </w:r>
    </w:p>
    <w:p w14:paraId="7460E72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Relaterade produkter enligt </w:t>
      </w:r>
      <w:hyperlink r:id="rId8" w:tgtFrame="_blank" w:tooltip="to EUR-Lex" w:history="1">
        <w:r>
          <w:rPr>
            <w:rFonts w:ascii="Arial" w:hAnsi="Arial"/>
            <w:color w:val="0000EE"/>
            <w:sz w:val="21"/>
            <w:u w:val="single" w:color="0000EE"/>
          </w:rPr>
          <w:t>Direktiv 2014/40/EU</w:t>
        </w:r>
      </w:hyperlink>
      <w:r>
        <w:rPr>
          <w:rFonts w:ascii="Arial" w:hAnsi="Arial"/>
          <w:sz w:val="21"/>
        </w:rPr>
        <w:t xml:space="preserve"> är elektroniska cigaretter och påfyllningsbehållare samt örtprodukter för rökning. I enlighet med denna lag inkluderar relaterade produkter även nikotinfria elektroniska cigaretter och nikotinfria påfyllningsbehållare, växtbaserade produkter, nya tobaksvaror och nya nikotinprodukter. I enlighet med denna lag är relaterade produkter också tillbehör eller anordningar för användning av relaterade produkter som avses i första meningen och föregående mening i detta avsnitt, utan vilka de relaterade produkterna inte kan användas.”.</w:t>
      </w:r>
    </w:p>
    <w:p w14:paraId="4490563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40 ska ändras och få följande lydelse:</w:t>
      </w:r>
    </w:p>
    <w:p w14:paraId="7047C1C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”40. Rulltobak är tobak som kan användas av konsumenter eller butiker för att tillverka cigaretter.”.</w:t>
      </w:r>
    </w:p>
    <w:p w14:paraId="0BE12A8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50.a ska läggas till efter punkt 50, med följande lydelse:</w:t>
      </w:r>
    </w:p>
    <w:p w14:paraId="5828A0F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”50.a En upphettad örtprodukt är en produkt baserad på växter, örter eller frukter som inte innehåller tobak och under vilken uppvärmningsprocessen äger rum.”.</w:t>
      </w:r>
    </w:p>
    <w:p w14:paraId="29B3A7C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6C384F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11 ska paragraf 1 ändras och få följande lydelse:</w:t>
      </w:r>
    </w:p>
    <w:p w14:paraId="4759D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Det är förbjudet att släppa ut cigaretter, rulltobak och upphettade tobaksvaror med en karakteristisk smak på marknaden.”.</w:t>
      </w:r>
    </w:p>
    <w:p w14:paraId="5BCE874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1D28CB6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12 ska paragraf 2 ändras och få följande lydelse:</w:t>
      </w:r>
    </w:p>
    <w:p w14:paraId="410FAD4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Det är förbjudet att på marknaden släppa ut cigaretter, rulltobak och upphettade tobaksvaror som innehåller aromämnen i någon av beståndsdelarna, t.ex. filter, papper, omslag och kapslar, eller som har tekniska egenskaper som gör det möjligt att ändra tobaksproduktens lukt eller smak eller rökintensiteten. Filter, papper och kapslar får inte innehålla tobak eller nikotin.”.</w:t>
      </w:r>
    </w:p>
    <w:p w14:paraId="1177FAA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5</w:t>
      </w:r>
    </w:p>
    <w:p w14:paraId="42D79B6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13 ska en ny paragraf 7 läggas till efter paragraf 6 och få följande lydelse:</w:t>
      </w:r>
    </w:p>
    <w:p w14:paraId="64729EB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”7. Bilder av </w:t>
      </w:r>
      <w:proofErr w:type="spellStart"/>
      <w:r>
        <w:rPr>
          <w:rFonts w:ascii="Arial" w:hAnsi="Arial"/>
          <w:sz w:val="21"/>
        </w:rPr>
        <w:t>styckförpackningar</w:t>
      </w:r>
      <w:proofErr w:type="spellEnd"/>
      <w:r>
        <w:rPr>
          <w:rFonts w:ascii="Arial" w:hAnsi="Arial"/>
          <w:sz w:val="21"/>
        </w:rPr>
        <w:t xml:space="preserve"> och eventuella ytterförpackningar av tobaksvaror avsedda för konsumenter ska överensstämma med bestämmelserna i avsnitt 2 (Märkning och förpackning) i kapitel II i denna lag.”.</w:t>
      </w:r>
    </w:p>
    <w:p w14:paraId="1C40489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692EC9A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artikel 14.1 ska den inledande meningen ändras och få följande lydelse: Varje </w:t>
      </w:r>
      <w:proofErr w:type="spellStart"/>
      <w:r>
        <w:rPr>
          <w:rFonts w:ascii="Arial" w:hAnsi="Arial"/>
          <w:sz w:val="21"/>
        </w:rPr>
        <w:t>styckförpackning</w:t>
      </w:r>
      <w:proofErr w:type="spellEnd"/>
      <w:r>
        <w:rPr>
          <w:rFonts w:ascii="Arial" w:hAnsi="Arial"/>
          <w:sz w:val="21"/>
        </w:rPr>
        <w:t xml:space="preserve"> och ytterförpackning av tobaksvaror avsedda för rökning, inklusive upphettade tobaksvaror när det gäller tobaksvaror för rökning, ska vara försedda med följande allmänna varning:”.</w:t>
      </w:r>
    </w:p>
    <w:p w14:paraId="42FC3B2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paragraf 2 ska den inledande meningen ändras och få följande lydelse: Varje </w:t>
      </w:r>
      <w:proofErr w:type="spellStart"/>
      <w:r>
        <w:rPr>
          <w:rFonts w:ascii="Arial" w:hAnsi="Arial"/>
          <w:sz w:val="21"/>
        </w:rPr>
        <w:t>styckförpackning</w:t>
      </w:r>
      <w:proofErr w:type="spellEnd"/>
      <w:r>
        <w:rPr>
          <w:rFonts w:ascii="Arial" w:hAnsi="Arial"/>
          <w:sz w:val="21"/>
        </w:rPr>
        <w:t xml:space="preserve"> och ytterförpackning av tobaksvaror för rökning, inklusive upphettade tobaksvaror när det gäller tobaksvaror för rökning, ska vara försedd med följande informationsmeddelande:”.</w:t>
      </w:r>
    </w:p>
    <w:p w14:paraId="6177302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paragraf 3 ska första meningen ändras och få följande lydelse: ”När det gäller </w:t>
      </w:r>
      <w:proofErr w:type="spellStart"/>
      <w:r>
        <w:rPr>
          <w:rFonts w:ascii="Arial" w:hAnsi="Arial"/>
          <w:sz w:val="21"/>
        </w:rPr>
        <w:t>styckförpackningar</w:t>
      </w:r>
      <w:proofErr w:type="spellEnd"/>
      <w:r>
        <w:rPr>
          <w:rFonts w:ascii="Arial" w:hAnsi="Arial"/>
          <w:sz w:val="21"/>
        </w:rPr>
        <w:t xml:space="preserve"> som innehåller cigaretter, </w:t>
      </w:r>
      <w:proofErr w:type="spellStart"/>
      <w:r>
        <w:rPr>
          <w:rFonts w:ascii="Arial" w:hAnsi="Arial"/>
          <w:sz w:val="21"/>
        </w:rPr>
        <w:t>styckförpackningar</w:t>
      </w:r>
      <w:proofErr w:type="spellEnd"/>
      <w:r>
        <w:rPr>
          <w:rFonts w:ascii="Arial" w:hAnsi="Arial"/>
          <w:sz w:val="21"/>
        </w:rPr>
        <w:t xml:space="preserve"> med upphettade tobaksvaror när det gäller tobaksvaror avsedda för rökning och fyrkantiga </w:t>
      </w:r>
      <w:proofErr w:type="spellStart"/>
      <w:r>
        <w:rPr>
          <w:rFonts w:ascii="Arial" w:hAnsi="Arial"/>
          <w:sz w:val="21"/>
        </w:rPr>
        <w:t>styckförpackningar</w:t>
      </w:r>
      <w:proofErr w:type="spellEnd"/>
      <w:r>
        <w:rPr>
          <w:rFonts w:ascii="Arial" w:hAnsi="Arial"/>
          <w:sz w:val="21"/>
        </w:rPr>
        <w:t xml:space="preserve"> med rulltobak ska den allmänna varningstexten visas längst ned på </w:t>
      </w:r>
      <w:proofErr w:type="spellStart"/>
      <w:r>
        <w:rPr>
          <w:rFonts w:ascii="Arial" w:hAnsi="Arial"/>
          <w:sz w:val="21"/>
        </w:rPr>
        <w:t>styckförpackningens</w:t>
      </w:r>
      <w:proofErr w:type="spellEnd"/>
      <w:r>
        <w:rPr>
          <w:rFonts w:ascii="Arial" w:hAnsi="Arial"/>
          <w:sz w:val="21"/>
        </w:rPr>
        <w:t xml:space="preserve"> ena sida, medan informationsmeddelandet ska visas längst ner på den andra sidan.”.</w:t>
      </w:r>
    </w:p>
    <w:p w14:paraId="347FE75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29DBE3C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artikel 15.1 ska första meningen ändras och få följande lydelse: ”Varje </w:t>
      </w:r>
      <w:proofErr w:type="spellStart"/>
      <w:r>
        <w:rPr>
          <w:rFonts w:ascii="Arial" w:hAnsi="Arial"/>
          <w:sz w:val="21"/>
        </w:rPr>
        <w:t>styckförpackning</w:t>
      </w:r>
      <w:proofErr w:type="spellEnd"/>
      <w:r>
        <w:rPr>
          <w:rFonts w:ascii="Arial" w:hAnsi="Arial"/>
          <w:sz w:val="21"/>
        </w:rPr>
        <w:t xml:space="preserve"> och ytterförpackning av tobaksvaror för rökning, inklusive upphettade tobaksvaror när det gäller tobaksvaror för rökning, ska vara försedd med kombinerade hälsovarningar.”</w:t>
      </w:r>
    </w:p>
    <w:p w14:paraId="73BD3E7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8</w:t>
      </w:r>
    </w:p>
    <w:p w14:paraId="3E11ABB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22 ska paragraf 9 ändras så att den får följande lydelse:</w:t>
      </w:r>
    </w:p>
    <w:p w14:paraId="46F5D26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Den ekonomiska enhet som deltar i handeln med tobaksvaror får inte ändra eller radera de registrerade uppgifterna.”.</w:t>
      </w:r>
    </w:p>
    <w:p w14:paraId="5FA79EC6" w14:textId="77777777" w:rsidR="00EE59E8" w:rsidRDefault="00EE59E8">
      <w:pPr>
        <w:pStyle w:val="center"/>
        <w:pBdr>
          <w:top w:val="none" w:sz="0" w:space="24" w:color="auto"/>
        </w:pBdr>
        <w:spacing w:before="210" w:after="210"/>
        <w:rPr>
          <w:rFonts w:ascii="Arial" w:hAnsi="Arial"/>
          <w:b/>
          <w:sz w:val="21"/>
        </w:rPr>
      </w:pPr>
    </w:p>
    <w:p w14:paraId="0916CE27" w14:textId="77777777" w:rsidR="00EE59E8" w:rsidRDefault="00EE59E8">
      <w:pPr>
        <w:pStyle w:val="center"/>
        <w:pBdr>
          <w:top w:val="none" w:sz="0" w:space="24" w:color="auto"/>
        </w:pBdr>
        <w:spacing w:before="210" w:after="210"/>
        <w:rPr>
          <w:rFonts w:ascii="Arial" w:hAnsi="Arial"/>
          <w:b/>
          <w:sz w:val="21"/>
        </w:rPr>
      </w:pPr>
    </w:p>
    <w:p w14:paraId="5F961029" w14:textId="3C8302FF"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9</w:t>
      </w:r>
    </w:p>
    <w:p w14:paraId="1AF6E51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25.2, i första meningen, efter ordet ”paragraf”, ska kommatecknet och orden ”när NLZOH anser att detta är nödvändigt på grund av ändrade förhållanden” tas bort.</w:t>
      </w:r>
    </w:p>
    <w:p w14:paraId="0CBE6D6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paragraf 2 ska en ny paragraf 3 införas med följande lydelse:</w:t>
      </w:r>
    </w:p>
    <w:p w14:paraId="0078EDE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NLZOH ska ta ut avgifter från tillverkare och importörer för mottagande, lagring, hantering och analys av de uppgifter som lämnats in i enlighet med denna artikel.”.</w:t>
      </w:r>
    </w:p>
    <w:p w14:paraId="3A4B81B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Den nuvarande paragraf 3, som blir paragraf 4, ska ändras och få följande lydelse:</w:t>
      </w:r>
    </w:p>
    <w:p w14:paraId="7DBB6E2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Ministern ska fastställa form och metod för anmälan samt storleken på de avgifter som avses i denna artikel.”.</w:t>
      </w:r>
    </w:p>
    <w:p w14:paraId="1A7D5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10</w:t>
      </w:r>
    </w:p>
    <w:p w14:paraId="557172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26.3 ska den inledande meningen i tredje stycket ändras och få följande lydelse: ”Elektroniska cigaretter, nikotinfria elektroniska cigaretter, påfyllningsbehållare och nikotinfria påfyllningsbehållare ska uppfylla följande villkor:”.</w:t>
      </w:r>
    </w:p>
    <w:p w14:paraId="7C529B0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1 ska ändras och få följande lydelse:</w:t>
      </w:r>
    </w:p>
    <w:p w14:paraId="0813415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en nikotinvätska eller nikotinfri vätska ska släppas ut på marknaden i särskilda påfyllningsbehållare med en volym av högst 10 ml; i elektroniska engångscigaretter, elektroniska nikotinfria cigaretter eller i patroner för engångsbruk mer eller utan nikotin får volymen av en patron eller en tank inte överstiga 2 ml,”.</w:t>
      </w:r>
    </w:p>
    <w:p w14:paraId="65BDF3E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3 ska ändras och få följande lydelse:</w:t>
      </w:r>
    </w:p>
    <w:p w14:paraId="4341D9B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en nikotinvätska eller en nikotinfri vätska får inte innehålla de tillsatser som avses i artikel 12.1 i denna lag,”.</w:t>
      </w:r>
    </w:p>
    <w:p w14:paraId="5049957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4 ska ändras och få följande lydelse:</w:t>
      </w:r>
    </w:p>
    <w:p w14:paraId="31F9117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endast rena ingredienser får användas vid framställning av nikotinvätska eller nikotinfri vätska. I vätskan får ämnen, med undantag av de ingredienser som avses i punkt 2 i paragraf 2 i denna artikel, endast förekomma i spårmängder, om sådana spårmängder är oundvikliga ur teknisk synvinkel under tillverkningen,”.</w:t>
      </w:r>
    </w:p>
    <w:p w14:paraId="3B1EC98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7 ska ändras och få följande lydelse:</w:t>
      </w:r>
    </w:p>
    <w:p w14:paraId="27264A1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de får inte användas av barn, ska skyddas mot manipulering, brott och läckage och ha en mekanism som säkerställer påfyllning utan läckage,”.</w:t>
      </w:r>
    </w:p>
    <w:p w14:paraId="02F4119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punkt 8 ska läggas till efter punkt 7 och ha följande lydelse:</w:t>
      </w:r>
    </w:p>
    <w:p w14:paraId="6854B10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”8. en nikotinvätska eller nikotinfri vätska får inte innehålla andra aromer än smak eller lukt av tobak.”.</w:t>
      </w:r>
    </w:p>
    <w:p w14:paraId="1417BF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paragraf 5 ska den inledande meningen ändras och få följande lydelse: ”Förpackningar och ytterförpackningar för elektroniska cigaretter, nikotinfria elektroniska cigaretter, påfyllningsbehållare och nikotinfria påfyllningsbehållare:”.</w:t>
      </w:r>
    </w:p>
    <w:p w14:paraId="6E1667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Punkt 2 ska ändras och få följande lydelse:</w:t>
      </w:r>
    </w:p>
    <w:p w14:paraId="6C8C685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oavsett föregående punkt innehåller de inte några element eller egenskaper som avses i artikel 17 i denna lag, utom i paragraf 1 första strecksatsen om information om nikotininnehåll och information om smak eller lukt av tobak och, med undantag för nikotinfria elektroniska cigaretter och nikotinfria påfyllningsbehållare, anger de följande hälsovarningar som uppfyller kraven i artikel 16.2 och 16.3 i denna lag: ’Denna produkt innehåller nikotin, som är ett mycket beroendeframkallande ämne. Dess användning rekommenderas inte för icke-rökare.’.”.</w:t>
      </w:r>
    </w:p>
    <w:p w14:paraId="618CCF1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paragraf 8 ska följande ord läggas till i slutet: ”NLZOH och Sloveniens hälsoinspektion ska på begäran göra all information som mottagits i enlighet med denna artikel tillgänglig för Europeiska kommissionen och andra EU-medlemsstater, samtidigt som det säkerställs att företagshemligheter och annan konfidentiell information behandlas konfidentiellt.”.</w:t>
      </w:r>
    </w:p>
    <w:p w14:paraId="71F08ED2"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En ny paragraf 15 ska läggas till efter paragraf 14 och få följande lydelse:</w:t>
      </w:r>
    </w:p>
    <w:p w14:paraId="34A411B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”15) Bestämmelser om inlämnande av den officiella anmälan som avses i paragraf 1, dess innehåll enligt paragraf 2, införande av bruksanvisningar tillsammans med de uppgifter som avses i paragraf 4, inlämnande av de uppgifter som avses i paragraf 6, övervakning av marknadsutvecklingen enligt paragraf 7, offentliggörande på Internet, tillhandahållande av uppgifter till allmänheten och tillhandahållande av den information som avses i paragraf 8, inrättande och underhåll av systemet för insamling av uppgifter och överföring av insamlade uppgifter enligt paragraf 9. antagandet av åtgärder och underrättelsen till de myndigheter som avses i paragraf 10, den överföring av ytterligare uppgifter som avses i paragraf 11, det meddelande som avses i paragraf 12, den rätt att ta ut avgifter som avses i paragraf 13 och fastställandet av de mer detaljerade villkor som avses i paragraf 14 i denna artikel, gäller också för nikotinfria elektroniska cigaretter och nikotinfria påfyllningsbehållare.”.</w:t>
      </w:r>
    </w:p>
    <w:p w14:paraId="1548640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11</w:t>
      </w:r>
    </w:p>
    <w:p w14:paraId="15327CD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artikel 28 ska rubriken på artikeln ändras på följande sätt: </w:t>
      </w:r>
      <w:proofErr w:type="gramStart"/>
      <w:r>
        <w:rPr>
          <w:rFonts w:ascii="Arial" w:hAnsi="Arial"/>
          <w:sz w:val="21"/>
        </w:rPr>
        <w:t>”(</w:t>
      </w:r>
      <w:proofErr w:type="gramEnd"/>
      <w:r>
        <w:rPr>
          <w:rFonts w:ascii="Arial" w:hAnsi="Arial"/>
          <w:sz w:val="21"/>
        </w:rPr>
        <w:t>rapportering av ingredienser i växtbaserade produkter för rökning och upphettade växtbaserade produkter)”.</w:t>
      </w:r>
    </w:p>
    <w:p w14:paraId="4CEC409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Paragraf 1 ska ändras och få följande lydelse:</w:t>
      </w:r>
    </w:p>
    <w:p w14:paraId="1E75A2D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Tillverkare och importörer av växtbaserade produkter för rökning och upphettade växtbaserade produkter ska till NLZOH lämna in en förteckning över alla ingredienser och de mängder av dessa som använts vid tillverkningen av dessa produkter, separat för varje märke och typ. Den officiella anmälan ska lämnas in elektroniskt sex månader före det planerade utsläppandet på marknaden av en ny eller ändrad växtbaserad </w:t>
      </w:r>
      <w:proofErr w:type="spellStart"/>
      <w:r>
        <w:rPr>
          <w:rFonts w:ascii="Arial" w:hAnsi="Arial"/>
          <w:sz w:val="21"/>
        </w:rPr>
        <w:t>rökprodukt</w:t>
      </w:r>
      <w:proofErr w:type="spellEnd"/>
      <w:r>
        <w:rPr>
          <w:rFonts w:ascii="Arial" w:hAnsi="Arial"/>
          <w:sz w:val="21"/>
        </w:rPr>
        <w:t xml:space="preserve"> eller upphettad växtbaserad produkt. Tillverkare eller importörer av växtbaserade produkter för rökning och örtupphettade produkter ska underrätta NLZOH om produktens sammansättning ändras på ett sådant sätt att de påverkar de uppgifter som lämnats i enlighet med denna artikel.”.</w:t>
      </w:r>
    </w:p>
    <w:p w14:paraId="21F4D3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paragraf 2 ska följande nya paragraf 3 med följande lydelse läggas till:</w:t>
      </w:r>
    </w:p>
    <w:p w14:paraId="485D9F0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”3. NLZOH ska ta ut avgifter för tillverkare och importörer för mottagande, lagring, hantering, analys och offentliggörande av de uppgifter som lämnats in i enlighet med denna artikel.”.</w:t>
      </w:r>
    </w:p>
    <w:p w14:paraId="4AA9CBB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Den nuvarande paragraf 3, som blir paragraf 4, ska ändras och få följande lydelse:</w:t>
      </w:r>
    </w:p>
    <w:p w14:paraId="6EFA24D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Ministern ska fastställa närmare villkor för rapportering om ingredienserna i växtbaserade produkter för rökning och upphettade växtbaserade produkter och om storleken på de avgifter som avses i denna artikel.”.</w:t>
      </w:r>
    </w:p>
    <w:p w14:paraId="0D635C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12</w:t>
      </w:r>
    </w:p>
    <w:p w14:paraId="37D662C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Rubriken till kapitel V ska ändras och få följande lydelse: ”V. REKLAM, MARKNADSFÖRING, SPONSRING, FÖRSÄLJNING OCH IMPORT”.</w:t>
      </w:r>
    </w:p>
    <w:p w14:paraId="3699601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13</w:t>
      </w:r>
    </w:p>
    <w:p w14:paraId="350811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I artikel 30 ska rubriken på artikeln ändras på följande sätt: </w:t>
      </w:r>
      <w:proofErr w:type="gramStart"/>
      <w:r>
        <w:rPr>
          <w:rFonts w:ascii="Arial" w:hAnsi="Arial"/>
          <w:sz w:val="21"/>
        </w:rPr>
        <w:t>”(</w:t>
      </w:r>
      <w:proofErr w:type="gramEnd"/>
      <w:r>
        <w:rPr>
          <w:rFonts w:ascii="Arial" w:hAnsi="Arial"/>
          <w:sz w:val="21"/>
        </w:rPr>
        <w:t>förbud mot försäljning och förvärv)”.</w:t>
      </w:r>
    </w:p>
    <w:p w14:paraId="118F3A2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paragraf 6 ska följande nya paragrafer 7 och 8 läggas till med följande lydelse:</w:t>
      </w:r>
    </w:p>
    <w:p w14:paraId="3EB6154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En person får inte sälja eller släppa ut tobak, tobaksvaror eller relaterade produkter på marknaden.</w:t>
      </w:r>
    </w:p>
    <w:p w14:paraId="6A5AFF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En person får inte förvärva tobak, tobaksvaror eller relaterade produkter i strid med denna artikel.”.</w:t>
      </w:r>
    </w:p>
    <w:p w14:paraId="401B536B"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14</w:t>
      </w:r>
    </w:p>
    <w:p w14:paraId="735C06C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30 ska en ny artikel 30.a läggas till med följande lydelse:</w:t>
      </w:r>
    </w:p>
    <w:p w14:paraId="2C7D41D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30.a</w:t>
      </w:r>
    </w:p>
    <w:p w14:paraId="5C53691C"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(Importförbud)</w:t>
      </w:r>
    </w:p>
    <w:p w14:paraId="06F4441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Import av de produkter som avses i artikel 11.1, 12.1, 12.2 och 12.3 samt artikel 24 i denna lag är förbjuden.</w:t>
      </w:r>
    </w:p>
    <w:p w14:paraId="63E610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En person får inte importera tobak, tobaksvaror eller relaterade produkter, med undantag för produkter som är befriade från att betala importtullar vid transport eller personligt bagage av passageraren i enlighet med den förordning som reglerar systemet för tullbefrielse i EU.”.</w:t>
      </w:r>
    </w:p>
    <w:p w14:paraId="0C1EB9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lastRenderedPageBreak/>
        <w:t>Artikel 15</w:t>
      </w:r>
    </w:p>
    <w:p w14:paraId="11B96C5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Rubriken till kapitel VII ska ändras och få följande lydelse: ”VII. RÖKFÖRBUD”.</w:t>
      </w:r>
    </w:p>
    <w:p w14:paraId="117F0E3E"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16</w:t>
      </w:r>
    </w:p>
    <w:p w14:paraId="52522DE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39.3 ska semikolonet i slutet av tredje strecksatsen ersättas med en punkt, och den fjärde strecksatsen ska utgå.</w:t>
      </w:r>
    </w:p>
    <w:p w14:paraId="35B8A8E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Paragraf 4 ska utgå.</w:t>
      </w:r>
    </w:p>
    <w:p w14:paraId="08355F0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Paragraf 5 blir paragraf 4.</w:t>
      </w:r>
    </w:p>
    <w:p w14:paraId="028C05C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17</w:t>
      </w:r>
    </w:p>
    <w:p w14:paraId="50C5B85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Artikel 40 ska utgå.</w:t>
      </w:r>
    </w:p>
    <w:p w14:paraId="4C3EE6A3"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18</w:t>
      </w:r>
    </w:p>
    <w:p w14:paraId="2422C8B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Lydelsen av artikel 41 ska ändras på följande sätt:</w:t>
      </w:r>
    </w:p>
    <w:p w14:paraId="657A011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Tillsynen över genomförandet av denna lag ska utföras av Republiken Sloveniens hälsoinspektion, Republiken Sloveniens yrkesinspektion, Republiken Sloveniens marknadsinspektion, Republiken Sloveniens ekonomiförvaltning samt polis- och stadsförvaltningen.</w:t>
      </w:r>
    </w:p>
    <w:p w14:paraId="1488EAE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Republiken Sloveniens hälsoinspektion ska övervaka följande:</w:t>
      </w:r>
    </w:p>
    <w:p w14:paraId="63A8A36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utsläpp av tjära, nikotin och kolmonoxid från cigaretter som avses i artikel 7 i denna lag,</w:t>
      </w:r>
    </w:p>
    <w:p w14:paraId="57921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det förbud mot utsläppande på marknaden av tobaksvaror med en karakteristisk smak som avses i artikel 11 i denna lag,</w:t>
      </w:r>
    </w:p>
    <w:p w14:paraId="19AC5B6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förbud mot utsläppande på marknaden av tobaksvaror som innehåller sådana tillsatser som avses i artikel 12 i denna lag,</w:t>
      </w:r>
    </w:p>
    <w:p w14:paraId="043B5D2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rapportera och informera producenter och importörer om ingredienser och utsläpp från tobaksvaror och relaterade produkter i enlighet med artiklarna 9, 10, 25, 26.1, 26.2, 26.6 och 28 i denna lag,</w:t>
      </w:r>
    </w:p>
    <w:p w14:paraId="7470853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skyldigheter för producenter, importörer och distributörer av elektroniska cigaretter, nikotinfria elektroniska cigaretter, påfyllningsbehållare och nikotinfria påfyllningsbehållare som avses i artikel 26.9, 26.10 och 26.11 i denna lag och de villkor som ska uppfyllas av sådana elektroniska cigaretter, nikotinfria elektroniska cigaretter, påfyllningsbehållare och nikotinfria påfyllningsbehållare som avses i artikel 26.3 i denna lag,</w:t>
      </w:r>
    </w:p>
    <w:p w14:paraId="1BB4759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förbud mot rökning eller användning av tobak, tobaksvaror och relaterade produkter, med undantag av tuggtobak och nästobak, på offentliga platser som avses i artikel 39 i denna lag,</w:t>
      </w:r>
    </w:p>
    <w:p w14:paraId="750FE23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personer som inte följer förbudet mot rökning eller användning av tobak, tobaksvaror och relaterade produkter, med undantag för tuggtobak och nästobak, på offentliga platser som avses i artikel 39 i denna lag.</w:t>
      </w:r>
    </w:p>
    <w:p w14:paraId="7D66594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På grundval av sina egna konstateranden eller </w:t>
      </w:r>
      <w:proofErr w:type="spellStart"/>
      <w:r>
        <w:rPr>
          <w:rFonts w:ascii="Arial" w:hAnsi="Arial"/>
          <w:sz w:val="21"/>
        </w:rPr>
        <w:t>NLZOH:s</w:t>
      </w:r>
      <w:proofErr w:type="spellEnd"/>
      <w:r>
        <w:rPr>
          <w:rFonts w:ascii="Arial" w:hAnsi="Arial"/>
          <w:sz w:val="21"/>
        </w:rPr>
        <w:t xml:space="preserve"> konstateranden att tobak, tobaksvaror och relaterade produkter tillverkas, säljs eller släpps ut på marknaden i strid med artiklarna 7, 8, 11, 12 och 26 i denna lag ska Republiken Sloveniens hälsoinspektion, genom ett beslut, förbjuda produktion och försäljning av dessa produkter och beordra att dessa produkter avlägsnas från produktion och försäljning.</w:t>
      </w:r>
    </w:p>
    <w:p w14:paraId="5A7CF2F4"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På grundval av </w:t>
      </w:r>
      <w:proofErr w:type="spellStart"/>
      <w:r>
        <w:rPr>
          <w:rFonts w:ascii="Arial" w:hAnsi="Arial"/>
          <w:sz w:val="21"/>
        </w:rPr>
        <w:t>NLZOH:s</w:t>
      </w:r>
      <w:proofErr w:type="spellEnd"/>
      <w:r>
        <w:rPr>
          <w:rFonts w:ascii="Arial" w:hAnsi="Arial"/>
          <w:sz w:val="21"/>
        </w:rPr>
        <w:t xml:space="preserve"> konstateranden, att för ett visst varumärke och viss typ av tobak, tobaksvaror och relaterade produkter uppfyller deras producenter och importörer inte skyldigheten att rapportera eller informera om de produkter som avses i artiklarna 9, 10, 25, 26 och 28 i denna lag, ska Republiken Sloveniens hälsoinspektion, genom ett beslut, förbjuda försäljning av dessa produkter och beordra att dessa produkter avlägsnas från försäljning.</w:t>
      </w:r>
    </w:p>
    <w:p w14:paraId="068170F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På begäran av Republiken Sloveniens hälsoinspektion eller Republiken Sloveniens ekonomiförvaltning får NLZOH utföra laboratorietester av tobak, tobaksvaror och relaterade produkter. Juridiska och fysiska personer som släpper ut tobak, tobaksvaror och relaterade produkter på marknaden ska kostnadsfritt tillhandahålla ett prov på produkten till den behöriga inspektören (nedan kallad inspektören). Om det genom laboratorietester konstateras att det prov som tagits under kontrollförfarandet inte överensstämmer med bestämmelserna i denna lag, ska kostnaderna för laboratorietestningen bäras av den juridiska eller fysiska person från vilken provet togs.</w:t>
      </w:r>
    </w:p>
    <w:p w14:paraId="2ED7133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Republiken Sloveniens yrkesinspektion ska övervaka följande:</w:t>
      </w:r>
    </w:p>
    <w:p w14:paraId="0C08DE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förbud mot rökning eller användning av tobak, tobaksvaror och relaterade produkter, med undantag av tuggtobak och nästobak, på de arbetsplatser som avses i artikel 39 i denna lag,</w:t>
      </w:r>
    </w:p>
    <w:p w14:paraId="4B5C07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personer som inte följer förbudet mot rökning eller användning av tobak, tobaksvaror och relaterade produkter, med undantag av tuggtobak och nästobak, på de arbetsplatser som avses i artikel 39 i denna lag.</w:t>
      </w:r>
    </w:p>
    <w:p w14:paraId="2487745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(7) Republiken Sloveniens marknadsinspektion ska övervaka affärsenheter, nämligen:</w:t>
      </w:r>
    </w:p>
    <w:p w14:paraId="7B86CF5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de villkor som ska uppfyllas av den tobak och de tobaksvaror som avses i artiklarna 13–20 i denna lag,</w:t>
      </w:r>
    </w:p>
    <w:p w14:paraId="7DCC72F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det förbud mot utsläppande på marknaden av tobak för användning i munnen som avses i artikel 24 i denna lag,</w:t>
      </w:r>
    </w:p>
    <w:p w14:paraId="2762BF5A"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3. de villkor som ska uppfyllas av elektroniska cigaretter, nikotinfria elektroniska cigaretter, påfyllningsbehållare och nikotinfria påfyllningsbehållare som avses i artikel 26.4 och 26.5 i denna lag,</w:t>
      </w:r>
    </w:p>
    <w:p w14:paraId="1253A8E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de villkor som ska uppfyllas av växtbaserade produkter för rökning enligt artikel 27 i denna lag,</w:t>
      </w:r>
    </w:p>
    <w:p w14:paraId="2E836B27"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det förbud mot sponsring och reklam för tobak, tobaksvaror och relaterade produkter som avses i artikel 29 i denna lag,</w:t>
      </w:r>
    </w:p>
    <w:p w14:paraId="02B28AB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6. det förbud mot försäljning som avses i artiklarna 30 och 31 i denna lag,</w:t>
      </w:r>
    </w:p>
    <w:p w14:paraId="1680564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7. försäljning av tobak, tobaksvaror och relaterade produkter utan det tillstånd som avses i artikel 32 i denna lag och synligheten för tillståndet i de affärslokaler som avses i artikel 34.3 i denna lag.</w:t>
      </w:r>
    </w:p>
    <w:p w14:paraId="547A22A1"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(8) Republiken Sloveniens ekonomiförvaltning ska övervaka följande:</w:t>
      </w:r>
    </w:p>
    <w:p w14:paraId="6C8F669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 villkor som anges i artiklarna 22 och 23 i denna lag och som ska uppfyllas av tobak och tobaksvaror,</w:t>
      </w:r>
    </w:p>
    <w:p w14:paraId="54604CA2"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 villkor som ska uppfyllas av elektroniska cigaretter, nikotinfria elektroniska cigaretter, påfyllningsbehållare och nikotinfria påfyllningsbehållare som avses i artikel 26.3 i denna lag när de importeras från tredje land, med stöd från Republiken Sloveniens hälsoinspektion,</w:t>
      </w:r>
    </w:p>
    <w:p w14:paraId="0D68B44D"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 personer som säljer, släpper ut på marknaden eller förvärvar tobak, tobaksvaror eller relaterade produkter i strid med artikel 30.7 och 30.8 i denna lag,</w:t>
      </w:r>
    </w:p>
    <w:p w14:paraId="04D9B27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det importförbud som avses i artikel 30 a i denna lag,</w:t>
      </w:r>
    </w:p>
    <w:p w14:paraId="2EA00D18"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försäljning av tobak, tobaksvaror och relaterade produkter utan det tillstånd som avses i artikel 32 i denna lag.</w:t>
      </w:r>
    </w:p>
    <w:p w14:paraId="4D231C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(9) Om Republiken Sloveniens marknadsinspektion fastställer att tobak och tobaksvaror produceras, säljs eller släpps ut på marknaden i strid med artiklarna 13–20 i denna lag eller säljs utan det tillstånd som avses i artikel 32 i denna lag ska den meddela ett beslut om förbud mot produktion, försäljning eller utsläppande på marknaden och beordra att de avlägsnas från produktion eller försäljning.</w:t>
      </w:r>
    </w:p>
    <w:p w14:paraId="570358E0"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(10) Om Republiken Sloveniens ekonomiförvaltning fastställer att tobak, tobaksvaror och tobaksrelaterade produkter säljs utan det tillstånd som avses i artikel 32 i denna lag, ska den meddela ett beslut om förbud mot försäljning av dem och besluta om att de ska avlägsnas från produktion eller försäljning.</w:t>
      </w:r>
    </w:p>
    <w:p w14:paraId="36755B5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(11) På grundval av den anmälan som avses i artikel 26.12 i denna lag ska Republiken Sloveniens hälsoinspektion vidta lämpliga tillfälliga åtgärder för att skydda människors hälsa, däribland ett förbud mot försäljning av en viss produkt eller ett återkallande av en viss produkt från marknaden.</w:t>
      </w:r>
    </w:p>
    <w:p w14:paraId="4F3E343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(12) Om det behöriga kontrollorganet fastställer att tobak eller relaterade produkter framställs, säljs eller släpps ut på marknaden i strid med artiklarna 26 och 27 i denna lag eller utan det tillstånd som avses i artikel 32 i denna lag, ska det meddela ett beslut om förbud mot försäljning, utsläppande på marknaden eller produktion av dessa produkter och beordra att dessa produkter avlägsnas från produktion eller försäljning.</w:t>
      </w:r>
    </w:p>
    <w:p w14:paraId="20669F8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(13) Om Republiken Sloveniens marknadsinspektion fastställer att tobak, tobaksvaror eller relaterade produkter sponsras eller marknadsförs i strid med artikel 29 i denna lag ska sådan sponsring eller marknadsföring förbjudas genom beslut. För att verkställa beslutet ska Republiken Sloveniens marknadsinspektion beordra att marknadsföringsmaterial omedelbart avlägsnas på affärsenhetens bekostnad.</w:t>
      </w:r>
    </w:p>
    <w:p w14:paraId="1C033E63"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(14) Den behöriga inspektören får samarbeta med en person under 18 år för att utöva tillsyn över förbudet mot försäljning av tobak, tobaksvaror och tobaksvaror till personer under 18 år som avses i artikel 30.1 i denna lag. För underårigas deltagande ska deras föräldrars eller vårdnadshavares skriftliga förhandsgodkännande inhämtas. </w:t>
      </w:r>
    </w:p>
    <w:p w14:paraId="437D19D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(15) Polisen och stadsförvaltningen ska kontrollera förbudet mot rökning i alla fordon i närvaro av personer under 18 år enligt artikel 39.1 i denna lag.”.</w:t>
      </w:r>
    </w:p>
    <w:p w14:paraId="3155C1BF"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19</w:t>
      </w:r>
    </w:p>
    <w:p w14:paraId="41F6986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42 ska paragraf 1 ändras och få följande lydelse:</w:t>
      </w:r>
    </w:p>
    <w:p w14:paraId="2C415CFE"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En juridisk enhet ska åläggas böter på mellan 4 000 euro och 33 000 euro för ett brott:</w:t>
      </w:r>
    </w:p>
    <w:p w14:paraId="6299513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 om den producerar, säljer eller släpper ut cigaretter på marknaden som innehåller högre halter av tjära, nikotin och kolmonoxid, i enlighet med artikel 7 i denna lag,</w:t>
      </w:r>
    </w:p>
    <w:p w14:paraId="2ECE909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 om den säljer eller släpper ut tobaksvaror på marknaden för vilka skyldigheten att rapportera om dessa produkters ingredienser och utsläpp inte har uppfyllts (artiklarna 9 och 10),</w:t>
      </w:r>
    </w:p>
    <w:p w14:paraId="458EAFC0"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3. om den producerar, släpper ut på marknaden eller säljer tobaksvaror med en karakteristisk smak (artikel 11) eller med tillsatser som avses i artikel 12.1 och 12.3 i denna lag, eller om den producerar, säljer eller släpper ut på </w:t>
      </w:r>
      <w:proofErr w:type="gramStart"/>
      <w:r>
        <w:rPr>
          <w:rFonts w:ascii="Arial" w:hAnsi="Arial"/>
          <w:sz w:val="21"/>
        </w:rPr>
        <w:t>marknaden tobaksvaror</w:t>
      </w:r>
      <w:proofErr w:type="gramEnd"/>
      <w:r>
        <w:rPr>
          <w:rFonts w:ascii="Arial" w:hAnsi="Arial"/>
          <w:sz w:val="21"/>
        </w:rPr>
        <w:t xml:space="preserve"> som innehåller aromämnen i någon av deras beståndsdelar (artikel 12.2),</w:t>
      </w:r>
    </w:p>
    <w:p w14:paraId="0DF934F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4. om den släpper ut på marknaden eller säljer tobaksvaror och rökfria tobaksvaror som inte uppfyller villkoren för märkning, förpackning, allmänna varningar, informativa meddelanden och kombinerade hälsovarningar (artiklarna 13, 14, 15 och 16),</w:t>
      </w:r>
    </w:p>
    <w:p w14:paraId="2C72986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5. om den släpper ut på marknaden eller säljer tobaksvaror vars märkning eller ytterförpackning strider mot bestämmelserna i artikel 17 i denna lag,</w:t>
      </w:r>
    </w:p>
    <w:p w14:paraId="434CFCE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6. om den släpper ut på marknaden eller säljer cigarettförpackningar och ytterförpackningar av cigaretter vars utseende och innehåll strider mot bestämmelserna i artikel 18 i denna lag,</w:t>
      </w:r>
    </w:p>
    <w:p w14:paraId="7B90370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7. om den släpper ut på marknaden eller säljer </w:t>
      </w:r>
      <w:proofErr w:type="spellStart"/>
      <w:r>
        <w:rPr>
          <w:rFonts w:ascii="Arial" w:hAnsi="Arial"/>
          <w:sz w:val="21"/>
        </w:rPr>
        <w:t>styckförpackningar</w:t>
      </w:r>
      <w:proofErr w:type="spellEnd"/>
      <w:r>
        <w:rPr>
          <w:rFonts w:ascii="Arial" w:hAnsi="Arial"/>
          <w:sz w:val="21"/>
        </w:rPr>
        <w:t xml:space="preserve"> med rulltobak och ytterförpackningar av rulltobak vars utseende och innehåll strider mot bestämmelserna i artikel 19 i denna lag,</w:t>
      </w:r>
    </w:p>
    <w:p w14:paraId="669C48C8"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8. om den släpper ut på marknaden eller säljer cigaretter vars utseende strider mot bestämmelserna i artikel 20 i denna lag,</w:t>
      </w:r>
    </w:p>
    <w:p w14:paraId="14A10BE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9. om den inte gör den unika identitetsbeteckningen lätt tillgänglig (artikel 22.4),</w:t>
      </w:r>
    </w:p>
    <w:p w14:paraId="01518D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10. om den inte registrerar införseln av alla </w:t>
      </w:r>
      <w:proofErr w:type="spellStart"/>
      <w:r>
        <w:rPr>
          <w:rFonts w:ascii="Arial" w:hAnsi="Arial"/>
          <w:sz w:val="21"/>
        </w:rPr>
        <w:t>styckförpackningar</w:t>
      </w:r>
      <w:proofErr w:type="spellEnd"/>
      <w:r>
        <w:rPr>
          <w:rFonts w:ascii="Arial" w:hAnsi="Arial"/>
          <w:sz w:val="21"/>
        </w:rPr>
        <w:t xml:space="preserve"> och mellanförflyttningar och den slutliga mängden </w:t>
      </w:r>
      <w:proofErr w:type="spellStart"/>
      <w:r>
        <w:rPr>
          <w:rFonts w:ascii="Arial" w:hAnsi="Arial"/>
          <w:sz w:val="21"/>
        </w:rPr>
        <w:t>styckförpackningar</w:t>
      </w:r>
      <w:proofErr w:type="spellEnd"/>
      <w:r>
        <w:rPr>
          <w:rFonts w:ascii="Arial" w:hAnsi="Arial"/>
          <w:sz w:val="21"/>
        </w:rPr>
        <w:t xml:space="preserve"> från dess innehav på ett sådant sätt att det blir möjligt att tydligt och otvetydigt identifiera och spåra alla </w:t>
      </w:r>
      <w:proofErr w:type="spellStart"/>
      <w:r>
        <w:rPr>
          <w:rFonts w:ascii="Arial" w:hAnsi="Arial"/>
          <w:sz w:val="21"/>
        </w:rPr>
        <w:t>styckförpackningar</w:t>
      </w:r>
      <w:proofErr w:type="spellEnd"/>
      <w:r>
        <w:rPr>
          <w:rFonts w:ascii="Arial" w:hAnsi="Arial"/>
          <w:sz w:val="21"/>
        </w:rPr>
        <w:t xml:space="preserve"> (artikel 22.5),</w:t>
      </w:r>
    </w:p>
    <w:p w14:paraId="30B9F43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11. om den inte för register över alla genomförda transaktioner (artikel 22.6),</w:t>
      </w:r>
    </w:p>
    <w:p w14:paraId="68DB071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12. om den inte tillhandahåller de ekonomiska enheter som är involverade i handeln med tobaksvaror, från producenten till den sista ekonomiska enheten, före den första försäljningen på försäljningsstället, inbegripet importörer, lager och transportföretag, utrustning för registrering av tobaksvaror, eller om den tillhandahållna utrustningen inte möjliggör elektronisk avläsning och otvetydig identifiering och spårning av alla </w:t>
      </w:r>
      <w:proofErr w:type="spellStart"/>
      <w:r>
        <w:rPr>
          <w:rFonts w:ascii="Arial" w:hAnsi="Arial"/>
          <w:sz w:val="21"/>
        </w:rPr>
        <w:t>styckförpackningar</w:t>
      </w:r>
      <w:proofErr w:type="spellEnd"/>
      <w:r>
        <w:rPr>
          <w:rFonts w:ascii="Arial" w:hAnsi="Arial"/>
          <w:sz w:val="21"/>
        </w:rPr>
        <w:t xml:space="preserve"> (artikel 22.7),</w:t>
      </w:r>
    </w:p>
    <w:p w14:paraId="35AD227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13. om den ändrar eller raderar de registrerade uppgifterna (artikel 22.9),</w:t>
      </w:r>
    </w:p>
    <w:p w14:paraId="4E10FF0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lastRenderedPageBreak/>
        <w:t>14. om den släpper ut på marknaden eller säljer tobaksvaror utan identifieringsmärke eller säkerhetsdetaljer, om identifieringsmärket är ofullständigt eller om säkerhetsdetaljerna inte uppfyller de tekniska standarder som krävs (artikel 22.1, 22.2 och 22.3 och artikel 23),</w:t>
      </w:r>
    </w:p>
    <w:p w14:paraId="7D15C0A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15. om den släpper ut på marknaden eller säljer tobak för användning i munnen (artikel 24),</w:t>
      </w:r>
    </w:p>
    <w:p w14:paraId="468BED0E"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16. om den säljer eller släpper ut på marknaden nya tobaksvaror i strid med artikel 25 i denna lag,</w:t>
      </w:r>
    </w:p>
    <w:p w14:paraId="011202A3"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17. om den producerar, säljer eller släpper ut på marknaden elektroniska cigaretter, nikotinfria elektroniska cigaretter, påfyllningsbehållare och nikotinfria påfyllningsbehållare i strid med artikel 26.3, 26.4, 26.5 och 26.10 i denna lag,</w:t>
      </w:r>
    </w:p>
    <w:p w14:paraId="2AFBE4CF"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18. om den producerar, säljer eller släpper ut på marknaden elektroniska cigaretter, nikotinfria elektroniska cigaretter, påfyllningsbehållare och nikotinfria påfyllningsbehållare i strid med artikel 26.1, 26.2, 26.6 och 26.11 i denna lag,</w:t>
      </w:r>
    </w:p>
    <w:p w14:paraId="1C85988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19. om den släpper ut på marknaden eller säljer en växtbaserad produkt för rökning i strid med artikel 27 i denna lag,</w:t>
      </w:r>
    </w:p>
    <w:p w14:paraId="4C38D196"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20. om den inte rapporterar ingredienserna i växtbaserade produkter för rökning och upphettade växtbaserade produkter i enlighet med artikel 28 i denna lag,</w:t>
      </w:r>
    </w:p>
    <w:p w14:paraId="3ACD5094"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21. om den donerar till eller sponsrar ett evenemang, en verksamhet eller en enskild person och direkt eller indirekt annonserar och marknadsför tobaksvaror och relaterade produkter (artikel 29),</w:t>
      </w:r>
    </w:p>
    <w:p w14:paraId="71992145"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22. om den visar eller använder tobak, tobaksvaror och tobaksrelaterade produkter i tv och i samband med offentliga framträdanden (artikel 29.7),</w:t>
      </w:r>
    </w:p>
    <w:p w14:paraId="1A9E364D"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23. om den säljer tobak, tobaksvaror eller tobaksrelaterade produkter till personer under 18 år, eller om den inte sätter upp förbudet mot försäljning på en synlig plats, eller om den säljer tobak, tobaksvaror eller tobaksrelaterade produkter till en person under 18 år (artikel 30.1 och 30.2),</w:t>
      </w:r>
    </w:p>
    <w:p w14:paraId="4295E08B"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24. om den säljer eller släpper ut på </w:t>
      </w:r>
      <w:proofErr w:type="gramStart"/>
      <w:r>
        <w:rPr>
          <w:rFonts w:ascii="Arial" w:hAnsi="Arial"/>
          <w:sz w:val="21"/>
        </w:rPr>
        <w:t>marknaden tobak</w:t>
      </w:r>
      <w:proofErr w:type="gramEnd"/>
      <w:r>
        <w:rPr>
          <w:rFonts w:ascii="Arial" w:hAnsi="Arial"/>
          <w:sz w:val="21"/>
        </w:rPr>
        <w:t>, tobaksvaror eller tobaksrelaterade produkter på marknaden i strid med artikel 30.3 i denna lag,</w:t>
      </w:r>
    </w:p>
    <w:p w14:paraId="0AD413A9"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25. om den säljer eller släpper ut på </w:t>
      </w:r>
      <w:proofErr w:type="gramStart"/>
      <w:r>
        <w:rPr>
          <w:rFonts w:ascii="Arial" w:hAnsi="Arial"/>
          <w:sz w:val="21"/>
        </w:rPr>
        <w:t>marknaden tobak</w:t>
      </w:r>
      <w:proofErr w:type="gramEnd"/>
      <w:r>
        <w:rPr>
          <w:rFonts w:ascii="Arial" w:hAnsi="Arial"/>
          <w:sz w:val="21"/>
        </w:rPr>
        <w:t>, tobaksvaror eller tobaksrelaterade produkter utanför producentens originalförpackning (artikel 30.4),</w:t>
      </w:r>
    </w:p>
    <w:p w14:paraId="0502E1B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26. om den släpper ut på marknaden eller bedriver gränsöverskridande distansförsäljning av tobak, tobaksvaror eller tobaksrelaterade produkter via Internet, telekommunikation eller annan teknik under utveckling (artikel 30.5),</w:t>
      </w:r>
    </w:p>
    <w:p w14:paraId="5A9AAAA2"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27. om den producerar, släpper ut på marknaden eller bedriver gränsöverskridande distansförsäljning av sötsaker, snacks, leksaker eller andra varor i form av tobaksvaror eller tobaksrelaterade produkter avsedda för personer under 18 år (artikel 30.6),</w:t>
      </w:r>
    </w:p>
    <w:p w14:paraId="7A90F1A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28. om den importerar de produkter som avses i artikel 11.1, artikel 12.1, 12.2 och 12.3 och artikel 24 i denna lag,</w:t>
      </w:r>
    </w:p>
    <w:p w14:paraId="2594581C"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29. om den inte tydligt visar tillståndet för försäljning av tobak, tobaksvaror och tobaksrelaterade produkter i affärslokalerna (artikel 34.3),</w:t>
      </w:r>
    </w:p>
    <w:p w14:paraId="4704F121" w14:textId="77777777" w:rsidR="00A167A6" w:rsidRDefault="00160D9A">
      <w:pPr>
        <w:pStyle w:val="zamik"/>
        <w:spacing w:before="210" w:after="210"/>
        <w:ind w:left="425" w:hanging="425"/>
        <w:jc w:val="both"/>
        <w:rPr>
          <w:rFonts w:ascii="Arial" w:eastAsia="Arial" w:hAnsi="Arial" w:cs="Arial"/>
          <w:sz w:val="21"/>
          <w:szCs w:val="21"/>
        </w:rPr>
      </w:pPr>
      <w:r>
        <w:rPr>
          <w:rFonts w:ascii="Arial" w:hAnsi="Arial"/>
          <w:sz w:val="21"/>
        </w:rPr>
        <w:t xml:space="preserve">30. om den inte säkerställer efterlevnaden av förbudet mot rökning eller användning av tobak, tobaksvaror och tobaksrelaterade produkter, med undantag för tuggtobak och nästobak, i slutna allmänna utrymmen och arbetsutrymmen och i utrymmen som inte anses vara slutna utrymmen </w:t>
      </w:r>
      <w:r>
        <w:rPr>
          <w:rFonts w:ascii="Arial" w:hAnsi="Arial"/>
          <w:sz w:val="21"/>
        </w:rPr>
        <w:lastRenderedPageBreak/>
        <w:t>enligt denna lag, om de utgör en del av den funktionella mark som tillhör de anläggningar där uppfostrings- eller utbildningsverksamhet bedrivs (artikel 39).”.</w:t>
      </w:r>
    </w:p>
    <w:p w14:paraId="23A3595B"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Paragraferna 4, 5 och 6 ska ändras och få följande lydelse:</w:t>
      </w:r>
    </w:p>
    <w:p w14:paraId="4CA7ADC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”4. För de brott som avses i punkterna 1, 3</w:t>
      </w:r>
      <w:hyperlink r:id="rId9" w:tgtFrame="_blank" w:tooltip="to EUR-Lex" w:history="1">
        <w:r>
          <w:rPr>
            <w:rFonts w:ascii="Arial" w:hAnsi="Arial"/>
            <w:color w:val="0000EE"/>
            <w:sz w:val="21"/>
            <w:u w:val="single" w:color="0000EE"/>
          </w:rPr>
          <w:t>–15, 17, 19</w:t>
        </w:r>
      </w:hyperlink>
      <w:r>
        <w:rPr>
          <w:rFonts w:ascii="Arial" w:hAnsi="Arial"/>
          <w:sz w:val="21"/>
        </w:rPr>
        <w:t xml:space="preserve">, 25 och 28 i paragraf 1 i denna artikel ska, utöver den huvudsakliga påföljden, förverkande av tobak, tobaksvaror eller tobaksrelaterade produkter som är föremål för brottet och förverkande av föremål med vilka brottet har begåtts åläggas. En påföljd ska också utdömas om tobak, tobaksvaror eller tobaksrelaterade produkter inte tillhör gärningsmannen eller inte innehas av den juridiska personen. Förverkande av föremålet får frångås om gärningsmannen bevisar att tobaken, tobaksvarorna eller de tobaksrelaterade produkterna har sitt lagliga ursprung, eller om åläggandet av ett </w:t>
      </w:r>
      <w:proofErr w:type="spellStart"/>
      <w:r>
        <w:rPr>
          <w:rFonts w:ascii="Arial" w:hAnsi="Arial"/>
          <w:sz w:val="21"/>
        </w:rPr>
        <w:t>bistraff</w:t>
      </w:r>
      <w:proofErr w:type="spellEnd"/>
      <w:r>
        <w:rPr>
          <w:rFonts w:ascii="Arial" w:hAnsi="Arial"/>
          <w:sz w:val="21"/>
        </w:rPr>
        <w:t xml:space="preserve"> till förverkandet av föremålen som gäller brottet skulle vara uppenbart oproportionerligt i förhållande till gärningens allvar och följderna av brottet.</w:t>
      </w:r>
    </w:p>
    <w:p w14:paraId="57C2B48F"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(5) Böter på 50 000 euro ska åläggas en juridisk enhet, en enskild näringsidkare eller en person som bedriver en självständig verksamhet av försäljning av tobak, tobaksvaror eller tobaksrelaterade produkter utan tillstånd (artikel 32).</w:t>
      </w:r>
    </w:p>
    <w:p w14:paraId="6395C929"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(6) Böter på 5 000 euro ska åläggas en ansvarig person i en juridisk enhet, en ansvarig person som är en enskild näringsidkare eller en person som bedriver en självständig verksamhet av försäljning av tobak, tobaksvaror eller tobaksrelaterade utan tillstånd (artikel 32).</w:t>
      </w:r>
    </w:p>
    <w:p w14:paraId="0453035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20</w:t>
      </w:r>
    </w:p>
    <w:p w14:paraId="7FB4B59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 artikel 43 ska paragraf 1 ändras och få följande lydelse:</w:t>
      </w:r>
    </w:p>
    <w:p w14:paraId="52A8360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En enskild person ska åläggas böter på mellan 125 euro och 5 000 euro för ett brott</w:t>
      </w:r>
    </w:p>
    <w:p w14:paraId="1A2D9D43"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om han/hon förvärvar tobak, tobaksvaror eller tobaksrelaterade produkter i strid med artikel 30 i denna lag,</w:t>
      </w:r>
    </w:p>
    <w:p w14:paraId="62F6CA56"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om han/hon importerar produkter i strid med artikel 30 a.1 eller 30.a.2 i denna lag,</w:t>
      </w:r>
    </w:p>
    <w:p w14:paraId="30BD2B85"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om han/hon röker eller använder tobak, tobaksvaror eller tobaksrelaterade produkter på offentliga platser eller arbetsplatser där detta är förbjudet (artikel 39).</w:t>
      </w:r>
    </w:p>
    <w:p w14:paraId="643B64D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paragraf 2 ska följande paragrafer 3 och 4 läggas till och ha följande lydelse:</w:t>
      </w:r>
    </w:p>
    <w:p w14:paraId="55981F3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”3. En enskild person ska åläggas böter på mellan 3 000 euro och 5 000 euro för ett brott</w:t>
      </w:r>
    </w:p>
    <w:p w14:paraId="47F240AB"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om han/hon i marknadsföringssyfte erbjuder tobak, tobaksvaror och tobaksrelaterade produkter gratis på en offentlig plats eller i offentliga lokaler i strid med artikel 29.3 i denna lag,</w:t>
      </w:r>
    </w:p>
    <w:p w14:paraId="33A7C919" w14:textId="77777777" w:rsidR="00A167A6" w:rsidRDefault="00160D9A">
      <w:pPr>
        <w:pStyle w:val="alineazaodstavkom"/>
        <w:spacing w:before="210" w:after="210"/>
        <w:ind w:left="425"/>
        <w:rPr>
          <w:rFonts w:ascii="Arial" w:eastAsia="Arial" w:hAnsi="Arial" w:cs="Arial"/>
          <w:sz w:val="21"/>
          <w:szCs w:val="21"/>
        </w:rPr>
      </w:pPr>
      <w:r>
        <w:rPr>
          <w:rFonts w:ascii="Arial" w:hAnsi="Arial"/>
          <w:sz w:val="21"/>
        </w:rPr>
        <w:t xml:space="preserve">– om han/hon säljer eller släpper ut på </w:t>
      </w:r>
      <w:proofErr w:type="gramStart"/>
      <w:r>
        <w:rPr>
          <w:rFonts w:ascii="Arial" w:hAnsi="Arial"/>
          <w:sz w:val="21"/>
        </w:rPr>
        <w:t>marknaden tobak</w:t>
      </w:r>
      <w:proofErr w:type="gramEnd"/>
      <w:r>
        <w:rPr>
          <w:rFonts w:ascii="Arial" w:hAnsi="Arial"/>
          <w:sz w:val="21"/>
        </w:rPr>
        <w:t>, tobaksvaror eller tobaksrelaterade produkter i strid med artikel 30.7 i denna lag.</w:t>
      </w:r>
    </w:p>
    <w:p w14:paraId="46DA89EA"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För brott som avses i första stycket första och andra strecksatserna i första paragrafen i denna artikel och för de brott som avses i första och andra strecksatserna i föregående paragraf, utöver huvudpåföljden, ska förverkande av tobak, tobaksvaror eller tobaksrelaterade produkter som </w:t>
      </w:r>
      <w:r>
        <w:rPr>
          <w:rFonts w:ascii="Arial" w:hAnsi="Arial"/>
          <w:sz w:val="21"/>
        </w:rPr>
        <w:lastRenderedPageBreak/>
        <w:t xml:space="preserve">är föremål för brottet och förverkande av föremål med vilka brottet har begåtts åläggas. En påföljd ska också åläggas om tobak, tobaksvaror eller tobaksrelaterade produkter inte tillhör gärningsmannen eller inte är i hans ägo. Förverkande av föremålet får frångås om gärningsmannen bevisar det lagliga ursprunget för tobaken, tobaksvarorna eller de tobaksrelaterade produkterna, eller om åläggandet av ett </w:t>
      </w:r>
      <w:proofErr w:type="spellStart"/>
      <w:r>
        <w:rPr>
          <w:rFonts w:ascii="Arial" w:hAnsi="Arial"/>
          <w:sz w:val="21"/>
        </w:rPr>
        <w:t>bistraff</w:t>
      </w:r>
      <w:proofErr w:type="spellEnd"/>
      <w:r>
        <w:rPr>
          <w:rFonts w:ascii="Arial" w:hAnsi="Arial"/>
          <w:sz w:val="21"/>
        </w:rPr>
        <w:t xml:space="preserve"> till förverkandet av föremålen som gäller brottet skulle vara uppenbart oproportionerligt i förhållande till gärningens allvar och följderna av brottet.”.</w:t>
      </w:r>
    </w:p>
    <w:p w14:paraId="48E9BAF0"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21</w:t>
      </w:r>
    </w:p>
    <w:p w14:paraId="49B5565D"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Efter artikel 43 ska en ny artikel 43.a införas och ska ha följande lydelse:</w:t>
      </w:r>
    </w:p>
    <w:p w14:paraId="4CBF0B1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43.a</w:t>
      </w:r>
    </w:p>
    <w:p w14:paraId="581890D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(Åläggande av böter i ett skyndsamt förseelseförfarande)</w:t>
      </w:r>
    </w:p>
    <w:p w14:paraId="4179B07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För sådana brott som avses i denna lag får böter åläggas enligt ett skyndsamt förfarande till ett belopp som är högre än det minimibelopp som föreskrivs i denna lag.</w:t>
      </w:r>
    </w:p>
    <w:p w14:paraId="7473CB0D" w14:textId="77777777" w:rsidR="00A167A6" w:rsidRDefault="00160D9A">
      <w:pPr>
        <w:pStyle w:val="center"/>
        <w:pBdr>
          <w:top w:val="none" w:sz="0" w:space="24" w:color="auto"/>
        </w:pBdr>
        <w:spacing w:before="210" w:after="210"/>
        <w:rPr>
          <w:rFonts w:ascii="Arial" w:eastAsia="Arial" w:hAnsi="Arial" w:cs="Arial"/>
          <w:caps/>
          <w:sz w:val="21"/>
          <w:szCs w:val="21"/>
        </w:rPr>
      </w:pPr>
      <w:r>
        <w:rPr>
          <w:rFonts w:ascii="Arial" w:hAnsi="Arial"/>
          <w:caps/>
          <w:sz w:val="21"/>
        </w:rPr>
        <w:t>ÖVERGÅNGSBESTÄMMELSER OCH SLUTBESTÄMMELSER</w:t>
      </w:r>
    </w:p>
    <w:p w14:paraId="19419B4D"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22</w:t>
      </w:r>
    </w:p>
    <w:p w14:paraId="04EF89E8"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(Harmonisering av åtgärder)</w:t>
      </w:r>
    </w:p>
    <w:p w14:paraId="748A2DD8"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Elektroniska cigaretter, nikotinfria elektroniska cigaretter, påfyllningsbehållare, nikotinfria påfyllningsbehållare och påfyllningsbehållare med aromämnen får släppas ut på marknaden i högst tolv månader efter denna lags ikraftträdande.</w:t>
      </w:r>
    </w:p>
    <w:p w14:paraId="740DA9E2"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23</w:t>
      </w:r>
    </w:p>
    <w:p w14:paraId="4B3B2B07"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(Slutförande av förfaranden)</w:t>
      </w:r>
    </w:p>
    <w:p w14:paraId="37EE82FC"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Inspektions- och förseelseförfaranden som inletts före ikraftträdandet av denna lag ska avslutas i enlighet med gällande föreskrifter.</w:t>
      </w:r>
    </w:p>
    <w:p w14:paraId="5423D669"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24</w:t>
      </w:r>
    </w:p>
    <w:p w14:paraId="7DE56451"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(Stadgar)</w:t>
      </w:r>
    </w:p>
    <w:p w14:paraId="6446600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(1) Ministern ska utfärda föreskrifter som avses i den ändrade artikeln 25.4 i lagen och den ändrade artikeln 28.4 i lagen inom tre månader från ikraftträdandet av denna lag.</w:t>
      </w:r>
    </w:p>
    <w:p w14:paraId="7ADEB5E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Ministern ska anpassa de bestämmelser som avses i artikel 26.14 i lagen till nya punkt 8 i paragraf 3 och den nya paragraf 15 i artikel 26 i lagen inom tre månader från denna lags ikraftträdande.</w:t>
      </w:r>
    </w:p>
    <w:p w14:paraId="4CF50BB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25</w:t>
      </w:r>
    </w:p>
    <w:p w14:paraId="6FCFAA05"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(Upphörande av giltigheten och förlängning av tillämpningen av befintliga förordningar)</w:t>
      </w:r>
    </w:p>
    <w:p w14:paraId="0CBA7EA7"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Bestämmelserna i punkt 17 i artikel 3, fjärde strecksatsen i paragraf 3, och paragraf 4 i artikel 39, artikel 40, punkterna 8 och 9 i paragraf 2, punkterna 3 och 4 i paragraf 6, och paragraf 14 i artikel 41, punkt 30 i paragraf 1 i artikel 42, och tredje strecksatsen i paragraf 1 i artikel 43 i lagen om begränsning av användningen av tobaksvaror och relaterade produkter (Sloveniens officiella tidning, nr 9/17 och 29/17) ska tillämpas på rökrum fram till och med den 31 december 2025.</w:t>
      </w:r>
    </w:p>
    <w:p w14:paraId="6999717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Från och med den dag då denna lag träder i kraft ska reglerna om de villkor som ska uppfyllas av ett rökrum (Sloveniens officiella tidning nr 52/17), som kan användas till och med den 31 december 2025, upphöra att gälla.</w:t>
      </w:r>
    </w:p>
    <w:p w14:paraId="3EA27676"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Artikel 26</w:t>
      </w:r>
    </w:p>
    <w:p w14:paraId="79A7685A" w14:textId="77777777" w:rsidR="00A167A6" w:rsidRDefault="00160D9A">
      <w:pPr>
        <w:pStyle w:val="center"/>
        <w:pBdr>
          <w:top w:val="none" w:sz="0" w:space="24" w:color="auto"/>
        </w:pBdr>
        <w:spacing w:before="210" w:after="210"/>
        <w:rPr>
          <w:rFonts w:ascii="Arial" w:eastAsia="Arial" w:hAnsi="Arial" w:cs="Arial"/>
          <w:b/>
          <w:bCs/>
          <w:sz w:val="21"/>
          <w:szCs w:val="21"/>
        </w:rPr>
      </w:pPr>
      <w:r>
        <w:rPr>
          <w:rFonts w:ascii="Arial" w:hAnsi="Arial"/>
          <w:b/>
          <w:sz w:val="21"/>
        </w:rPr>
        <w:t>(Ikraftträdande och tillämpning)</w:t>
      </w:r>
    </w:p>
    <w:p w14:paraId="265B3C95"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(1) Denna lag träder i kraft den femtonde dagen efter det att den har offentliggjorts i Republiken Sloveniens officiella tidning och ska tillämpas från och med den trettionde dagen efter det att den har trätt i kraft.</w:t>
      </w:r>
    </w:p>
    <w:p w14:paraId="152FEB96" w14:textId="77777777" w:rsidR="00A167A6" w:rsidRDefault="00160D9A">
      <w:pPr>
        <w:pStyle w:val="zamik"/>
        <w:pBdr>
          <w:top w:val="none" w:sz="0" w:space="12" w:color="auto"/>
        </w:pBdr>
        <w:spacing w:before="210" w:after="210"/>
        <w:jc w:val="both"/>
        <w:rPr>
          <w:rFonts w:ascii="Arial" w:eastAsia="Arial" w:hAnsi="Arial" w:cs="Arial"/>
          <w:sz w:val="21"/>
          <w:szCs w:val="21"/>
        </w:rPr>
      </w:pPr>
      <w:r>
        <w:rPr>
          <w:rFonts w:ascii="Arial" w:hAnsi="Arial"/>
          <w:sz w:val="21"/>
        </w:rPr>
        <w:t>(2) Lagen om begränsning av användningen av tobaksvaror och relaterade produkter (Sloveniens officiella tidning, nr 9/17 och 29/17) ska tillämpas till dess att denna lag träder i kraft.</w:t>
      </w:r>
    </w:p>
    <w:p w14:paraId="6A6D8998" w14:textId="77777777" w:rsidR="00A167A6" w:rsidRDefault="00160D9A">
      <w:pPr>
        <w:pStyle w:val="evidencnastevilka"/>
        <w:spacing w:before="210" w:after="210"/>
        <w:rPr>
          <w:rFonts w:ascii="Arial" w:eastAsia="Arial" w:hAnsi="Arial" w:cs="Arial"/>
          <w:sz w:val="21"/>
          <w:szCs w:val="21"/>
        </w:rPr>
      </w:pPr>
      <w:r>
        <w:rPr>
          <w:rFonts w:ascii="Arial" w:hAnsi="Arial"/>
          <w:sz w:val="21"/>
        </w:rPr>
        <w:t xml:space="preserve">Nr </w:t>
      </w:r>
      <w:proofErr w:type="gramStart"/>
      <w:r>
        <w:rPr>
          <w:rFonts w:ascii="Arial" w:hAnsi="Arial"/>
          <w:sz w:val="21"/>
        </w:rPr>
        <w:t>543-03</w:t>
      </w:r>
      <w:proofErr w:type="gramEnd"/>
      <w:r>
        <w:rPr>
          <w:rFonts w:ascii="Arial" w:hAnsi="Arial"/>
          <w:sz w:val="21"/>
        </w:rPr>
        <w:t>/23-3/29</w:t>
      </w:r>
    </w:p>
    <w:p w14:paraId="07447D97" w14:textId="77777777" w:rsidR="00A167A6" w:rsidRDefault="00160D9A">
      <w:pPr>
        <w:pStyle w:val="krajdatumsprejetja"/>
        <w:spacing w:before="210" w:after="210"/>
        <w:rPr>
          <w:rFonts w:ascii="Arial" w:eastAsia="Arial" w:hAnsi="Arial" w:cs="Arial"/>
          <w:sz w:val="21"/>
          <w:szCs w:val="21"/>
        </w:rPr>
      </w:pPr>
      <w:r>
        <w:rPr>
          <w:rFonts w:ascii="Arial" w:hAnsi="Arial"/>
          <w:sz w:val="21"/>
        </w:rPr>
        <w:t>Ljubljana den 28 mars 2024</w:t>
      </w:r>
    </w:p>
    <w:p w14:paraId="6992B683" w14:textId="77777777" w:rsidR="00A167A6" w:rsidRDefault="00160D9A">
      <w:pPr>
        <w:pStyle w:val="evidencnastevilka"/>
        <w:spacing w:before="210" w:after="210"/>
        <w:rPr>
          <w:rFonts w:ascii="Arial" w:eastAsia="Arial" w:hAnsi="Arial" w:cs="Arial"/>
          <w:sz w:val="21"/>
          <w:szCs w:val="21"/>
        </w:rPr>
      </w:pPr>
      <w:r>
        <w:rPr>
          <w:rFonts w:ascii="Arial" w:hAnsi="Arial"/>
          <w:sz w:val="21"/>
        </w:rPr>
        <w:t>EPA 1145-IX</w:t>
      </w:r>
    </w:p>
    <w:p w14:paraId="48365190" w14:textId="69AF5785" w:rsidR="00A77B3E" w:rsidRPr="00710A8F" w:rsidRDefault="00160D9A" w:rsidP="00710A8F">
      <w:pPr>
        <w:pStyle w:val="podpisnik"/>
        <w:spacing w:before="210" w:after="210"/>
        <w:ind w:left="5669"/>
        <w:rPr>
          <w:rFonts w:ascii="Arial" w:eastAsia="Arial" w:hAnsi="Arial" w:cs="Arial"/>
          <w:sz w:val="21"/>
          <w:szCs w:val="21"/>
        </w:rPr>
      </w:pPr>
      <w:r>
        <w:rPr>
          <w:rFonts w:ascii="Arial" w:hAnsi="Arial"/>
          <w:sz w:val="21"/>
        </w:rPr>
        <w:t>Sloveniens</w:t>
      </w:r>
      <w:r>
        <w:rPr>
          <w:rFonts w:ascii="Arial" w:hAnsi="Arial"/>
          <w:sz w:val="21"/>
        </w:rPr>
        <w:br/>
        <w:t>nationalförsamling</w:t>
      </w:r>
      <w:r>
        <w:rPr>
          <w:rFonts w:ascii="Arial" w:hAnsi="Arial"/>
          <w:sz w:val="21"/>
        </w:rPr>
        <w:br/>
      </w:r>
      <w:proofErr w:type="spellStart"/>
      <w:r>
        <w:rPr>
          <w:rFonts w:ascii="Arial" w:hAnsi="Arial"/>
          <w:sz w:val="21"/>
        </w:rPr>
        <w:t>Danijel</w:t>
      </w:r>
      <w:proofErr w:type="spellEnd"/>
      <w:r>
        <w:rPr>
          <w:rFonts w:ascii="Arial" w:hAnsi="Arial"/>
          <w:sz w:val="21"/>
        </w:rPr>
        <w:t xml:space="preserve"> </w:t>
      </w:r>
      <w:proofErr w:type="spellStart"/>
      <w:r>
        <w:rPr>
          <w:rFonts w:ascii="Arial" w:hAnsi="Arial"/>
          <w:sz w:val="21"/>
        </w:rPr>
        <w:t>Krivec</w:t>
      </w:r>
      <w:proofErr w:type="spellEnd"/>
      <w:r>
        <w:rPr>
          <w:rFonts w:ascii="Arial" w:hAnsi="Arial"/>
          <w:sz w:val="21"/>
        </w:rPr>
        <w:t>,</w:t>
      </w:r>
      <w:r>
        <w:rPr>
          <w:rFonts w:ascii="Arial" w:hAnsi="Arial"/>
          <w:sz w:val="21"/>
        </w:rPr>
        <w:br/>
        <w:t>vice ordförande</w:t>
      </w:r>
    </w:p>
    <w:sectPr w:rsidR="00A77B3E" w:rsidRPr="00710A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0D9A"/>
    <w:rsid w:val="006303F7"/>
    <w:rsid w:val="00710A8F"/>
    <w:rsid w:val="00A167A6"/>
    <w:rsid w:val="00A77B3E"/>
    <w:rsid w:val="00CA2A55"/>
    <w:rsid w:val="00EE59E8"/>
    <w:rsid w:val="00FC7D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BE035"/>
  <w15:docId w15:val="{38948533-DD9A-4D96-809B-AB78190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center">
    <w:name w:val="center"/>
    <w:basedOn w:val="Normal"/>
    <w:pPr>
      <w:jc w:val="center"/>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ata.europa.eu/eli/dir/2014/40/oj" TargetMode="External"/><Relationship Id="rId3" Type="http://schemas.openxmlformats.org/officeDocument/2006/relationships/webSettings" Target="webSettings.xml"/><Relationship Id="rId7" Type="http://schemas.openxmlformats.org/officeDocument/2006/relationships/hyperlink" Target="http://data.europa.eu/eli/dir/2014/40/o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europa.eu/eli/dir_del/2022/2100/oj" TargetMode="External"/><Relationship Id="rId11" Type="http://schemas.openxmlformats.org/officeDocument/2006/relationships/theme" Target="theme/theme1.xml"/><Relationship Id="rId5" Type="http://schemas.openxmlformats.org/officeDocument/2006/relationships/hyperlink" Target="http://data.europa.eu/eli/dir/2014/40/anx_2/oj" TargetMode="External"/><Relationship Id="rId10" Type="http://schemas.openxmlformats.org/officeDocument/2006/relationships/fontTable" Target="fontTable.xml"/><Relationship Id="rId4" Type="http://schemas.openxmlformats.org/officeDocument/2006/relationships/hyperlink" Target="http://data.europa.eu/eli/dir_del/2014/109/oj" TargetMode="External"/><Relationship Id="rId9" Type="http://schemas.openxmlformats.org/officeDocument/2006/relationships/hyperlink" Target="https://eur-lex.europa.eu/legal-content/EN/TXT/?uri=uriserv:OJ.P_.17.015.01.0019.01.F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4989</Words>
  <Characters>28737</Characters>
  <Application>Microsoft Office Word</Application>
  <DocSecurity>0</DocSecurity>
  <Lines>463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ZAKO8761 NPB0</dc:title>
  <dc:creator>Jožica Škof Nikolič</dc:creator>
  <cp:keywords>class='Internal'</cp:keywords>
  <cp:lastModifiedBy>Ragnhild Efraimsson</cp:lastModifiedBy>
  <cp:revision>2</cp:revision>
  <dcterms:created xsi:type="dcterms:W3CDTF">2024-08-14T11:56:00Z</dcterms:created>
  <dcterms:modified xsi:type="dcterms:W3CDTF">2024-08-14T11:56:00Z</dcterms:modified>
</cp:coreProperties>
</file>