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ΓΕΝΙΚΕΣ ΔΙΑΤΑΞΕΙΣ</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Ο ΥΠΟΥΡΓΟΣ ΓΕΩΡΓΙΑΣ, ΑΛΙΕΙΑΣ ΚΑΙ ΤΡΟΦΙΜΩΝ</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Βασιλικό διάταγμα 840/2024, της 27ης Αυγούστου 2024, για την τροποποίηση του βασιλικού διατάγματος 1051/2022, της 27ης Δεκεμβρίου 2022, για τη θέσπιση προτύπων βιώσιμης διατροφής στα γεωργικά εδάφη.</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Το βασιλικό Διάταγμα 1051/2022, της 27ης Δεκεμβρίου 2022, για τη θέσπιση προτύπων βιώσιμης διατροφής στα γεωργικά εδάφη θεσπίζει ορισμένους βασικούς κανόνες για την ορθολογική λίπανση των καλλιεργειών, μέσω ελάχιστων ορθών γεωργικών πρακτικών που πρέπει να λαμβάνονται υπόψη κατά την εφαρμογή θρεπτικών ουσιών στα γεωργικά εδάφη. Επιπλέον, καταρτίζεται το γενικό μητρώο των παρασκευαστών και άλλων οικονομικών φορέων προϊόντων λίπανσης, με διττό στόχο τη βελτίωση της εποπτείας της αγοράς, σύμφωνα με τις διατάξεις του κανονισμού (ΕΕ) 2019/1009 του Ευρωπαϊκού Κοινοβουλίου και του Συμβουλίου, της 5ης Ιουνίου 2019, για τη θέσπιση κανόνων σχετικά με τη διάθεση προϊόντων λίπανσης της ΕΕ στην αγορά, και του βασιλικού διατάγματος 506/2013 της 26ης Ιουνίου 2013 για τα προϊόντα λίπανσης, καθώς και με τον κανονισμό (ΕΕ) 2019/1020 του Ευρωπαϊκού Κοινοβουλίου και του Συμβουλίου, της 20ής Ιουνίου 2019, για την εποπτεία της αγοράς και τη συμμόρφωση των προϊόντων, διευκολύνοντας παράλληλα την εφαρμογή της συλλογής δεδομένων για τη βελτίωση του υπολογισμού των ατμοσφαιρικών εκπομπών που προκύπτουν από τη χρήση προϊόντων λίπανσης. Μεταξύ άλλων θεμάτων, το παρόν βασιλικό διάταγμα ρυθμίζει το επάγγελμα του συμβούλου λίπανσης, το οποίο δεν είναι νομοθετικά κατοχυρωμένο επάγγελμα σύμφωνα με το άρθρο 36 του ισπανικού Συντάγματος.</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Μετά από περισσότερο από ένα έτος εφαρμογής του εν λόγω κανονισμού, είναι πλέον αναγκαίο να διευκολυνθεί η εφαρμογή ορισμένων τεχνικών πτυχών, να ενισχυθεί η συνοχή με άλλους τομεακούς κανονισμούς, όπως ο νόμος 7/2022, της 8ης Απριλίου 2022, για τα απόβλητα και τα μολυσμένα εδάφη για μια κυκλική οικονομία, ή τομεακές περιφερειακές διατάξεις, και να αποσαφηνιστεί η ασαφής διατύπωση. Για τον σκοπό αυτό, τροποποιούνται οι διατάξεις σχετικά με το μητρώο της εκμετάλλευσης, το σχέδιο λίπανσης και εκείνες που διευκολύνουν τη χρήση κοπριάς και οργανικών λιπασμάτων.</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Ως εκ τούτου, συμπεριλαμβάνονται ορισμένα κίνητρα για τη χρήση του ψηφιακού μητρώου γεωργικής εκμετάλλευσης, καθώς δεν είναι υποχρεωτικό, και παρατίθενται αναλυτικά οι πληροφορίες στο σχέδιο λίπανσης που πρέπει να περιλαμβάνονται στο μητρώο εκμετάλλευσης, με την πρόσθετη διευκρίνιση ότι ένα από τα βασικά σημεία είναι ο καθορισμός της δόσης.</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Εισάγονται νέα και καλύτερα διατυπωμένα μέτρα μείωσης των εκπομπών αμμωνίας και λαμβάνονται υπόψη άλλες τεχνολογίες για τη μείωση του κινδύνου έκπλυσης.</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Προκειμένου να διευκολυνθεί η χρήση κοπριάς, λιπασμάτων και άλλων οργανικών υλικών, οι διατάξεις σχετικά με τη στοίβαξη ή την εφαρμογή όσον αφορά τους χρόνους ταφής, τις παρεκκλίσεις και τις περιόδους εφαρμογής καθίστανται λιγότερο αυστηρές. Παράλληλα, προστίθενται νέα απόβλητα στον κατάλογο των αποδεκτών αποβλήτων, τροποποιώντας τις απαιτήσεις τους σύμφωνα με την αγορά και διατηρώντας τα κριτήρια ασφάλειας και αγρονομικής αποδοτικότητας.</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Το παρόν βασιλικό διάταγμα καταρτίστηκε σύμφωνα με τις αρχές της ορθής ρύθμισης που ορίζονται στο άρθρο 129 του νόμου 39/2015 της 1ης Οκτωβρίου 2015 σχετικά με την κοινή διοικητική διαδικασία των δημόσιων διοικήσεων. Σύμφωνα με τις αρχές της αναγκαιότητας και της αποτελεσματικότητας, το σχέδιο δικαιολογείται από την ανάγκη καλύτερης εφαρμογής των κανονισμών της Ευρωπαϊκής Ένωσης στην Ισπανία, </w:t>
      </w:r>
      <w:r>
        <w:rPr>
          <w:rStyle w:val="BodyTextChar"/>
          <w:sz w:val="20"/>
        </w:rPr>
        <w:lastRenderedPageBreak/>
        <w:t>δεδομένου ότι ο κανονισμός αυτός αποτελεί το καταλληλότερο μέσο για να εξασφαλιστεί η επίτευξή του, δεδομένου ότι είναι υποχρεωτικό ο κανονισμός να περιληφθεί σε βασικό κανονισμό. Συνάδει επίσης με την αρχή της αναλογικότητας και με τον στόχο του περιορισμού της κανονιστικής ρύθμισης στο ελάχιστο αναγκαίο προκειμένου να μειωθεί η κανονιστική ένταση. Με τη σειρά της, η αρχή της ασφάλειας δικαίου κατοχυρώνεται μέσω της εισαγωγής σε μια γενική διάταξη νέων διατάξεων που συνάδουν με την υπόλοιπη έννομη τάξη. Επιπλέον, σύμφωνα με την αρχή της διαφάνειας, ζητήθηκε η γνώμη των φορέων που εκπροσωπούν τους οικείους τομείς κατά την επεξεργασία του κανονισμού και διεξήχθη η διαδικασία δημόσιας ακρόασης και ενημέρωσης του κοινού. Τέλος, θεωρείται ότι τηρείται η αρχή της αποτελεσματικότητας, δεδομένου ότι δεν επιβάλλονται νέες διοικητικές επιβαρύνσεις σε σύγκριση με τον ισχύοντα κανονισμό.</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Οι διατάξεις του παρόντος βασιλικού διατάγματος είναι βασικοί κανονισμοί και εκδίδονται δυνάμει του άρθρου 149 παράγραφος 1 κανόνες 13, 16 και 23 του ισπανικού Συντάγματος, οι οποίες αναθέτουν στο κράτος αποκλειστικές αρμοδιότητες σε θέματα, αντιστοίχως, βάσεων και συντονισμού του γενικού προγραμματισμού της οικονομικής δραστηριότητας, βάσεων και γενικού συντονισμού της υγείας, καθώς και της βασικής νομοθεσίας για την προστασία του περιβάλλοντος, με την επιφύλαξη των εξουσιών των αυτόνομων κοινοτήτων να θεσπίζουν πρόσθετους κανόνες προστασίας.</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Ο παρών κανονισμός εκδίδεται σύμφωνα με τις διατάξεις της δέκατης έκτης τελικής διάταξης του νόμου 30/2022, της 23ης Δεκεμβρίου 2022, σχετικά με τη ρύθμιση του συστήματος διαχείρισης της Κοινής Γεωργικής Πολιτικής και συναφών θεμάτων.</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Ο κανονισμός έχει υποβληθεί στη διαδικασία διαβούλευσης των αυτόνομων κοινοτήτων και των πόλεων Θέουτα και Μελίγια, με βάση το γενικό καθήκον συνεργασίας μεταξύ των δημόσιων διοικήσεων που επιβάλλεται από το άρθρο 3 παράγραφος 1 στοιχείο ια) του νόμου 40/2015 της 1ης Οκτωβρίου 2015 περί του νομικού καθεστώτος του δημόσιου τομέα.</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Έχει επίσης υποβληθεί στη διαδικασία πληροφόρησης σχετικά με τα τεχνικά πρότυπα και τους τεχνικούς κανονισμούς που προβλέπεται στην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η οποία ρυθμίζεται από το βασιλικό διάταγμα 1337/1999, της 31ης Ιουλίου 1999, για τη ρύθμιση της διαβίβασης πληροφοριών στον τομέα των τεχνικών προτύπων και προδιαγραφών και των κανόνων σχετικά με τις υπηρεσίες της κοινωνίας των πληροφοριών.</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Βάσει των ανωτέρω, κατόπιν πρότασης του υπουργού Γεωργίας, Αλιείας και Τροφίμων, σε συμφωνία με το Συμβούλιο της Επικρατείας, και κατόπιν διαβούλευσης του Υπουργικού Συμβουλίου κατά τη συνεδρίασή του στις 27 Αυγούστου 2024,</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ΑΠΟΦΑΣΙΖΕΤΑΙ:</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Μοναδικό άρθρο. </w:t>
      </w:r>
      <w:r>
        <w:rPr>
          <w:rStyle w:val="BodyTextChar"/>
          <w:i/>
          <w:sz w:val="20"/>
        </w:rPr>
        <w:t>Τροποποίηση του βασιλικού διατάγματος 1051/2022, της 27ης Δεκεμβρίου 2022, για τη θέσπιση προτύπων βιώσιμης διατροφής στα γεωργικά εδάφη.</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Το βασιλικό διάταγμα 1051/2022, της 27ης Δεκεμβρίου 2022, για τη θέσπιση προτύπων βιώσιμης διατροφής στα γεωργικά εδάφη τροποποιείται ως εξής:</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Πρώτον. Το άρθρο 3 στοιχείο δ) διατυπώνεται ως εξής:</w:t>
      </w:r>
    </w:p>
    <w:p w14:paraId="24D5FBD1" w14:textId="198E1DDF" w:rsidR="00503C92" w:rsidRPr="00F122A6" w:rsidRDefault="0037644B" w:rsidP="00EE0D48">
      <w:pPr>
        <w:pStyle w:val="BodyText"/>
        <w:spacing w:after="140"/>
        <w:ind w:left="1560" w:right="1830"/>
        <w:jc w:val="both"/>
        <w:rPr>
          <w:sz w:val="20"/>
        </w:rPr>
      </w:pPr>
      <w:r>
        <w:rPr>
          <w:rStyle w:val="BodyTextChar"/>
          <w:sz w:val="20"/>
        </w:rPr>
        <w:t xml:space="preserve">«δ) Κομπόστ: υλικό που λαμβάνεται από την αερόβια και θερμόφιλη βιολογική επεξεργασία χωριστά συλλεγόμενων βιοαποδομήσιμων αποβλήτων τα οποία, όταν λαμβάνονται με αερόβια λιπασματοποίηση σύμφωνα με τις απαιτήσεις της κατηγορίας συστατικών υλικών κατηγορίας 3 (ΚΣΥ 3) του παραρτήματος II του κανονισμού (ΕΕ) </w:t>
      </w:r>
      <w:r>
        <w:rPr>
          <w:rStyle w:val="BodyTextChar"/>
          <w:sz w:val="20"/>
        </w:rPr>
        <w:lastRenderedPageBreak/>
        <w:t>2019/1009 του Ευρωπαϊκού Κοινοβουλίου και του Συμβουλίου, της 5ης Ιουνίου 2019, φθάνουν σε κατάσταση αποχαρακτηρισμού εάν συμμορφώνονται επίσης με τις απαιτήσεις των προδιαγραφών προϊόντος.»</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Δεύτερον. Το άρθρο 5 στοιχείο α) διατυπώνεται ως εξής:</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«α) Οι ακόλουθες λεπτομέρειες του σχεδίου λίπανσης που αναφέρεται στο άρθρο 6, όταν είναι υποχρεωτική η κατάρτιση, κατά την έναρξη της γεωργικής περιόδου: αναμενόμενη απόδοση, προηγούμενη καλλιέργεια, απαιτήσεις για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και K</w:t>
      </w:r>
      <w:r>
        <w:rPr>
          <w:rStyle w:val="BodyTextChar"/>
          <w:sz w:val="20"/>
          <w:vertAlign w:val="subscript"/>
        </w:rPr>
        <w:t>2</w:t>
      </w:r>
      <w:r>
        <w:rPr>
          <w:rStyle w:val="BodyTextChar"/>
          <w:sz w:val="20"/>
        </w:rPr>
        <w:t>O, και ημερομηνία κατά την οποία καταρτίστηκε το σχέδιο.»</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Τρίτον. Το άρθρο 6 παράγραφος 4 διατυπώνεται ως εξής:</w:t>
      </w:r>
    </w:p>
    <w:p w14:paraId="71A37E88" w14:textId="77777777" w:rsidR="00503C92" w:rsidRPr="00F122A6" w:rsidRDefault="0037644B" w:rsidP="00EE0D48">
      <w:pPr>
        <w:pStyle w:val="BodyText"/>
        <w:ind w:left="1560" w:right="1830"/>
        <w:jc w:val="both"/>
        <w:rPr>
          <w:sz w:val="20"/>
        </w:rPr>
      </w:pPr>
      <w:r>
        <w:rPr>
          <w:rStyle w:val="BodyTextChar"/>
          <w:sz w:val="20"/>
        </w:rPr>
        <w:t>«4. Το σχέδιο περιλαμβάνει τη συνιστώμενη δόση των διάφορων θρεπτικών συστατικών, τον χρόνο κατά τον οποίο προορίζονται να εφαρμοστούν, καθώς και τον τύπο του λιπάσματος ή του υλικού, τη μέθοδο εφαρμογής και τα μηχανήματα διανομής».</w:t>
      </w:r>
    </w:p>
    <w:p w14:paraId="283A1B19" w14:textId="77777777" w:rsidR="00503C92" w:rsidRPr="00F122A6" w:rsidRDefault="0037644B" w:rsidP="00EE0D48">
      <w:pPr>
        <w:pStyle w:val="BodyText"/>
        <w:ind w:left="1560" w:right="1830"/>
        <w:jc w:val="both"/>
        <w:rPr>
          <w:sz w:val="20"/>
        </w:rPr>
      </w:pPr>
      <w:r>
        <w:rPr>
          <w:rStyle w:val="BodyTextChar"/>
          <w:sz w:val="20"/>
        </w:rPr>
        <w:t>Τέταρτον. Το άρθρο 9 παράγραφος 2 στοιχείο ζ) διατυπώνεται ως εξής:</w:t>
      </w:r>
    </w:p>
    <w:p w14:paraId="582E52F1" w14:textId="77777777" w:rsidR="00503C92" w:rsidRPr="00F122A6" w:rsidRDefault="0037644B" w:rsidP="00EE0D48">
      <w:pPr>
        <w:pStyle w:val="BodyText"/>
        <w:ind w:left="1560" w:right="1830"/>
        <w:jc w:val="both"/>
        <w:rPr>
          <w:sz w:val="20"/>
        </w:rPr>
      </w:pPr>
      <w:r>
        <w:rPr>
          <w:rStyle w:val="BodyTextChar"/>
          <w:sz w:val="20"/>
        </w:rPr>
        <w:t>«ζ) Τα συσσωρευμένα υλικά γενικά δεν μπορούν να παραμείνουν στους περιφραγμένους χώρους για περισσότερο από 10 ημέρες. Εάν το συσσωρευμένο υλικό κομποστοποιηθεί ή χωνευτεί, η περίοδος αυτή μπορεί να παραταθεί έως και 20 ημέρες. Οι περιφραγμένοι χώροι στους οποίους είναι αδύνατη η πρόσβαση του μηχανήματος λόγω βροχοπτώσεων απαλλάσσονται από την υποχρέωση αυτή έως ότου παύσει η συνθήκη αυτή.»</w:t>
      </w:r>
    </w:p>
    <w:p w14:paraId="0430BE9F" w14:textId="77777777" w:rsidR="00503C92" w:rsidRPr="00F122A6" w:rsidRDefault="0037644B" w:rsidP="00EE0D48">
      <w:pPr>
        <w:pStyle w:val="BodyText"/>
        <w:ind w:left="1560" w:right="1830"/>
        <w:jc w:val="both"/>
        <w:rPr>
          <w:sz w:val="20"/>
        </w:rPr>
      </w:pPr>
      <w:r>
        <w:rPr>
          <w:rStyle w:val="BodyTextChar"/>
          <w:sz w:val="20"/>
        </w:rPr>
        <w:t>Πέμπτον. Το άρθρο 10 παράγραφος 2 και το άρθρο 10 παράγραφος 3 πρώτο και τελευταίο εδάφιο διατυπώνονται ως εξής:</w:t>
      </w:r>
    </w:p>
    <w:p w14:paraId="5D0D8FC9" w14:textId="77777777" w:rsidR="00503C92" w:rsidRPr="00F122A6" w:rsidRDefault="0037644B" w:rsidP="00EE0D48">
      <w:pPr>
        <w:pStyle w:val="BodyText"/>
        <w:spacing w:after="0"/>
        <w:ind w:left="1560" w:right="1830"/>
        <w:jc w:val="both"/>
        <w:rPr>
          <w:sz w:val="20"/>
        </w:rPr>
      </w:pPr>
      <w:r>
        <w:rPr>
          <w:rStyle w:val="BodyTextChar"/>
          <w:sz w:val="20"/>
        </w:rPr>
        <w:t>«2. Απαγορεύεται η εφαρμογή άλλων οργανικών ή οργανο-ανόργανων υλικών, συμπεριλαμβανομένων των αποβλήτων, με τη χρήση συστημάτων πλακών, ανεμιστήρων και κανονιών, εάν η υγρασία αυτών των υλικών είναι 90 % ή μεγαλύτερη και η περιεκτικότητά τους σε αμμωνιακό άζωτο υπερβαίνει το 0,1 % νωπής ουσίας.»</w:t>
      </w:r>
    </w:p>
    <w:p w14:paraId="6C51EA6F" w14:textId="77777777" w:rsidR="00503C92" w:rsidRPr="00F122A6" w:rsidRDefault="0037644B" w:rsidP="00EE0D48">
      <w:pPr>
        <w:pStyle w:val="BodyText"/>
        <w:spacing w:after="0"/>
        <w:ind w:left="1560" w:right="1830"/>
        <w:jc w:val="both"/>
        <w:rPr>
          <w:sz w:val="20"/>
        </w:rPr>
      </w:pPr>
      <w:r>
        <w:rPr>
          <w:rStyle w:val="BodyTextChar"/>
          <w:sz w:val="20"/>
        </w:rPr>
        <w:t>«3. «Η κοπριά και τα οργανικά ή οργανο-ανόργανα προϊόντα ή υλικά, συμπεριλαμβανομένων των αποβλήτων, πρέπει να θάβονται το συντομότερο δυνατό μετά την εφαρμογή, και πάντοτε εντός των πρώτων 24 ωρών, με άροτρο με υνί και ανατρεπτήρα, άροτρο με εδαφοσχίστη, περιστροφικό καλλιεργητή ή εξοπλισμό που εξασφαλίζει ισοδύναμες εργασίες, εκτός εάν συντρέχει μία από τις ακόλουθες περιστάσεις:»</w:t>
      </w:r>
    </w:p>
    <w:p w14:paraId="1D9B8B0E" w14:textId="77777777" w:rsidR="00503C92" w:rsidRPr="00F122A6" w:rsidRDefault="0037644B" w:rsidP="00EE0D48">
      <w:pPr>
        <w:pStyle w:val="BodyText"/>
        <w:ind w:left="1560" w:right="1830"/>
        <w:jc w:val="both"/>
        <w:rPr>
          <w:sz w:val="20"/>
        </w:rPr>
      </w:pPr>
      <w:r>
        <w:rPr>
          <w:rStyle w:val="BodyTextChar"/>
          <w:sz w:val="20"/>
        </w:rPr>
        <w:t>«Οι αρμόδιες αρχές των αυτόνομων κοινοτήτων, λαμβάνοντας υπόψη τα γεωργοκλιματικά χαρακτηριστικά της επικράτειάς τους και το είδος των χρησιμοποιούμενων υλικών, μπορούν να καθορίζουν μέγιστη περίοδο μικρότερη των 24 ωρών για την εκτέλεση της εν λόγω ταφής, όταν είναι υποχρεωτική.»</w:t>
      </w:r>
    </w:p>
    <w:p w14:paraId="73324CC2" w14:textId="77777777" w:rsidR="00503C92" w:rsidRPr="00F122A6" w:rsidRDefault="0037644B" w:rsidP="00EE0D48">
      <w:pPr>
        <w:pStyle w:val="BodyText"/>
        <w:ind w:left="1560" w:right="1830"/>
        <w:jc w:val="both"/>
        <w:rPr>
          <w:sz w:val="20"/>
        </w:rPr>
      </w:pPr>
      <w:r>
        <w:rPr>
          <w:rStyle w:val="BodyTextChar"/>
          <w:sz w:val="20"/>
        </w:rPr>
        <w:t>Έκτον. Οι παράγραφοι 2, 3 και 4 του άρθρου 12 διατυπώνονται ως εξής:</w:t>
      </w:r>
    </w:p>
    <w:p w14:paraId="6BB7A2EA" w14:textId="77777777" w:rsidR="00503C92" w:rsidRPr="00F122A6" w:rsidRDefault="0037644B" w:rsidP="00EE0D48">
      <w:pPr>
        <w:pStyle w:val="BodyText"/>
        <w:spacing w:after="0"/>
        <w:ind w:left="1560" w:right="1830"/>
        <w:jc w:val="both"/>
        <w:rPr>
          <w:sz w:val="20"/>
        </w:rPr>
      </w:pPr>
      <w:r>
        <w:rPr>
          <w:rStyle w:val="BodyTextChar"/>
          <w:sz w:val="20"/>
        </w:rPr>
        <w:t>«2. Ενθαρρύνεται, στο μέτρο του δυνατού, η χρήση προϊόντων λίπανσης που παράγουν λιγότερες εκπομπές αμμωνίας, λιγότερες εκπομπές αερίων του θερμοκηπίου ή μειώνουν τον κίνδυνο έκπλυσης νιτρικών ιόντων, λαμβανομένων υπόψη των χαρακτηριστικών του εδάφους, του κλίματος και των καλλιεργειών.</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Όταν χρησιμοποιούνται διαλύματα ουρίας ή αζώτου ουρίας, πρέπει να χρησιμοποιείται τουλάχιστον μία από τις μεθόδους που απαριθμούνται στο μέρος Β του παραρτήματος V, οποιαδήποτε άλλη μέθοδος για την οποία έχει αποδειχθεί παρόμοια απόδοση όσον αφορά τη μείωση των εκπομπών αμμωνίας ή να τηρείται ψηφιακό μητρώο γεωργικής εκμετάλλευσης, χωρίς υποχρέωση σύμφωνα με τις λοιπές διατάξεις του παρόντος βασιλικού διατάγματος.</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lastRenderedPageBreak/>
        <w:t>Εάν, κατά τη διάρκεια ενός έτους, διαπιστωθεί ότι το άζωτο που παρέχεται από ουρία και αζωτούχα διαλύματα ουρίας υπερβαίνει το 30 % του συνολικού αζώτου που διατίθεται στην αγορά σε εθνικό επίπεδο, κατά την επόμενη περίοδο, οι εκμεταλλεύσεις που εφαρμόζουν περισσότερο από το 20 % των αναγκών τους σε άζωτο χρησιμοποιώντας ουρία ή αζωτούχα διαλύματα ουρίας επιλέγουν από τις μεθόδους του μέρους Β του παραρτήματος V, εκείνες που εξασφαλίζουν μείωση των εκπομπών κατά τουλάχιστον 30 % σε σύγκριση με την τεχνική αναφοράς, σύμφωνα με τις εκτιμήσεις των κατευθυντήριων γραμμών που ανέπτυξε η ειδική ομάδα για το αντιδραστικό άζωτο «Επιλογές μετριασμού της αμμωνίας» της Οικονομικής Επιτροπής των Ηνωμένων Εθνών για την Ευρώπη (ΟΕΕ/ΗΕ). Για τον σκοπό αυτό, με απόφαση της Γενικής Διεύθυνσης Γεωργικών Παραγωγών και Αγορών, η ποσότητα αζώτου που διατίθεται στο εμπόριο υπό μορφή ουρίας και αζωτούχων διαλυμάτων ουρίας ως ποσοστό του συνόλου δημοσιεύεται ετησίως. Σε περίπτωση που το Υπουργείο Οικολογικής Μετάβασης και Δημογραφικής Πρόκλησης καθορίσει εθνικούς συντελεστές μείωσης για τις τεχνικές αυτές, αυτοί οι συντελεστές αντικαθιστούν εκείνους που καθορίζονται στις προαναφερθείσες κατευθυντήριες γραμμές της ΟΕΕ/ΗΕ.»</w:t>
      </w:r>
    </w:p>
    <w:p w14:paraId="696818E4" w14:textId="77777777" w:rsidR="00503C92" w:rsidRPr="00F122A6" w:rsidRDefault="0037644B" w:rsidP="00EE0D48">
      <w:pPr>
        <w:pStyle w:val="BodyText"/>
        <w:ind w:left="1560" w:right="1830"/>
        <w:jc w:val="both"/>
        <w:rPr>
          <w:sz w:val="20"/>
        </w:rPr>
      </w:pPr>
      <w:r>
        <w:rPr>
          <w:rStyle w:val="BodyTextChar"/>
          <w:sz w:val="20"/>
        </w:rPr>
        <w:t>Έβδομον. Το άρθρο 15 παράγραφος 1 αναδιατυπώνεται και προστίθεται νέα παράγραφος 6 ως εξής:</w:t>
      </w:r>
    </w:p>
    <w:p w14:paraId="598FC1FC" w14:textId="77777777" w:rsidR="00503C92" w:rsidRPr="00F122A6" w:rsidRDefault="0037644B" w:rsidP="00EE0D48">
      <w:pPr>
        <w:pStyle w:val="BodyText"/>
        <w:spacing w:after="0"/>
        <w:ind w:left="1560" w:right="1830"/>
        <w:jc w:val="both"/>
        <w:rPr>
          <w:sz w:val="20"/>
        </w:rPr>
      </w:pPr>
      <w:r>
        <w:rPr>
          <w:rStyle w:val="BodyTextChar"/>
          <w:sz w:val="20"/>
        </w:rPr>
        <w:t>«1. Τα υλικά που αναφέρονται στο προηγούμενο άρθρο, όταν χρησιμοποιούνται ως βελτιωτικά εδάφους, εφαρμόζονται μόνο σε ακαλλιέργητα εδάφη και, όταν εφαρμόζονται σε ξυλώδεις φυτείες ή σε μόνιμες αροτραίες καλλιέργειες, όπως η μπανάνα και η παπάγια, αυτό γίνεται απευθείας στο έδαφος και πριν από το τέλος της χειμερινής ανάπαυλας. Στην περίπτωση μόνιμων βοσκοτόπων, μπορούν να εφαρμόζονται με την άδεια της Αυτόνομης Κοινότητας. Όταν εφαρμόζονται για τη χρήση των θρεπτικών συστατικών τους ως λιπασμάτων, εάν χρησιμοποιούνται σε εκτάσεις με φυτευμένη καλλιέργεια, δεν έρχονται σε επαφή με το τμήμα της καλλιέργειας που προορίζεται για κατανάλωση».</w:t>
      </w:r>
    </w:p>
    <w:p w14:paraId="7B11D49C" w14:textId="77777777" w:rsidR="00503C92" w:rsidRPr="00F122A6" w:rsidRDefault="0037644B" w:rsidP="00EE0D48">
      <w:pPr>
        <w:pStyle w:val="BodyText"/>
        <w:ind w:left="1560" w:right="1830"/>
        <w:jc w:val="both"/>
        <w:rPr>
          <w:sz w:val="20"/>
        </w:rPr>
      </w:pPr>
      <w:r>
        <w:rPr>
          <w:rStyle w:val="BodyTextChar"/>
          <w:sz w:val="20"/>
        </w:rPr>
        <w:t>«6. Στις αυτόνομες κοινότητες που δεν έχουν καμία εφαρμοστέα νομοθεσία πριν από τον κανονισμό που προβλέπεται στον παρόντα κανόνα, εφαρμόζονται τα ανακτήσιμα υγρά απόβλητα, εκτός της ιλύος, τα οποία χρησιμοποιούνται για την παροχή θρεπτικών συστατικών στις καλλιέργειες, αφήνοντας διάστημα τουλάχιστον δύο μηνών μεταξύ της εφαρμογής και της συγκομιδής. Ωστόσο, η περίοδος αυτή μπορεί να μειωθεί σε 21 ημέρες στις ακόλουθες περιπτώσεις:</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η συγκομιδή δεν προορίζεται για κατανάλωση από τον άνθρωπο ή τα ζώα ή</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η μορφή καλλιέργειας ή το σύστημα εφαρμογής του υλικού εξασφαλίζει ότι τα απόβλητα δεν έρχονται σε επαφή με τα βρώσιμα μέρη της καλλιέργειας.»</w:t>
      </w:r>
    </w:p>
    <w:p w14:paraId="5D11DE93" w14:textId="77777777" w:rsidR="00503C92" w:rsidRPr="00F122A6" w:rsidRDefault="0037644B" w:rsidP="00EE0D48">
      <w:pPr>
        <w:pStyle w:val="BodyText"/>
        <w:ind w:left="1560" w:right="1830"/>
        <w:jc w:val="both"/>
        <w:rPr>
          <w:sz w:val="20"/>
        </w:rPr>
      </w:pPr>
      <w:r>
        <w:rPr>
          <w:rStyle w:val="BodyTextChar"/>
          <w:sz w:val="20"/>
        </w:rPr>
        <w:t>Όγδοον. Το άρθρο 20 πρώτο εδάφιο διατυπώνεται ως εξής:</w:t>
      </w:r>
    </w:p>
    <w:p w14:paraId="1194A18B" w14:textId="77777777" w:rsidR="00503C92" w:rsidRPr="00F122A6" w:rsidRDefault="0037644B" w:rsidP="00EE0D48">
      <w:pPr>
        <w:pStyle w:val="BodyText"/>
        <w:ind w:left="1560" w:right="1830"/>
        <w:jc w:val="both"/>
        <w:rPr>
          <w:sz w:val="20"/>
        </w:rPr>
      </w:pPr>
      <w:r>
        <w:rPr>
          <w:rStyle w:val="BodyTextChar"/>
          <w:sz w:val="20"/>
        </w:rPr>
        <w:t>«Οι συμβουλές σχετικά με τις διάφορες πτυχές της λίπανσης που αναφέρονται στο παρόν βασιλικό διάταγμα παρέχονται από τεχνικό που μπορεί να αποδείξει την ιδιότητά του ως συμβούλου λίπανσης σύμφωνα με τις απαιτήσεις του άρθρου 21. Ωστόσο, όταν το προβλέπει η αρμόδια αρχή της Αυτόνομης Κοινότητας, συμβουλευτικές υποχρεώσεις μπορούν να εκπληρωθούν εάν ο ιδιοκτήτης της εκμετάλλευσης χρησιμοποιεί λογισμικό παροχής συστάσεων για θέματα λίπανσης που έχει εγκριθεί από την εν λόγω αρμόδια αρχή, σύμφωνα με τις ελάχιστες απαιτήσεις που καθορίζονται στο μέρος ΙΙΙ του παραρτήματος ΙΙΙ, υπό την προϋπόθεση ότι ο ιδιοκτήτης τηρεί ψηφιακό μητρώο γεωργικής εκμετάλλευσης».</w:t>
      </w:r>
    </w:p>
    <w:p w14:paraId="0E0619CE" w14:textId="77777777" w:rsidR="00503C92" w:rsidRPr="00F122A6" w:rsidRDefault="0037644B" w:rsidP="00EE0D48">
      <w:pPr>
        <w:pStyle w:val="BodyText"/>
        <w:spacing w:after="180"/>
        <w:ind w:left="1560" w:right="1830"/>
        <w:jc w:val="both"/>
        <w:rPr>
          <w:sz w:val="20"/>
        </w:rPr>
      </w:pPr>
      <w:r>
        <w:rPr>
          <w:rStyle w:val="BodyTextChar"/>
          <w:sz w:val="20"/>
        </w:rPr>
        <w:t>Ένατον. Η μοναδική μεταβατική διάταξη διατυπώνεται ως εξής:</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lastRenderedPageBreak/>
        <w:t xml:space="preserve">«Μοναδική μεταβατική διάταξη. </w:t>
      </w:r>
      <w:r>
        <w:rPr>
          <w:rStyle w:val="BodyTextChar"/>
          <w:i/>
          <w:sz w:val="20"/>
        </w:rPr>
        <w:t>Εφαρμογή των αποβλήτων μέσω της λειτουργίας R1001 Ανάκτηση αποβλήτων σε γεωργικά εδάφη και στην κηπουρική.</w:t>
      </w:r>
    </w:p>
    <w:p w14:paraId="1D7846FC" w14:textId="720A5B50" w:rsidR="00503C92" w:rsidRPr="00F122A6" w:rsidRDefault="0037644B" w:rsidP="00EE0D48">
      <w:pPr>
        <w:pStyle w:val="BodyText"/>
        <w:ind w:left="1560" w:right="1830"/>
        <w:jc w:val="both"/>
        <w:rPr>
          <w:sz w:val="20"/>
        </w:rPr>
      </w:pPr>
      <w:r>
        <w:rPr>
          <w:rStyle w:val="BodyTextChar"/>
          <w:sz w:val="20"/>
        </w:rPr>
        <w:t>Στην περίπτωση αποβλήτων που έχουν εγκριθεί από την αρμόδια περιβαλλοντική αρχή για διαχείριση ως R1001 Ανάκτηση αποβλήτων σε γεωργικά εδάφη και στην κηπουρική, πιστοποιώντας για τον σκοπό αυτό έγγραφα με περιγραφή της διαδικασίας και αναλυτικούς χαρακτηρισμούς, πριν από την έναρξη ισχύος του παρόντος βασιλικού διατάγματος, ο παραγωγός των αποβλήτων διαθέτει προθεσμία τριών ετών από τη δημοσίευση του παρόντος βασιλικού διατάγματος για να συνεχίσει τη διαχείρισή του και να υποβάλει έκθεση για την τροποποίηση, κατά περίπτωση, του παραρτήματος VIII.»</w:t>
      </w:r>
    </w:p>
    <w:p w14:paraId="2A47F4D6" w14:textId="77777777" w:rsidR="00503C92" w:rsidRPr="00F122A6" w:rsidRDefault="0037644B" w:rsidP="00EE0D48">
      <w:pPr>
        <w:pStyle w:val="BodyText"/>
        <w:ind w:left="1560" w:right="1830"/>
        <w:jc w:val="both"/>
        <w:rPr>
          <w:sz w:val="20"/>
        </w:rPr>
      </w:pPr>
      <w:r>
        <w:rPr>
          <w:rStyle w:val="BodyTextChar"/>
          <w:sz w:val="20"/>
        </w:rPr>
        <w:t>Δέκατον. Το σημείο iii) του παραρτήματος II διατυπώνεται ως εξής:</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εάν χρησιμοποιούνται τεχνικές μετριασμού της έκπλυσης, όπως πολυμερή, αναστολείς κ.λπ., ορισμένα προϊόντα καθυστερημένης αποδέσμευσης μπορούν να αποκλειστούν από την απαγόρευση εφαρμογής κατά τη διάρκεια ορισμένων περιόδων».</w:t>
      </w:r>
    </w:p>
    <w:p w14:paraId="7DE01383" w14:textId="0A5F5024" w:rsidR="00503C92" w:rsidRPr="00F122A6" w:rsidRDefault="0037644B" w:rsidP="00EE0D48">
      <w:pPr>
        <w:pStyle w:val="BodyText"/>
        <w:ind w:left="1560" w:right="1830"/>
        <w:jc w:val="both"/>
        <w:rPr>
          <w:sz w:val="20"/>
        </w:rPr>
      </w:pPr>
      <w:r>
        <w:rPr>
          <w:rStyle w:val="BodyTextChar"/>
          <w:sz w:val="20"/>
        </w:rPr>
        <w:t>Ενδέκατον. Το πρώτο εδάφιο του μέρους ΙΙΙ του παραρτήματος III διατυπώνεται ως εξής:</w:t>
      </w:r>
    </w:p>
    <w:p w14:paraId="18597F81" w14:textId="77777777" w:rsidR="00503C92" w:rsidRPr="00F122A6" w:rsidRDefault="0037644B" w:rsidP="00EE0D48">
      <w:pPr>
        <w:pStyle w:val="BodyText"/>
        <w:spacing w:after="140"/>
        <w:ind w:left="1560" w:right="1830"/>
        <w:jc w:val="both"/>
        <w:rPr>
          <w:sz w:val="20"/>
        </w:rPr>
      </w:pPr>
      <w:r>
        <w:rPr>
          <w:rStyle w:val="BodyTextChar"/>
          <w:sz w:val="20"/>
        </w:rPr>
        <w:t>«Συμβουλευτικές υποχρεώσεις σύμφωνα με το παρόν βασιλικό διάταγμα, θεωρείται ότι πληρούνται όταν ο γεωργός τηρεί ψηφιακό μητρώο γεωργικής εκμετάλλευσης και εάν χρησιμοποιούνται εργαλεία ή εφαρμογές ΤΠ για την προετοιμασία των υπολογισμών των αναγκών σε θρεπτικά συστατικά των καλλιεργειών και την υποβολή πρότασης για λίπασμα, υπό τον όρο ότι έχουν εγκριθεί από την αρμόδια αρχή της Αυτόνομης Κοινότητας όπου πρόκειται να χρησιμοποιηθούν.»</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Δωδέκατον. Η τελευταία σειρά του πίνακα που παρατίθεται στην παράγραφο 1 του μέρους Α του παραρτήματος IV αντικαθίσταται από τις ακόλουθες δύο σειρές, και η παράγραφος 2 διατυπώνεται ως εξής:</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Στήλη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Στήλη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Στήλη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Βαρέα μέταλλα</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Οριακές τιμές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Οριακές τιμές (mg/kg ms) που αναφέρονται στο άρθρο 8 παράγραφος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«Σύνολο αρσενικού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Χρώμιο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Οι τιμές των βαρέων μετάλλων των αποβλήτων που χρησιμοποιούνται στο έδαφος καταχωρίζονται στο μητρώο γεωργικής εκμετάλλευσης που αναφέρεται στο άρθρο 5 του παρόντος βασιλικού διατάγματος.»</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Δέκατον τρίτον. Στο τέλος του πίνακα του μέρους Β του παραρτήματος IV προστίθεται η ακόλουθη σειρά με το ακόλουθο περιεχόμενο:</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«Χρώμιο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Δέκατον τέταρτον. Στο τέλος του πίνακα που παρατίθεται στην παράγραφο 1 του μέρους Γ του παραρτήματος IV προστίθεται σειρά με το ακόλουθο περιεχόμενο:</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«Χρώμιο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Δέκατον πέμπτον. Τροποποιούνται τα στοιχεία στ) και ζ) του μέρους Α του παραρτήματος V και προστίθενται δύο νέα στοιχεία η) και θ) με το ακόλουθο περιεχόμενο:</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lastRenderedPageBreak/>
        <w:t>«στ) Χρήση οξινισμένης κοπριάς ή αναστολέων ουρεάσης.</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Χρήση αναστολέων ουρεάσης ή αναστολέων νιτροποίησης, με επίβλεψη από επαγγελματία σε περίπτωση άμεσης εφαρμογής στο έδαφος.</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Λιπασματοποίηση ή βιοχώνευση που εξασφαλίζει τελική περιεκτικότητα σε αμμωνιακό άζωτο μικρότερη από 0,6 %, εκφραζόμενη σε άζωτο (N) όσον αφορά το νωπό βάρος του υλικού.</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Ταφή κοπριάς εντός των πρώτων 12 ωρών από τη χρήση, με άροτρο με υνί και ανατρεπτήρα, άροτρο με εδαφοσχίστη, περιστρεφόμενο άροτρο ή εξοπλισμό που εξασφαλίζει ισοδύναμες εργασίες, εκτός από την άμεση σπορά, τη γεωργία διατήρησης ή τους βοσκότοπους».</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Δέκατον έκτον. Στο παράρτημα VIII μέρος 1 παράγραφος 1 τα στοιχεία α) και ε) διατυπώνονται ως εξής και παρεμβάλλονται τα νέα στοιχεία ζ), η), θ) και ι), με το ακόλουθο περιεχόμενο:</w:t>
      </w:r>
    </w:p>
    <w:p w14:paraId="63F8109E" w14:textId="20477922" w:rsidR="00503C92" w:rsidRPr="00F122A6" w:rsidRDefault="0037644B" w:rsidP="00EE0D48">
      <w:pPr>
        <w:pStyle w:val="BodyText"/>
        <w:spacing w:after="140"/>
        <w:ind w:left="1560" w:right="1830"/>
        <w:jc w:val="both"/>
        <w:rPr>
          <w:sz w:val="20"/>
        </w:rPr>
      </w:pPr>
      <w:r>
        <w:rPr>
          <w:rStyle w:val="BodyTextChar"/>
          <w:sz w:val="20"/>
        </w:rPr>
        <w:t>«α) Υλικά τα οποία, χωρίς να έχουν χρησιμοποιηθεί στην παρασκευή προϊόντος λίπανσης, πληρούν όλες τις απαιτήσεις των ΚΣΥ 3, 4, 5, 6, 12, 13 και 14 του παραρτήματος II του κανονισμού (ΕΕ) 2019/1009. Για την ανάκτηση στο έδαφος ως απόβλητου, δεν είναι αναγκαία η συμμόρφωση με την απαίτηση του σημείου 2 της ΚΣΥ 1 όταν εφαρμόζεται στις κατηγορίες που αναφέρονται ανωτέρω.»</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«ε) Η ιλύς που περιλαμβάνεται στο παράρτημα I του διατάγματος AAA/1072/2013, της 7ης Ιουνίου 2013, υπό την προϋπόθεση ότι έχει υποστεί επεξεργασία σύμφωνα με τις διατάξεις του βασιλικού διατάγματος 1310/1990, της 29ης Οκτωβρίου 1990.»</w:t>
      </w:r>
    </w:p>
    <w:p w14:paraId="782CCBF9" w14:textId="77777777" w:rsidR="00503C92" w:rsidRPr="00F122A6" w:rsidRDefault="0037644B" w:rsidP="00EE0D48">
      <w:pPr>
        <w:pStyle w:val="BodyText"/>
        <w:spacing w:after="0"/>
        <w:ind w:left="1560" w:right="1830"/>
        <w:jc w:val="both"/>
        <w:rPr>
          <w:sz w:val="20"/>
        </w:rPr>
      </w:pPr>
      <w:r>
        <w:rPr>
          <w:rStyle w:val="BodyTextChar"/>
          <w:sz w:val="20"/>
        </w:rPr>
        <w:t>«ζ) Υλικά τα οποία, αν και δεν συμμορφώνονται με τις απαιτήσεις επεξεργασίας που ορίζονται στις ΚΣΥ 3, 4 και 5, κατά περίπτωση, του κανονισμού 2019/1009, πληρούν τις απαιτήσεις για τα υλικά εισροής όσον αφορά τη σταθερότητα, τις προσμείξεις και τους επιμολυντές.</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Απόβλητα ελαιοτριβείων.</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Οινολάσπη.</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Μείγματα των ανωτέρω, εφόσον τηρούνται οι πλέον αυστηροί περιορισμοί κάθε συστατικού.»</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Δέκατον έβδομον. Στο παράρτημα VIII μέρος 2, οι παράγραφοι 1 και 2 αναδιατυπώνονται και προστίθενται δύο νέες παράγραφοι 7 και 8 ως εξής:</w:t>
      </w:r>
    </w:p>
    <w:p w14:paraId="2BF2A9A1" w14:textId="77777777" w:rsidR="00503C92" w:rsidRPr="00F122A6" w:rsidRDefault="0037644B" w:rsidP="00EE0D48">
      <w:pPr>
        <w:pStyle w:val="BodyText"/>
        <w:ind w:left="1560" w:right="1830"/>
        <w:jc w:val="both"/>
        <w:rPr>
          <w:sz w:val="20"/>
        </w:rPr>
      </w:pPr>
      <w:r>
        <w:rPr>
          <w:rStyle w:val="BodyTextChar"/>
          <w:sz w:val="20"/>
        </w:rPr>
        <w:t>«1. Υλικά των ΚΣΥ 3, 4 και 5, τα οποία λαμβάνονται σύμφωνα με το παράρτημα II του κανονισμού (ΕΕ) 2019/1009 του Ευρωπαϊκού Κοινοβουλίου και του Συμβουλίου της 5ης Ιουνίου 2019:</w:t>
      </w:r>
    </w:p>
    <w:p w14:paraId="17625A3C" w14:textId="77777777" w:rsidR="00503C92" w:rsidRPr="00F122A6" w:rsidRDefault="0037644B" w:rsidP="00EE0D48">
      <w:pPr>
        <w:pStyle w:val="BodyText"/>
        <w:ind w:left="1560" w:right="1830"/>
        <w:jc w:val="both"/>
        <w:rPr>
          <w:sz w:val="20"/>
        </w:rPr>
      </w:pPr>
      <w:r>
        <w:rPr>
          <w:rStyle w:val="BodyTextChar"/>
          <w:sz w:val="20"/>
        </w:rPr>
        <w:t>Συμμορφώνονται με όλες τις απαιτήσεις του εν λόγω παραρτήματος, συμπεριλαμβανομένης της προέλευσης των υλικών εισροής, και τις ακόλουθες παραμέτρους:</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Συνολική οργανική ύλη ≥ 25 % επί ξηράς ουσίας.</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Δήλωση περιεκτικότητας σε Salmonella.</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Δήλωση περιεκτικότητας σε Escherichia coli.</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Παρέχει ανάλυση των θρεπτικών συστατικών που παρέχουν, ιδίως, άζωτο, φώσφορο (εκφρασμένο σε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και κάλιο (εκφρασμένο σε K</w:t>
      </w:r>
      <w:r>
        <w:rPr>
          <w:rStyle w:val="BodyTextChar"/>
          <w:sz w:val="20"/>
          <w:vertAlign w:val="subscript"/>
        </w:rPr>
        <w:t>2</w:t>
      </w:r>
      <w:r>
        <w:rPr>
          <w:rStyle w:val="BodyTextChar"/>
          <w:sz w:val="20"/>
        </w:rPr>
        <w:t>O), και pH και ηλεκτρική αγωγιμότητα.</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Πληροί όλες τις πρόσθετες απαιτήσεις που περιλαμβάνονται στην άδεια ανάκτησης αποβλήτων R1001.»</w:t>
      </w:r>
    </w:p>
    <w:p w14:paraId="27038D19" w14:textId="77777777" w:rsidR="00503C92" w:rsidRPr="00F122A6" w:rsidRDefault="0037644B" w:rsidP="00EE0D48">
      <w:pPr>
        <w:pStyle w:val="BodyText"/>
        <w:ind w:left="1560" w:right="1830"/>
        <w:jc w:val="both"/>
        <w:rPr>
          <w:sz w:val="20"/>
        </w:rPr>
      </w:pPr>
      <w:r>
        <w:rPr>
          <w:rStyle w:val="BodyTextChar"/>
          <w:sz w:val="20"/>
        </w:rPr>
        <w:t xml:space="preserve">2. Ομοίως, κάθε υλικό που κομποστοποιείται ή χωνεύεται, το οποίο πρόκειται να </w:t>
      </w:r>
      <w:r>
        <w:rPr>
          <w:rStyle w:val="BodyTextChar"/>
          <w:sz w:val="20"/>
        </w:rPr>
        <w:lastRenderedPageBreak/>
        <w:t>εφαρμοστεί σε γεωργικό έδαφος και λαμβάνεται από υλικά εισροής πλην εκείνων της προηγούμενης παραγράφου, συμμορφώνεται με τις απαιτήσεις προσμείξεων και σταθερότητας που καθορίζονται αντίστοιχα στην ΚΣΥ3 ή στην ΚΣΥ5 του κανονισμού (ΕΕ) 2019/1009 του Ευρωπαϊκού Κοινοβουλίου και του Συμβουλίου, της 5ης Ιουνίου 2019, επιπλέον της συμμόρφωσης με τις ακόλουθες παραμέτρους:</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Συνολική οργανική ύλη ≥ 25 % επί ξηράς ουσίας.</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Δήλωση περιεκτικότητας σε Salmonella.</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Δήλωση περιεκτικότητας σε Escherichia coli.</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Παρέχει ανάλυση των θρεπτικών συστατικών που παρέχουν, ιδίως, άζωτο, φώσφορο (εκφρασμένο σε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και κάλιο (εκφρασμένο σε K</w:t>
      </w:r>
      <w:r>
        <w:rPr>
          <w:rStyle w:val="BodyTextChar"/>
          <w:sz w:val="20"/>
          <w:vertAlign w:val="subscript"/>
        </w:rPr>
        <w:t>2</w:t>
      </w:r>
      <w:r>
        <w:rPr>
          <w:rStyle w:val="BodyTextChar"/>
          <w:sz w:val="20"/>
        </w:rPr>
        <w:t>O), και pH και ηλεκτρική αγωγιμότητα.</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Πληροί όλες τις πρόσθετες απαιτήσεις που περιλαμβάνονται στην άδεια ανάκτησης αποβλήτων R1001.»</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Απόβλητα ελαιοτριβείων.</w:t>
      </w:r>
    </w:p>
    <w:p w14:paraId="28AE5BA8" w14:textId="3B2C33EB" w:rsidR="00503C92" w:rsidRPr="00F122A6" w:rsidRDefault="0037644B" w:rsidP="00EE0D48">
      <w:pPr>
        <w:pStyle w:val="BodyText"/>
        <w:ind w:left="1560" w:right="1830"/>
        <w:jc w:val="both"/>
        <w:rPr>
          <w:sz w:val="20"/>
        </w:rPr>
      </w:pPr>
      <w:r>
        <w:rPr>
          <w:rStyle w:val="BodyTextChar"/>
          <w:sz w:val="20"/>
        </w:rPr>
        <w:t>Πρόκειται για το υγρό, το οποίο αποτελείται από το νερό πλύσης των ελιών και το νερό πλύσης των ελαίων που λαμβάνονται από το σύστημα εκχύλισης δύο σταδίων και πληροί όλες τις πρόσθετες απαιτήσεις που περιλαμβάνονται στην άδεια ανάκτησης R1001.</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Οινολάσπη.</w:t>
      </w:r>
    </w:p>
    <w:p w14:paraId="29227E47" w14:textId="2A06893C" w:rsidR="00503C92" w:rsidRPr="00F122A6" w:rsidRDefault="0037644B" w:rsidP="00EE0D48">
      <w:pPr>
        <w:pStyle w:val="BodyText"/>
        <w:ind w:left="1560" w:right="1830"/>
        <w:jc w:val="both"/>
        <w:rPr>
          <w:sz w:val="20"/>
        </w:rPr>
      </w:pPr>
      <w:r>
        <w:rPr>
          <w:rStyle w:val="BodyTextChar"/>
          <w:sz w:val="20"/>
        </w:rPr>
        <w:t>Πρόκειται για οργανικά ιζήματα, αποτελούμενα από ζυμομύκητες, βακτήρια και άλλες υπολειμματικές ουσίες, τα οποία σχηματίζονται κατά τη διάρκεια της οινοποίησης και πρέπει να πληρούν όλες τις πρόσθετες απαιτήσεις που περιλαμβάνονται στην άδεια ανάκτησης R1001.»</w:t>
      </w:r>
    </w:p>
    <w:p w14:paraId="2B531F85" w14:textId="45C3DAE0" w:rsidR="00503C92" w:rsidRPr="00F122A6" w:rsidRDefault="0037644B" w:rsidP="00EE0D48">
      <w:pPr>
        <w:pStyle w:val="BodyText"/>
        <w:ind w:left="1560" w:right="1830"/>
        <w:jc w:val="both"/>
        <w:rPr>
          <w:sz w:val="20"/>
        </w:rPr>
      </w:pPr>
      <w:r>
        <w:rPr>
          <w:rStyle w:val="BodyTextChar"/>
          <w:sz w:val="20"/>
        </w:rPr>
        <w:t>Δέκατον όγδοον. Οι παράγραφοι 1 και 4 του παραρτήματος IX διατυπώνονται ως εξής:</w:t>
      </w:r>
    </w:p>
    <w:p w14:paraId="2EECEDDC" w14:textId="333324DB" w:rsidR="00503C92" w:rsidRPr="00F122A6" w:rsidRDefault="0037644B" w:rsidP="00EE0D48">
      <w:pPr>
        <w:pStyle w:val="BodyText"/>
        <w:spacing w:after="0"/>
        <w:ind w:left="1560" w:right="1830"/>
        <w:jc w:val="both"/>
        <w:rPr>
          <w:sz w:val="20"/>
        </w:rPr>
      </w:pPr>
      <w:r>
        <w:rPr>
          <w:rStyle w:val="BodyTextChar"/>
          <w:sz w:val="20"/>
        </w:rPr>
        <w:t>«1. Γενικά, η δοσολογία και η συχνότητα της άρδευσης προσαρμόζονται στις ανάγκες της καλλιέργειας και στην ικανότητα συγκράτησης υγρασίας του εδάφους, ώστε να αποφεύγεται η απώλεια θρεπτικών ουσιών με έκπλυση, με βάση αναφοράς τις συστάσεις των συμβουλευτικών υπηρεσιών προς τον αρδευτικό φορέα της Αυτόνομης Κοινότητας ή το Γεωργοκλιματικό Σύστημα Πληροφόρησης για την Άρδευση (SIAR) του Υπουργείου Γεωργίας, Αλιείας και Τροφίμων, στην περίπτωση που βρίσκεται στις αυτόνομες κοινότητες στις οποίες λειτουργεί οποιαδήποτε από αυτές· συνιστάται η χρήση αισθητήρων για τον έλεγχο της υγρασίας του εδάφους, ως υποστηρικτικό εργαλείο για τη γνώση της κατάστασης του εδάφους.  Σε περίπτωση που το υλικό που χρησιμοποιείται για τη λίπανση παρέχει από μόνο του σημαντική ποσότητα νερού στην καλλιέργεια (π.χ. όταν χρησιμοποιείται υγρή κοπριά), ο όγκος του νερού που ενσωματώνεται σε αυτήν λαμβάνεται υπόψη για τον υπολογισμό της δόσης του αρδευτικού νερού και της συχνότητας εφαρμογής του.»</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Σε καλλιέργειες με τοπική άρδευση, η λίπανση θα πραγματοποιείται με τη διάλυση των θρεπτικών συστατικών στο νερό άρδευσης και την εφαρμογή τους στο έδαφος μέσω του νερού. Αυτές θα χορηγούνται κλασματικά, κατά τη διάρκεια της βλαστικής δραστηριότητας της καλλιέργειας, ενώ οι συγκεντρώσεις και οι μερικές ποσότητες που συνεισφέρουν μπορούν να προσαρμοστούν στους χρόνους μέγιστης απαίτησης εντός του κύκλου καλλιέργειας.»</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Μοναδική τελική διάταξη. </w:t>
      </w:r>
      <w:r>
        <w:rPr>
          <w:rStyle w:val="BodyTextChar"/>
          <w:i/>
          <w:sz w:val="20"/>
        </w:rPr>
        <w:t>Έναρξη ισχύος.</w:t>
      </w:r>
    </w:p>
    <w:p w14:paraId="79EF3419" w14:textId="77777777" w:rsidR="00503C92" w:rsidRPr="00F122A6" w:rsidRDefault="0037644B" w:rsidP="00EE0D48">
      <w:pPr>
        <w:pStyle w:val="BodyText"/>
        <w:ind w:left="1560" w:right="1830"/>
        <w:jc w:val="both"/>
        <w:rPr>
          <w:sz w:val="20"/>
        </w:rPr>
      </w:pPr>
      <w:r>
        <w:rPr>
          <w:rStyle w:val="BodyTextChar"/>
          <w:sz w:val="20"/>
        </w:rPr>
        <w:t xml:space="preserve">Το παρόν βασιλικό διάταγμα αρχίζει να ισχύει την επομένη της δημοσίευσής του στην </w:t>
      </w:r>
      <w:r>
        <w:rPr>
          <w:rStyle w:val="BodyTextChar"/>
          <w:sz w:val="20"/>
        </w:rPr>
        <w:lastRenderedPageBreak/>
        <w:t>«Επίσημη Εφημερίδα της Κυβέρνησης».</w:t>
      </w:r>
    </w:p>
    <w:p w14:paraId="68AE9113" w14:textId="77777777" w:rsidR="00503C92" w:rsidRPr="00F122A6" w:rsidRDefault="0037644B" w:rsidP="00EE0D48">
      <w:pPr>
        <w:pStyle w:val="BodyText"/>
        <w:ind w:left="1560" w:right="1830"/>
        <w:jc w:val="both"/>
        <w:rPr>
          <w:sz w:val="20"/>
        </w:rPr>
      </w:pPr>
      <w:r>
        <w:rPr>
          <w:rStyle w:val="BodyTextChar"/>
          <w:sz w:val="20"/>
        </w:rPr>
        <w:t>Συντάχθηκε στη Μαδρίτη, στις 27 Αυγούστου 2024.</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Ο Υπουργός Γεωργίας, Αλιείας και Τροφίμων,</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77777777" w:rsidR="0037644B" w:rsidRDefault="0037644B" w:rsidP="00EE0D48">
      <w:pPr>
        <w:pStyle w:val="Bodytext30"/>
        <w:spacing w:line="319" w:lineRule="auto"/>
        <w:ind w:left="1560" w:right="1830"/>
        <w:jc w:val="center"/>
        <w:rPr>
          <w:rStyle w:val="Bodytext3"/>
        </w:rPr>
      </w:pPr>
    </w:p>
    <w:p w14:paraId="61F764BC" w14:textId="77777777" w:rsidR="0037644B" w:rsidRDefault="0037644B" w:rsidP="00EE0D48">
      <w:pPr>
        <w:pStyle w:val="Bodytext30"/>
        <w:spacing w:line="319" w:lineRule="auto"/>
        <w:ind w:left="1560" w:right="1830"/>
        <w:jc w:val="center"/>
        <w:rPr>
          <w:rStyle w:val="Bodytext3"/>
        </w:rPr>
      </w:pPr>
    </w:p>
    <w:p w14:paraId="3E44A77D" w14:textId="77777777" w:rsidR="0037644B" w:rsidRDefault="0037644B" w:rsidP="00EE0D48">
      <w:pPr>
        <w:pStyle w:val="Bodytext30"/>
        <w:spacing w:line="319" w:lineRule="auto"/>
        <w:ind w:left="1560" w:right="1830"/>
        <w:jc w:val="center"/>
        <w:rPr>
          <w:sz w:val="20"/>
          <w:szCs w:val="19"/>
        </w:rPr>
      </w:pPr>
    </w:p>
    <w:p w14:paraId="1827295C" w14:textId="77777777" w:rsidR="0037644B" w:rsidRDefault="0037644B" w:rsidP="00EE0D48">
      <w:pPr>
        <w:pStyle w:val="Bodytext30"/>
        <w:spacing w:line="319" w:lineRule="auto"/>
        <w:ind w:left="1560" w:right="1830"/>
        <w:jc w:val="center"/>
        <w:rPr>
          <w:sz w:val="20"/>
          <w:szCs w:val="19"/>
        </w:rPr>
      </w:pPr>
    </w:p>
    <w:p w14:paraId="5A349AF9" w14:textId="77777777" w:rsidR="0037644B" w:rsidRDefault="0037644B" w:rsidP="00EE0D48">
      <w:pPr>
        <w:pStyle w:val="Bodytext30"/>
        <w:spacing w:line="319" w:lineRule="auto"/>
        <w:ind w:left="1560" w:right="1830"/>
        <w:jc w:val="center"/>
        <w:rPr>
          <w:sz w:val="20"/>
          <w:szCs w:val="19"/>
        </w:rPr>
      </w:pPr>
    </w:p>
    <w:p w14:paraId="013E16BD" w14:textId="77777777" w:rsidR="0037644B" w:rsidRDefault="0037644B" w:rsidP="00EE0D48">
      <w:pPr>
        <w:pStyle w:val="Bodytext30"/>
        <w:spacing w:line="319" w:lineRule="auto"/>
        <w:ind w:left="1560" w:right="1830"/>
        <w:jc w:val="center"/>
        <w:rPr>
          <w:sz w:val="20"/>
          <w:szCs w:val="19"/>
        </w:rPr>
      </w:pPr>
    </w:p>
    <w:p w14:paraId="47D23BCC" w14:textId="77777777" w:rsidR="0037644B" w:rsidRDefault="0037644B" w:rsidP="00EE0D48">
      <w:pPr>
        <w:pStyle w:val="Bodytext30"/>
        <w:spacing w:line="319" w:lineRule="auto"/>
        <w:ind w:left="1560" w:right="1830"/>
        <w:jc w:val="center"/>
        <w:rPr>
          <w:sz w:val="20"/>
          <w:szCs w:val="19"/>
        </w:rPr>
      </w:pPr>
    </w:p>
    <w:p w14:paraId="08EBBFCD" w14:textId="77777777" w:rsidR="0037644B" w:rsidRDefault="0037644B" w:rsidP="00EE0D48">
      <w:pPr>
        <w:pStyle w:val="Bodytext30"/>
        <w:spacing w:line="319" w:lineRule="auto"/>
        <w:ind w:left="1560" w:right="1830"/>
        <w:jc w:val="center"/>
        <w:rPr>
          <w:sz w:val="20"/>
          <w:szCs w:val="19"/>
        </w:rPr>
      </w:pPr>
    </w:p>
    <w:p w14:paraId="78E11E5C" w14:textId="77777777" w:rsidR="0037644B" w:rsidRDefault="0037644B" w:rsidP="00EE0D48">
      <w:pPr>
        <w:pStyle w:val="Bodytext30"/>
        <w:spacing w:line="319" w:lineRule="auto"/>
        <w:ind w:left="1560" w:right="1830"/>
        <w:jc w:val="center"/>
        <w:rPr>
          <w:sz w:val="20"/>
          <w:szCs w:val="19"/>
        </w:rPr>
      </w:pPr>
    </w:p>
    <w:p w14:paraId="6D570AF4" w14:textId="77777777" w:rsidR="0037644B" w:rsidRDefault="0037644B" w:rsidP="00EE0D48">
      <w:pPr>
        <w:pStyle w:val="Bodytext30"/>
        <w:spacing w:line="319" w:lineRule="auto"/>
        <w:ind w:left="1560" w:right="1830"/>
        <w:jc w:val="center"/>
        <w:rPr>
          <w:sz w:val="20"/>
          <w:szCs w:val="19"/>
        </w:rPr>
      </w:pPr>
    </w:p>
    <w:p w14:paraId="672532C9" w14:textId="77777777" w:rsidR="0037644B" w:rsidRDefault="0037644B" w:rsidP="00EE0D48">
      <w:pPr>
        <w:pStyle w:val="Bodytext30"/>
        <w:spacing w:line="319" w:lineRule="auto"/>
        <w:ind w:left="1560" w:right="1830"/>
        <w:jc w:val="center"/>
        <w:rPr>
          <w:sz w:val="20"/>
          <w:szCs w:val="19"/>
        </w:rPr>
      </w:pPr>
    </w:p>
    <w:p w14:paraId="1E0DDD30" w14:textId="77777777" w:rsidR="0037644B" w:rsidRDefault="0037644B" w:rsidP="00EE0D48">
      <w:pPr>
        <w:pStyle w:val="Bodytext30"/>
        <w:spacing w:line="319" w:lineRule="auto"/>
        <w:ind w:left="1560" w:right="1830"/>
        <w:jc w:val="center"/>
        <w:rPr>
          <w:sz w:val="20"/>
          <w:szCs w:val="19"/>
        </w:rPr>
      </w:pPr>
    </w:p>
    <w:p w14:paraId="1DC8D61F" w14:textId="77777777" w:rsidR="0037644B" w:rsidRDefault="0037644B" w:rsidP="00EE0D48">
      <w:pPr>
        <w:pStyle w:val="Bodytext30"/>
        <w:spacing w:line="319" w:lineRule="auto"/>
        <w:ind w:left="1560" w:right="1830"/>
        <w:jc w:val="center"/>
        <w:rPr>
          <w:sz w:val="20"/>
          <w:szCs w:val="19"/>
        </w:rPr>
      </w:pPr>
    </w:p>
    <w:p w14:paraId="585369E3" w14:textId="77777777" w:rsidR="0037644B" w:rsidRDefault="0037644B" w:rsidP="00EE0D48">
      <w:pPr>
        <w:pStyle w:val="Bodytext30"/>
        <w:spacing w:line="319" w:lineRule="auto"/>
        <w:ind w:left="1560" w:right="1830"/>
        <w:jc w:val="center"/>
        <w:rPr>
          <w:sz w:val="20"/>
          <w:szCs w:val="19"/>
        </w:rPr>
      </w:pPr>
    </w:p>
    <w:p w14:paraId="39068B9D" w14:textId="39B94AF9" w:rsidR="0037644B" w:rsidRPr="00F122A6" w:rsidRDefault="0037644B" w:rsidP="00EE0D48">
      <w:pPr>
        <w:pStyle w:val="Bodytext30"/>
        <w:spacing w:line="319" w:lineRule="auto"/>
        <w:ind w:left="1560" w:right="1830"/>
        <w:jc w:val="center"/>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006A2CC1">
                <wp:simplePos x="0" y="0"/>
                <wp:positionH relativeFrom="page">
                  <wp:posOffset>292100</wp:posOffset>
                </wp:positionH>
                <wp:positionV relativeFrom="paragraph">
                  <wp:posOffset>4572000</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4510"/>
                              <w:gridCol w:w="2886"/>
                            </w:tblGrid>
                            <w:tr w:rsidR="00F122A6" w14:paraId="4C7B1FE4" w14:textId="77777777" w:rsidTr="001A30DD">
                              <w:tc>
                                <w:tcPr>
                                  <w:tcW w:w="3234" w:type="dxa"/>
                                  <w:vAlign w:val="bottom"/>
                                </w:tcPr>
                                <w:p w14:paraId="200D134E" w14:textId="77777777" w:rsidR="00F122A6" w:rsidRPr="001A30DD" w:rsidRDefault="00EF6727"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ΕΠΙΣΗΜΗ ΕΦΗΜΕΡΙΔΑ</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23pt;margin-top:5in;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4510"/>
                        <w:gridCol w:w="2886"/>
                      </w:tblGrid>
                      <w:tr w:rsidR="00F122A6" w14:paraId="4C7B1FE4" w14:textId="77777777" w:rsidTr="001A30DD">
                        <w:tc>
                          <w:tcPr>
                            <w:tcW w:w="3234" w:type="dxa"/>
                            <w:vAlign w:val="bottom"/>
                          </w:tcPr>
                          <w:p w14:paraId="200D134E" w14:textId="77777777" w:rsidR="00F122A6" w:rsidRPr="001A30DD" w:rsidRDefault="00EF6727"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ΕΠΙΣΗΜΗ ΕΦΗΜΕΡΙΔΑ</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RPr="00F122A6"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1F0F" w14:textId="77777777" w:rsidR="00EF6727" w:rsidRDefault="00EF6727">
      <w:r>
        <w:separator/>
      </w:r>
    </w:p>
  </w:endnote>
  <w:endnote w:type="continuationSeparator" w:id="0">
    <w:p w14:paraId="2D30C2A8" w14:textId="77777777" w:rsidR="00EF6727" w:rsidRDefault="00EF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Διατίθεται στον ιστότοπο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Διατίθεται στον ιστότοπο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916F" w14:textId="77777777" w:rsidR="00EF6727" w:rsidRDefault="00EF6727"/>
  </w:footnote>
  <w:footnote w:type="continuationSeparator" w:id="0">
    <w:p w14:paraId="6CDFFB9B" w14:textId="77777777" w:rsidR="00EF6727" w:rsidRDefault="00EF6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ΕΠΙΣΗΜΗ ΕΦΗΜΕΡΙΔΑ</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Αριθ.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28/8/2024</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Τμήμα Ι. Σελίδα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7644B"/>
    <w:rsid w:val="003A02E8"/>
    <w:rsid w:val="00503C92"/>
    <w:rsid w:val="00695D6F"/>
    <w:rsid w:val="007C7F14"/>
    <w:rsid w:val="008A217F"/>
    <w:rsid w:val="008D51C9"/>
    <w:rsid w:val="00973FEB"/>
    <w:rsid w:val="00A51493"/>
    <w:rsid w:val="00BB487E"/>
    <w:rsid w:val="00C10FCF"/>
    <w:rsid w:val="00D63EC6"/>
    <w:rsid w:val="00EE0D48"/>
    <w:rsid w:val="00EF6727"/>
    <w:rsid w:val="00F122A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l-GR"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3169</Words>
  <Characters>18731</Characters>
  <Application>Microsoft Office Word</Application>
  <DocSecurity>0</DocSecurity>
  <Lines>360</Lines>
  <Paragraphs>124</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2024-10-10T11:11:00Z</dcterms:created>
  <dcterms:modified xsi:type="dcterms:W3CDTF">2024-10-10T11:11:00Z</dcterms:modified>
</cp:coreProperties>
</file>