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CA33" w14:textId="77777777" w:rsidR="008A5F8E" w:rsidRDefault="008A5F8E">
      <w:pPr>
        <w:tabs>
          <w:tab w:val="center" w:pos="4153"/>
          <w:tab w:val="right" w:pos="8306"/>
        </w:tabs>
        <w:rPr>
          <w:rFonts w:ascii="TimesLT" w:hAnsi="TimesLT"/>
          <w:lang w:val="en-US"/>
        </w:rPr>
      </w:pPr>
    </w:p>
    <w:p w14:paraId="27BBCFE2" w14:textId="77777777" w:rsidR="008A5F8E" w:rsidRDefault="002B5F3C">
      <w:pPr>
        <w:jc w:val="center"/>
        <w:rPr>
          <w:caps/>
          <w:sz w:val="22"/>
        </w:rPr>
      </w:pPr>
      <w:r>
        <w:rPr>
          <w:caps/>
          <w:noProof/>
        </w:rPr>
        <w:drawing>
          <wp:inline distT="0" distB="0" distL="0" distR="0" wp14:anchorId="609FF082" wp14:editId="72DA9D57">
            <wp:extent cx="596265" cy="699770"/>
            <wp:effectExtent l="0" t="0" r="0" b="5080"/>
            <wp:docPr id="1" name="Paveikslėlis 1" descr="C:\Documents and Settings\lipetr\My Documents\Vyti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petr\My Documents\Vytis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2E445" w14:textId="77777777" w:rsidR="008A5F8E" w:rsidRDefault="008A5F8E">
      <w:pPr>
        <w:jc w:val="center"/>
        <w:rPr>
          <w:caps/>
          <w:sz w:val="12"/>
          <w:szCs w:val="12"/>
        </w:rPr>
      </w:pPr>
    </w:p>
    <w:p w14:paraId="349C1CBC" w14:textId="77777777" w:rsidR="008A5F8E" w:rsidRDefault="002B5F3C">
      <w:pPr>
        <w:jc w:val="center"/>
        <w:rPr>
          <w:b/>
          <w:bCs/>
          <w:caps/>
        </w:rPr>
      </w:pPr>
      <w:r>
        <w:rPr>
          <w:b/>
          <w:caps/>
        </w:rPr>
        <w:t>ZÁKON LITEVSKÉ REPUBLIKY,</w:t>
      </w:r>
    </w:p>
    <w:p w14:paraId="640720E7" w14:textId="77777777" w:rsidR="008A5F8E" w:rsidRDefault="002B5F3C">
      <w:pPr>
        <w:jc w:val="center"/>
        <w:rPr>
          <w:b/>
          <w:caps/>
        </w:rPr>
      </w:pPr>
      <w:r>
        <w:rPr>
          <w:b/>
          <w:caps/>
        </w:rPr>
        <w:t>KTERÝM SE MĚNÍ ČLÁNKY 2, 4 A 8 ZÁKONA Č. XII-336 O TECHNICKÉM KONOPÍ</w:t>
      </w:r>
    </w:p>
    <w:p w14:paraId="00861823" w14:textId="77777777" w:rsidR="008A5F8E" w:rsidRDefault="002B5F3C">
      <w:pPr>
        <w:jc w:val="center"/>
        <w:rPr>
          <w:caps/>
        </w:rPr>
      </w:pPr>
      <w:r>
        <w:rPr>
          <w:b/>
          <w:caps/>
        </w:rPr>
        <w:t>...................</w:t>
      </w:r>
    </w:p>
    <w:p w14:paraId="33589E81" w14:textId="77777777" w:rsidR="008A5F8E" w:rsidRDefault="008A5F8E">
      <w:pPr>
        <w:jc w:val="center"/>
        <w:rPr>
          <w:b/>
          <w:caps/>
        </w:rPr>
      </w:pPr>
    </w:p>
    <w:p w14:paraId="69C57FA5" w14:textId="77777777" w:rsidR="008A5F8E" w:rsidRDefault="002B5F3C">
      <w:pPr>
        <w:jc w:val="center"/>
        <w:rPr>
          <w:szCs w:val="24"/>
        </w:rPr>
      </w:pPr>
      <w:r>
        <w:t>č. XIV-3031 ze dne 15. října 2024</w:t>
      </w:r>
    </w:p>
    <w:p w14:paraId="58BEDEE7" w14:textId="77777777" w:rsidR="008A5F8E" w:rsidRDefault="002B5F3C">
      <w:pPr>
        <w:jc w:val="center"/>
        <w:rPr>
          <w:szCs w:val="24"/>
        </w:rPr>
      </w:pPr>
      <w:r>
        <w:t>Vilnius</w:t>
      </w:r>
    </w:p>
    <w:p w14:paraId="2D7A331D" w14:textId="77777777" w:rsidR="008A5F8E" w:rsidRDefault="008A5F8E">
      <w:pPr>
        <w:jc w:val="center"/>
        <w:rPr>
          <w:sz w:val="22"/>
        </w:rPr>
      </w:pPr>
    </w:p>
    <w:p w14:paraId="4407A84A" w14:textId="77777777" w:rsidR="008A5F8E" w:rsidRDefault="008A5F8E">
      <w:pPr>
        <w:spacing w:line="360" w:lineRule="auto"/>
        <w:ind w:firstLine="720"/>
        <w:jc w:val="both"/>
        <w:rPr>
          <w:sz w:val="16"/>
          <w:szCs w:val="16"/>
        </w:rPr>
      </w:pPr>
    </w:p>
    <w:p w14:paraId="74D00708" w14:textId="77777777" w:rsidR="008A5F8E" w:rsidRDefault="008A5F8E">
      <w:pPr>
        <w:spacing w:line="360" w:lineRule="auto"/>
        <w:ind w:firstLine="720"/>
        <w:jc w:val="both"/>
        <w:sectPr w:rsidR="008A5F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851" w:bottom="1134" w:left="1701" w:header="706" w:footer="706" w:gutter="0"/>
          <w:cols w:space="1296"/>
          <w:titlePg/>
        </w:sectPr>
      </w:pPr>
    </w:p>
    <w:p w14:paraId="6BAAAA2D" w14:textId="77777777" w:rsidR="008A5F8E" w:rsidRPr="00A57CE9" w:rsidRDefault="008A5F8E">
      <w:pPr>
        <w:tabs>
          <w:tab w:val="center" w:pos="4153"/>
          <w:tab w:val="right" w:pos="8306"/>
        </w:tabs>
        <w:rPr>
          <w:rFonts w:ascii="TimesLT" w:hAnsi="TimesLT"/>
        </w:rPr>
      </w:pPr>
    </w:p>
    <w:p w14:paraId="0D4F6C53" w14:textId="003CE674" w:rsidR="008A5F8E" w:rsidRDefault="002B5F3C">
      <w:pPr>
        <w:spacing w:line="360" w:lineRule="auto"/>
        <w:ind w:firstLine="720"/>
        <w:jc w:val="both"/>
        <w:rPr>
          <w:b/>
          <w:szCs w:val="24"/>
        </w:rPr>
      </w:pPr>
      <w:r>
        <w:rPr>
          <w:b/>
        </w:rPr>
        <w:t xml:space="preserve">Článek 1. Změna článku 2 </w:t>
      </w:r>
    </w:p>
    <w:p w14:paraId="3AFB55E3" w14:textId="77777777" w:rsidR="008A5F8E" w:rsidRDefault="002B5F3C">
      <w:pPr>
        <w:spacing w:line="360" w:lineRule="auto"/>
        <w:ind w:firstLine="720"/>
        <w:jc w:val="both"/>
        <w:rPr>
          <w:szCs w:val="24"/>
        </w:rPr>
      </w:pPr>
      <w:r>
        <w:t>K článku 2 se přidává níže uvedený odstavec 18:</w:t>
      </w:r>
    </w:p>
    <w:p w14:paraId="571AC5F9" w14:textId="77777777" w:rsidR="008A5F8E" w:rsidRDefault="002B5F3C">
      <w:pPr>
        <w:spacing w:line="360" w:lineRule="auto"/>
        <w:ind w:firstLine="720"/>
        <w:jc w:val="both"/>
        <w:rPr>
          <w:szCs w:val="24"/>
        </w:rPr>
      </w:pPr>
      <w:r>
        <w:t xml:space="preserve">„18. </w:t>
      </w:r>
      <w:r>
        <w:rPr>
          <w:b/>
        </w:rPr>
        <w:t>Hospodářský subjekt</w:t>
      </w:r>
      <w:r>
        <w:t xml:space="preserve"> – ve smyslu zákona o veřejné správě Litevské republiky.“</w:t>
      </w:r>
    </w:p>
    <w:p w14:paraId="3929B980" w14:textId="77777777" w:rsidR="008A5F8E" w:rsidRDefault="008A5F8E">
      <w:pPr>
        <w:spacing w:line="360" w:lineRule="auto"/>
        <w:ind w:firstLine="720"/>
        <w:jc w:val="both"/>
        <w:rPr>
          <w:szCs w:val="24"/>
        </w:rPr>
      </w:pPr>
    </w:p>
    <w:p w14:paraId="10BE2763" w14:textId="77777777" w:rsidR="008A5F8E" w:rsidRDefault="002B5F3C">
      <w:pPr>
        <w:spacing w:line="360" w:lineRule="auto"/>
        <w:ind w:firstLine="720"/>
        <w:jc w:val="both"/>
        <w:rPr>
          <w:b/>
          <w:szCs w:val="24"/>
        </w:rPr>
      </w:pPr>
      <w:r>
        <w:rPr>
          <w:b/>
        </w:rPr>
        <w:t>Článek 2. Změna článku 4</w:t>
      </w:r>
    </w:p>
    <w:p w14:paraId="69F9CA2B" w14:textId="77777777" w:rsidR="008A5F8E" w:rsidRDefault="002B5F3C">
      <w:pPr>
        <w:spacing w:line="360" w:lineRule="auto"/>
        <w:ind w:firstLine="720"/>
        <w:jc w:val="both"/>
        <w:rPr>
          <w:szCs w:val="24"/>
        </w:rPr>
      </w:pPr>
      <w:r>
        <w:t>Ustanovení čl. 4 odst. 3 se zrušuje.</w:t>
      </w:r>
    </w:p>
    <w:p w14:paraId="2ECDBF38" w14:textId="77777777" w:rsidR="008A5F8E" w:rsidRDefault="008A5F8E">
      <w:pPr>
        <w:spacing w:line="360" w:lineRule="auto"/>
        <w:ind w:firstLine="720"/>
        <w:jc w:val="both"/>
        <w:rPr>
          <w:szCs w:val="24"/>
        </w:rPr>
      </w:pPr>
    </w:p>
    <w:p w14:paraId="262D9AE4" w14:textId="6DF3FDA6" w:rsidR="008A5F8E" w:rsidRDefault="002960DB">
      <w:pPr>
        <w:spacing w:line="360" w:lineRule="auto"/>
        <w:ind w:firstLine="720"/>
        <w:jc w:val="both"/>
        <w:rPr>
          <w:b/>
          <w:szCs w:val="24"/>
        </w:rPr>
      </w:pPr>
      <w:r>
        <w:rPr>
          <w:b/>
        </w:rPr>
        <w:t>Článek 3. Změna článku 8</w:t>
      </w:r>
    </w:p>
    <w:p w14:paraId="3E9BE49C" w14:textId="77777777" w:rsidR="008A5F8E" w:rsidRDefault="002B5F3C">
      <w:pPr>
        <w:spacing w:line="360" w:lineRule="auto"/>
        <w:ind w:firstLine="720"/>
        <w:jc w:val="both"/>
        <w:rPr>
          <w:szCs w:val="24"/>
        </w:rPr>
      </w:pPr>
      <w:r>
        <w:t>Čl. 8 odst. 1 bod 2 se mění takto:</w:t>
      </w:r>
    </w:p>
    <w:p w14:paraId="7D9E0EF5" w14:textId="77777777" w:rsidR="008A5F8E" w:rsidRDefault="002B5F3C">
      <w:pPr>
        <w:spacing w:line="360" w:lineRule="auto"/>
        <w:ind w:firstLine="720"/>
        <w:jc w:val="both"/>
        <w:rPr>
          <w:szCs w:val="24"/>
        </w:rPr>
      </w:pPr>
      <w:r>
        <w:t>„2) dovážet pouze takové produkty technického konopí, které jsou získány z legalizovaných odrůd, jsou uvedeny v čl. 5 odst. 1 tohoto zákona a splňují požadavky stanovené v článku 189 nařízení (EU) č. 1308/2013. Toto ustanovení se nevztahuje na vědecké a výzkumné instituce nebo hospodářské subjekty, které dovážejí až 6 kg semen technického konopí dané odrůdy k výsevu v jednom kalendářním roce za účelem vědeckého pokusu nebo selekce a pro účely studie úřadu ohledně ekonomické hodnoty odrůd s cílem zařadit je na vnitrostátní seznam odrůd;“</w:t>
      </w:r>
    </w:p>
    <w:p w14:paraId="33B0C87D" w14:textId="77777777" w:rsidR="008A5F8E" w:rsidRDefault="008A5F8E">
      <w:pPr>
        <w:spacing w:line="360" w:lineRule="auto"/>
        <w:ind w:firstLine="720"/>
        <w:jc w:val="both"/>
        <w:rPr>
          <w:szCs w:val="24"/>
        </w:rPr>
      </w:pPr>
    </w:p>
    <w:p w14:paraId="20082413" w14:textId="4CF99A87" w:rsidR="008A5F8E" w:rsidRDefault="002960DB">
      <w:pPr>
        <w:spacing w:line="360" w:lineRule="auto"/>
        <w:ind w:firstLine="720"/>
        <w:jc w:val="both"/>
        <w:rPr>
          <w:b/>
          <w:szCs w:val="24"/>
        </w:rPr>
      </w:pPr>
      <w:r>
        <w:rPr>
          <w:b/>
        </w:rPr>
        <w:t>Článek 4. Nabytí účinnosti a provedení zákona</w:t>
      </w:r>
    </w:p>
    <w:p w14:paraId="735CBD5F" w14:textId="77777777" w:rsidR="008A5F8E" w:rsidRDefault="002B5F3C">
      <w:pPr>
        <w:spacing w:line="360" w:lineRule="auto"/>
        <w:ind w:firstLine="720"/>
        <w:jc w:val="both"/>
        <w:rPr>
          <w:szCs w:val="24"/>
        </w:rPr>
      </w:pPr>
      <w:r>
        <w:t>1. Tento zákon, s výjimkou odstavce 2 tohoto článku, nabývá účinnosti dne 1. ledna 2025.</w:t>
      </w:r>
    </w:p>
    <w:p w14:paraId="47D9E8DC" w14:textId="77777777" w:rsidR="008A5F8E" w:rsidRDefault="002B5F3C">
      <w:pPr>
        <w:spacing w:line="360" w:lineRule="auto"/>
        <w:ind w:firstLine="720"/>
        <w:jc w:val="both"/>
        <w:rPr>
          <w:szCs w:val="24"/>
        </w:rPr>
      </w:pPr>
      <w:r>
        <w:t>2. Ministr zemědělství přijme právní předpisy nezbytné k provedení tohoto zákona do 31. prosince 2024.</w:t>
      </w:r>
    </w:p>
    <w:p w14:paraId="0DC729CD" w14:textId="77777777" w:rsidR="008A5F8E" w:rsidRDefault="008A5F8E">
      <w:pPr>
        <w:spacing w:line="360" w:lineRule="auto"/>
        <w:ind w:firstLine="720"/>
        <w:jc w:val="both"/>
        <w:rPr>
          <w:i/>
          <w:szCs w:val="24"/>
        </w:rPr>
      </w:pPr>
    </w:p>
    <w:p w14:paraId="2C9B43D6" w14:textId="77777777" w:rsidR="008A5F8E" w:rsidRDefault="002B5F3C">
      <w:pPr>
        <w:spacing w:line="360" w:lineRule="auto"/>
        <w:ind w:firstLine="720"/>
        <w:jc w:val="both"/>
        <w:rPr>
          <w:i/>
          <w:szCs w:val="24"/>
        </w:rPr>
      </w:pPr>
      <w:r>
        <w:rPr>
          <w:i/>
        </w:rPr>
        <w:t>Tímto prohlašuji, že tento zákon byl schválen parlamentem (Seimas) Litevské republiky.</w:t>
      </w:r>
    </w:p>
    <w:p w14:paraId="5B864294" w14:textId="77777777" w:rsidR="008A5F8E" w:rsidRDefault="008A5F8E">
      <w:pPr>
        <w:spacing w:line="360" w:lineRule="auto"/>
        <w:rPr>
          <w:i/>
          <w:szCs w:val="24"/>
        </w:rPr>
      </w:pPr>
    </w:p>
    <w:p w14:paraId="48B51FCD" w14:textId="77777777" w:rsidR="008A5F8E" w:rsidRDefault="008A5F8E">
      <w:pPr>
        <w:spacing w:line="360" w:lineRule="auto"/>
        <w:rPr>
          <w:i/>
          <w:szCs w:val="24"/>
        </w:rPr>
      </w:pPr>
    </w:p>
    <w:p w14:paraId="6791D4DC" w14:textId="77777777" w:rsidR="008A5F8E" w:rsidRDefault="002B5F3C">
      <w:pPr>
        <w:tabs>
          <w:tab w:val="right" w:pos="9356"/>
        </w:tabs>
      </w:pPr>
      <w:r>
        <w:lastRenderedPageBreak/>
        <w:t>Prezident republiky</w:t>
      </w:r>
      <w:r>
        <w:rPr>
          <w:caps/>
        </w:rPr>
        <w:tab/>
      </w:r>
      <w:r>
        <w:t>Gitanas Nausėda</w:t>
      </w:r>
    </w:p>
    <w:sectPr w:rsidR="008A5F8E">
      <w:type w:val="continuous"/>
      <w:pgSz w:w="11907" w:h="16840" w:code="9"/>
      <w:pgMar w:top="1134" w:right="851" w:bottom="1134" w:left="1701" w:header="706" w:footer="70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F8D9" w14:textId="77777777" w:rsidR="00F03B60" w:rsidRDefault="00F03B60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separator/>
      </w:r>
    </w:p>
  </w:endnote>
  <w:endnote w:type="continuationSeparator" w:id="0">
    <w:p w14:paraId="590368A6" w14:textId="77777777" w:rsidR="00F03B60" w:rsidRDefault="00F03B60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7650" w14:textId="77777777" w:rsidR="008A5F8E" w:rsidRDefault="002B5F3C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0DA5C012" w14:textId="77777777" w:rsidR="008A5F8E" w:rsidRDefault="008A5F8E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C2F5" w14:textId="77777777" w:rsidR="008A5F8E" w:rsidRDefault="002B5F3C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separate"/>
    </w:r>
    <w:r>
      <w:rPr>
        <w:rFonts w:ascii="TimesLT" w:hAnsi="TimesLT"/>
      </w:rPr>
      <w:t>2</w:t>
    </w:r>
    <w:r>
      <w:rPr>
        <w:rFonts w:ascii="TimesLT" w:hAnsi="TimesLT"/>
      </w:rPr>
      <w:fldChar w:fldCharType="end"/>
    </w:r>
  </w:p>
  <w:p w14:paraId="698DEA52" w14:textId="77777777" w:rsidR="008A5F8E" w:rsidRDefault="008A5F8E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F30C" w14:textId="77777777" w:rsidR="008A5F8E" w:rsidRDefault="008A5F8E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DCF0" w14:textId="77777777" w:rsidR="00F03B60" w:rsidRDefault="00F03B60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separator/>
      </w:r>
    </w:p>
  </w:footnote>
  <w:footnote w:type="continuationSeparator" w:id="0">
    <w:p w14:paraId="484B363C" w14:textId="77777777" w:rsidR="00F03B60" w:rsidRDefault="00F03B60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0011" w14:textId="77777777" w:rsidR="008A5F8E" w:rsidRDefault="002B5F3C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313C3FCD" w14:textId="77777777" w:rsidR="008A5F8E" w:rsidRDefault="008A5F8E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A5C7" w14:textId="77777777" w:rsidR="008A5F8E" w:rsidRDefault="002B5F3C">
    <w:pPr>
      <w:framePr w:wrap="auto" w:vAnchor="text" w:hAnchor="page" w:x="6337" w:y="15"/>
      <w:tabs>
        <w:tab w:val="center" w:pos="4153"/>
        <w:tab w:val="right" w:pos="8306"/>
      </w:tabs>
      <w:rPr>
        <w:szCs w:val="24"/>
      </w:rPr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2F529258" w14:textId="77777777" w:rsidR="008A5F8E" w:rsidRDefault="008A5F8E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03EB" w14:textId="77777777" w:rsidR="008A5F8E" w:rsidRDefault="008A5F8E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D37"/>
    <w:rsid w:val="002960DB"/>
    <w:rsid w:val="002B5F3C"/>
    <w:rsid w:val="004538FD"/>
    <w:rsid w:val="00695D37"/>
    <w:rsid w:val="00713A00"/>
    <w:rsid w:val="00846AC8"/>
    <w:rsid w:val="008A5F8E"/>
    <w:rsid w:val="00A57CE9"/>
    <w:rsid w:val="00B470F8"/>
    <w:rsid w:val="00F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1F0BF"/>
  <w15:docId w15:val="{0927B249-8B25-4747-BFF8-FE2D4A8A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1124</Characters>
  <Application>Microsoft Office Word</Application>
  <DocSecurity>0</DocSecurity>
  <Lines>40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 Seimas</Company>
  <LinksUpToDate>false</LinksUpToDate>
  <CharactersWithSpaces>1320</CharactersWithSpaces>
  <SharedDoc>false</SharedDoc>
  <HyperlinkBase/>
  <HLinks>
    <vt:vector size="6" baseType="variant">
      <vt:variant>
        <vt:i4>5832794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Settings\lipetr\My Documents\Vytis1.gif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„Windows“ vartotojas</dc:creator>
  <cp:keywords>class='Internal'</cp:keywords>
  <cp:lastModifiedBy>Ragnhild Efraimsson</cp:lastModifiedBy>
  <cp:revision>2</cp:revision>
  <cp:lastPrinted>2004-12-10T05:45:00Z</cp:lastPrinted>
  <dcterms:created xsi:type="dcterms:W3CDTF">2024-11-12T08:43:00Z</dcterms:created>
  <dcterms:modified xsi:type="dcterms:W3CDTF">2024-11-12T08:43:00Z</dcterms:modified>
</cp:coreProperties>
</file>