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VENGRIJOS VYRIAUSYBĖ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Paskelbta</w:t>
      </w:r>
      <w:r>
        <w:rPr>
          <w:sz w:val="24"/>
          <w:rFonts w:ascii="Times New Roman" w:hAnsi="Times New Roman"/>
        </w:rPr>
        <w:t xml:space="preserve"> Vengrijos oficialiajame leidinyje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VYRIAUSYBĖS DEKRETAS,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kuriuo iš dalies keičiamas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2009 m. rugsėjo 29 d. Vyriausybės dekretas Nr. 210/2009 dėl komercinės veiklos vykdymo sąlygų siekiant apsaugoti vaikų ir jaunimo sveikatą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Vyriausybė, remdamasi 1997 m. Įstatymo Nr. CLV dėl vartotojų apsaugos 55 straipsnio 5 dalimi suteiktais įgaliojimais,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kiek tai susiję su 2 straipsniu</w:t>
      </w:r>
      <w:r>
        <w:t xml:space="preserve">, </w:t>
      </w:r>
      <w:r>
        <w:rPr>
          <w:color w:val="000000"/>
          <w:sz w:val="24"/>
          <w:rFonts w:ascii="Times" w:hAnsi="Times"/>
        </w:rPr>
        <w:t xml:space="preserve">remdamasi 2005 m. Įstatymo Nr. CLXIV dėl prekybos 12 straipsnio 1 dalies a punktu suteiktu leidimu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ir vykdydama savo pareigas, apibrėžtas Pagrindinio įstatymo 15 straipsnio 1 dalyje, nustato: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1 straipsnis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2009 m. rugsėjo 29 d. Vyriausybės dekrete Nr. 210/2009 dėl komercinės veiklos vykdymo sąlygų (toliau – 2009 m. rugsėjo 29 d. Vyriausybės dekretas Nr. 210/2009) įterpiamas 20/C straipsnis: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„20/C straipsnis. Pagal 1997 m. Įstatymo Nr. CLV dėl vartotojų apsaugos (toliau –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Vartotojų apsaugos įstatymas) 16/A straipsnio 1a dalį, energiniai gėrimai, priskiriami 2009 arba 2202 pozicijai kaip nealkoholiniai gėrimai, negali būti parduodami ar tiekiami asmenims iki aštuoniolikos metų, jei: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a) </w:t>
      </w:r>
      <w:r>
        <w:rPr>
          <w:sz w:val="24"/>
          <w:rFonts w:ascii="Times New Roman" w:hAnsi="Times New Roman"/>
        </w:rPr>
        <w:t xml:space="preserve">juose yra ne mažiau kaip 15 mg/100 ml bet kurio metilksantino grupei priklausančio junginio (toliau – metilksantinas), arba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b)</w:t>
      </w:r>
      <w:r>
        <w:rPr>
          <w:sz w:val="24"/>
          <w:rFonts w:ascii="Times New Roman" w:hAnsi="Times New Roman"/>
        </w:rPr>
        <w:t xml:space="preserve"> sudėtyje yra metilksantino ir bet kurios iš šių medžiagų: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ba)</w:t>
      </w:r>
      <w:r>
        <w:rPr>
          <w:sz w:val="24"/>
          <w:rFonts w:ascii="Times New Roman" w:hAnsi="Times New Roman"/>
        </w:rPr>
        <w:t xml:space="preserve"> ženšenio,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bb)</w:t>
      </w:r>
      <w:r>
        <w:rPr>
          <w:sz w:val="24"/>
          <w:rFonts w:ascii="Times New Roman" w:hAnsi="Times New Roman"/>
        </w:rPr>
        <w:t xml:space="preserve"> L-arginino,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bc)</w:t>
      </w:r>
      <w:r>
        <w:rPr>
          <w:sz w:val="24"/>
          <w:rFonts w:ascii="Times New Roman" w:hAnsi="Times New Roman"/>
        </w:rPr>
        <w:t xml:space="preserve"> inozitolio,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bd)</w:t>
      </w:r>
      <w:r>
        <w:rPr>
          <w:sz w:val="24"/>
          <w:rFonts w:ascii="Times New Roman" w:hAnsi="Times New Roman"/>
        </w:rPr>
        <w:t xml:space="preserve"> gliukuronolaktono,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be)</w:t>
      </w:r>
      <w:r>
        <w:rPr>
          <w:sz w:val="24"/>
          <w:rFonts w:ascii="Times New Roman" w:hAnsi="Times New Roman"/>
        </w:rPr>
        <w:t xml:space="preserve"> taurino.“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2 straipsnis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2009 m. rugsėjo 29 d. Vyriausybės dekreto Nr. 210/2009 26 straipsnio 1 dalies </w:t>
      </w:r>
      <w:r>
        <w:rPr>
          <w:sz w:val="24"/>
          <w:i/>
          <w:rFonts w:ascii="Times New Roman" w:hAnsi="Times New Roman"/>
        </w:rPr>
        <w:t xml:space="preserve">a</w:t>
      </w:r>
      <w:r>
        <w:rPr>
          <w:sz w:val="24"/>
          <w:rFonts w:ascii="Times New Roman" w:hAnsi="Times New Roman"/>
        </w:rPr>
        <w:t xml:space="preserve"> punktas pakeičiamas taip: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(Vartotojų apsaugos institucija imsis tolesnių veiksmų)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kaip nustatyta Vartotojų apsaugos įstatymo taisyklėse, pažeidus 18 straipsnio 1 dalies a–f ir h–i punktų, 18 straipsnio 2 ir 3 dalių, 19–20/C straipsnių ir 23 straipsnio nuostatas, ir“.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3 straipsnis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2009 m. rugsėjo 29 d. Vyriausybės dekreto Nr. 210/2009 32 straipsnis pakeičiamas taip: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„32 straipsnis. Apie 13 straipsnio 1 dalies, 19 straipsnio ir 20 straipsnio 3 dalies projektus, taip pat 20/B ir 20/C straipsnių projektus buvo iš anksto pranešta, kaip nustatyta 2015 m. rugsėjo 9 d. Europos Parlamento ir Tarybos direktyvos (ES) 2015/1535, kuria nustatoma informacijos apie techninius reglamentus ir informacinės visuomenės paslaugų taisykles teikimo tvarka, 5–7 straipsniuose.“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4 straipsnis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2009 m. rugsėjo 29 d. Vyriausybės dekrete Nr. 210/2009 įterpiamas šis 34 straipsnis: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„34 straipsnis. Apie 20/C straipsnio projektą buvo iš anksto pranešta pagal 2006 m. gruodžio 12 d. Europos Parlamento ir Tarybos direktyvos 2006/123/EB dėl paslaugų vidaus rinkoje 39 straipsnio 5 dalį.“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5 straipsnis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Šis dekretas įsigalioja trisdešimtą dieną po jo paskelbimo.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6 straipsnis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Šis dekretas atitinka 2006 m. gruodžio 12 d. Europos Parlamento ir Tarybos direktyvą 2006/123/EB dėl paslaugų vidaus rinkoje.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7 straipsnis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Apie šio dekreto projektą buvo iš anksto pranešta, kaip nustatyta 2006 m. gruodžio 12 d. Europos Parlamento ir Tarybos direktyvos 2006/123/EB dėl paslaugų vidaus rinkoje 39 straipsnio 5 dalyje.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8 straipsnis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Apie šį dekreto projektą buvo iš anksto pranešta, kaip nustatyta 2015 m. rugsėjo 9 d. Europos Parlamento ir Tarybos direktyvos (ES) 2015/1535, kuria nustatoma informacijos apie techninius reglamentus ir informacinės visuomenės paslaugų taisykles teikimo tvarka, 5–7 straipsniuose.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lt-LT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