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UNGĀRIJAS VALDĪBA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Publicēts</w:t>
      </w:r>
      <w:r>
        <w:rPr>
          <w:sz w:val="24"/>
          <w:rFonts w:ascii="Times New Roman" w:hAnsi="Times New Roman"/>
        </w:rPr>
        <w:t xml:space="preserve">: Ungārijas Oficiālajā vēstnesī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VALDĪBAS DEKRĒTS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 ko groza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valdības 2009. gada 29. septembra Dekrētu Nr. 210/2009 par nosacījumiem komercdarbības veikšanai saistībā ar bērnu un nepilngadīgo veselības aizsardzību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Pamatojoties uz pilnvarām, kas piešķirtas ar 1997. gada Likuma Nr. CLV par patērētāju aizsardzību 55. panta 5. punktu,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attiecībā uz 2. pantu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saskaņā ar pilnvarām, kas piešķirtas ar 12. panta 1. punkta a) apakšpunktu 2005. gada Likumā Nr. CLXIV par tirdzniecību,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un pildot Pamatlikuma 15. panta 1. punktā noteiktos pienākumus, valdība izdod šādu dekrētu.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1.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Valdības 2009. gada 29. septembra Dekrētā Nr. 210/2009 par nosacījumiem komercdarbības veikšanai (turpmāk “valdības 2009. gada 29. septembra Dekrēts Nr. 210/2009”) iekļauj šādu 20./C pantu: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“20/C pants. Saskaņā ar 1997. gada Likuma Nr. CLV par patērētāju aizsardzību 16.A panta 1.a punktu (turpmāk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“Patērētāju aizsardzības likums”), enerģijas dzērienus, kuri klasificēti pozīcijā 2009 vai 2202 kā bezalkoholiskie dzērieni, nedrīkst pārdot vai piegādāt personām, kas jaunākas par astoņpadsmit gadiem, ja tie: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satur vismaz 15 mg/100 ml jebkura savienojuma, kas pieder pie metilksantīna grupas (turpmāk “metilksantīns”), vai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satur metilksantīnu un jebkuru no šādām vielām: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žeņšeņs;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L-arginīns;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inozitols;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glikuronolaktons;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taurīns.”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2.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Valdības 2009. gada 29. septembra Dekrētā Nr. 210/2009, 26. panta 1. punkta 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 apakšpunktu aizstāj ar šādu: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(Patērētāju aizsardzības iestāde rīkojas:)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kā noteikts Patērētāju aizsardzības likuma noteikumos, ja ir pārkāpti 18. panta 1. punkta a)–f) apakšpunkta un h)–i) apakšpunkta, 18. panta 2. un 3. punkta, 19.–20./C panta un 23. panta noteikumi, un”.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3.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Valdības 2009. gada 29. septembra Dekrēta Nr. 210/2009 32. pantu aizstāj ar šādu: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“32. pants. Par 13. panta 1. punkta, 19. panta un 20. panta 3. punkta projektiem, kā arī par 20./B un 20./C panta projektiem ir paziņoti iepriekš, kā noteikts 5.–7. pantā Eiropas Parlamenta un Padomes 2015. gada 9. septembra Direktīvā (ES) 2015/1535, ar ko nosaka informācijas sniegšanas kārtību tehnisko noteikumu un Informācijas sabiedrības pakalpojumu noteikumu jomā.”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4.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Valdības 2009. gada 29. septembra Dekrētā Nr. 210/2009 iekļauj šādu 34. pantu: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“34. pants. Par 20./C panta projektu ir iepriekš paziņots saskaņā ar 39. panta 5. punktu Eiropas Parlamenta un Padomes 2006. gada 12. decembra Direktīvā 2006/123/EK par pakalpojumiem iekšējā tirgū.”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5.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Šis dekrēts stājas spēkā 13. dienā pēc tā publicēšanas.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6.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Šā dekrēta mērķis ir nodrošināt atbilstību Eiropas Parlamenta un Padomes 2006. gada 12. decembra Direktīvai 2006/123/EK par pakalpojumiem iekšējā tirgū.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7.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Par šā dekrēta projektu ir iepriekš paziņots, kā noteikts 39. panta 5. punktā Eiropas Parlamenta un Padomes 2006. gada 12. decembra Direktīvā 2006/123/EK par pakalpojumiem iekšējā tirgū.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8. pants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Par šā dekrēta projektu ir iepriekš paziņots, kā noteikts 5.–7. pantā Eiropas Parlamenta un Padomes 2015. gada 9. septembra Direktīvā (ES) 2015/1535, ar ko nosaka informācijas sniegšanas kārtību tehnisko noteikumu un Informācijas sabiedrības pakalpojumu noteikumu jomā.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lv-LV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