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Lista de substâncias proibidas nos produtos do tabaco e nos cigarros eletrónicos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A lista seguinte representa, a título de exemplo, as substâncias ou categorias de substâncias atualmente abrangidas pelas proibições legais da Lei austríaca relativa à proteção do tabaco e dos não fumadores (TNRSG), mas não constitui uma lista exaustiva.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Ingredientes proibidos em cigarros eletrónicos que contenham nicotina e em recipientes de recarga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Categorias de substâncias, incluindo a base jurídica da proibição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Exemplos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Vitaminas ou outros aditivos que criam a impressão de que um produto do tabaco tem um benefício para a saúde ou apresenta riscos reduzidos para a saúde.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(Artigo 10.º-B, n.º 7, ponto 3, em conjugação com o artigo 8.º-B, n.º 2, ponto 1, da 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Vitaminas enumeradas na «lista da União» do anexo do Regulamento (UE) n.º 609/2013, com a última redação que lhe foi dada, em conformidade com o artigo 15.º do mesmo regulamento.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Aminoácidos e seus derivados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Analgésicos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planta de cânhamo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Canabinóides (de origem natural ou sintética)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Hormonas e substâncias semelhantes a hormonas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Flavonoides e fosfolípidos com efeitos antioxidantes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Outros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Colina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Cloreto de colina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Hidróxido de colina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Citrato de colina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Tartarato de colina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Betaína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S-adenosilmetionina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L-5-hidroxitriptofano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Carnitina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Cloridrato de L-carnitina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L-carnitina-L-tartarato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Selenito de sódio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Cafeína, taurina ou outros aditivos e compostos estimulantes associados à energia e à vitalidade (artigo 10.°-B, n.° 7, ponto 3, em conjugação com o artigo 8.°-B, n.° 2, ponto 2, da 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óleos, da </w:t>
            </w:r>
            <w:r>
              <w:rPr>
                <w:rStyle w:val="a"/>
                <w:color w:val="000000"/>
                <w:sz w:val="14"/>
                <w:b/>
              </w:rPr>
              <w:t xml:space="preserve">planta do café</w:t>
            </w:r>
            <w:r>
              <w:rPr>
                <w:rStyle w:val="a"/>
                <w:color w:val="000000"/>
                <w:sz w:val="14"/>
              </w:rPr>
              <w:t xml:space="preserve"> e de </w:t>
            </w:r>
            <w:r>
              <w:rPr>
                <w:rStyle w:val="a"/>
                <w:color w:val="000000"/>
                <w:sz w:val="14"/>
                <w:b/>
              </w:rPr>
              <w:t xml:space="preserve">grãos de café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planta do chá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óleos, da </w:t>
            </w:r>
            <w:r>
              <w:rPr>
                <w:rStyle w:val="a"/>
                <w:color w:val="000000"/>
                <w:sz w:val="14"/>
                <w:b/>
              </w:rPr>
              <w:t xml:space="preserve">planta de guaraná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erva-mate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árvore de cola</w:t>
            </w:r>
            <w:r>
              <w:rPr>
                <w:rStyle w:val="a"/>
                <w:color w:val="000000"/>
                <w:sz w:val="14"/>
              </w:rPr>
              <w:t xml:space="preserve"> ou da </w:t>
            </w:r>
            <w:r>
              <w:rPr>
                <w:rStyle w:val="a"/>
                <w:color w:val="000000"/>
                <w:sz w:val="14"/>
                <w:b/>
              </w:rPr>
              <w:t xml:space="preserve">noz de cola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Açúcar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Glucose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Frutose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Galactose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Sacarose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Lactose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Maltose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Outros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Maltodextrina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Aditivos com propriedades corantes para emissões.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(Artigo 10.º-B, n.º 7, ponto 3, em conjugação com o artigo 8.º-B, n.º 2, ponto 3, da 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Ingredientes proibidos em cigarros eletrónicos que contenham nicotina e sem nicotina e em recipientes de recarga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Categorias de substâncias, incluindo a base jurídica da proibição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Exemplos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Justificação adicional para a proibição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Aditivos que têm propriedades CMR na forma não queimada.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(Artigo 10.º-B, n.º 7, ponto 3, em conjugação com o artigo 8.º-B, n.º 2, ponto 5, da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artigo 10.º-B, n.º 7, ponto 5, da 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classificadas em conformidade com a parte 3 do anexo VI do Regulamento (CE) n.º 1272/2008 do Parlamento Europeu e do Conselho, de 16 de dezembro de 2008, relativo à classificação, rotulagem e embalagem de substâncias e misturas, que altera e revoga as Diretivas 67/548/CEE e 1999/45/CE e altera o Regulamento (CE) n.º 1907/2006 (JO L 353 de 31.12.2006, p. 1), com a última redação que lhe foi dada pelo Regulamento (UE) 2016/1179 (JO L 195 de 20.7.2016, p. 11), como </w:t>
            </w:r>
            <w:r>
              <w:rPr>
                <w:rStyle w:val="a"/>
                <w:color w:val="000000"/>
                <w:b/>
              </w:rPr>
              <w:t xml:space="preserve">substâncias CMR das categorias 1A, 1B, 2 ou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classificadas de acordo com a lista de classificações da Agência Internacional para a Investigação do Cancro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no que diz respeito aos efeitos carcinogénicos nos seres humanos em </w:t>
            </w:r>
            <w:r>
              <w:rPr>
                <w:rStyle w:val="a"/>
                <w:color w:val="000000"/>
                <w:b/>
              </w:rPr>
              <w:t xml:space="preserve">Grupos 1, 2A ou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classificadas como cancerígenas para o ser humano «conhecidas» ou «razoavelmente previstas» pelo Programa Nacional de Toxicologia dos Estados Unidos (NTP)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que, de acordo com a </w:t>
            </w:r>
            <w:r>
              <w:rPr>
                <w:rStyle w:val="a"/>
                <w:color w:val="000000"/>
                <w:b/>
              </w:rPr>
              <w:t xml:space="preserve">lista de valores MAK e MTD</w:t>
            </w:r>
            <w:r>
              <w:rPr>
                <w:rStyle w:val="a"/>
                <w:color w:val="000000"/>
              </w:rPr>
              <w:t xml:space="preserve"> (publicada pela Deutsche Forschungsgemeinschaft (DFG)), foram classificadas pela Comissão MAK como tendo efeitos cancerígenos nas categorias 1, 2, 4 ou 5, como efeitos teratogénicos nas categorias A, B ou C, e como efeitos mutagénicos em células germinativas nas categorias 1, 2, 3A ou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classificadas como cancerígenas, mutagénicas ou tóxicas para a reprodução pela Autoridade Europeia para a Segurança dos Alimentos (EFSA).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Exemplos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Isoforona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Mirceno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Criseno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Dióxido de titânio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Metileugenol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Substâncias com efeitos no sistema reprodutivo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Propilparabeno (éster propílico do ácido para-hidroxibenzóico)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Alguns parabenos mostram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efeitos reprodutivos tóxicos.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CCSC (Comité Científico da Segurança do Consumidor)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(Autoridade Europeia para a Segurança dos Alimentos)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of the Scientific Panel on food additives, flavourings, processing aids and materials in contact with food (AFC) related to para hydroxybenzoates (E 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Propilparabeno de sódio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Propilparabeno de potássio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Butilparabeno de sódio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Butilparabeno de potássio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Isobutilparabeno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Isobutilparabeno de sódio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Sassafrás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Óleo de </w:t>
            </w:r>
            <w:r>
              <w:rPr>
                <w:rStyle w:val="a"/>
                <w:color w:val="000000"/>
              </w:rPr>
              <w:t xml:space="preserve">sassafrás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Contém safrole.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Madeira de sassafrás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Folhas de </w:t>
            </w:r>
            <w:r>
              <w:rPr>
                <w:rStyle w:val="a"/>
                <w:color w:val="000000"/>
              </w:rPr>
              <w:t xml:space="preserve">sassafrás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Casca de </w:t>
            </w:r>
            <w:r>
              <w:rPr>
                <w:rStyle w:val="a"/>
                <w:color w:val="000000"/>
              </w:rPr>
              <w:t xml:space="preserve">sassafrás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Ingredientes (exceto a nicotina em líquidos que contêm nicotina) que representam um risco para a saúde humana na forma aquecida ou não aquecida.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(Artigo 10.º-B, n.º 7, ponto 5, da 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que têm propriedades CMR na forma não queimada.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(Consultar o ponto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classificadas em conformidade com o anexo VI, parte 3, do Regulamento (CE) n.º 1272/2008 do Parlamento Europeu e do Conselho, de 16 de dezembro de 2008, relativo à classificação, rotulagem e embalagem de substâncias e misturas, que altera e revoga as Diretivas 67/548/CEE e 1999/45/CE, e altera o Regulamento (CE) n.º 1907/2006 (JO L 353 de 31.12.2006, p. 1), com a última redação que lhe foi dada pelo Regulamento (UE) 2016/1179 (JO L 195 de 20.7.2016, p. 11), como </w:t>
            </w:r>
            <w:r>
              <w:rPr>
                <w:rStyle w:val="a"/>
                <w:color w:val="000000"/>
                <w:b/>
              </w:rPr>
              <w:t xml:space="preserve">sensibilizante respiratório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enumeradas no </w:t>
            </w:r>
            <w:r>
              <w:rPr>
                <w:rStyle w:val="a"/>
                <w:color w:val="000000"/>
                <w:b/>
              </w:rPr>
              <w:t xml:space="preserve">Anexo III</w:t>
            </w:r>
            <w:r>
              <w:rPr>
                <w:rStyle w:val="a"/>
                <w:color w:val="000000"/>
              </w:rPr>
              <w:t xml:space="preserve">, Parte A, do Regulamento (CE) n.º 1334/2008 do Parlamento Europeu e do Conselho, de 16 de dezembro de 2008, relativo aos </w:t>
            </w:r>
            <w:r>
              <w:rPr>
                <w:rStyle w:val="a"/>
                <w:color w:val="000000"/>
                <w:b/>
              </w:rPr>
              <w:t xml:space="preserve">aromas </w:t>
            </w:r>
            <w:r>
              <w:rPr>
                <w:rStyle w:val="a"/>
                <w:color w:val="000000"/>
              </w:rPr>
              <w:t xml:space="preserve">e determinados ingredientes alimentares com propriedades aromatizantes para utilização em e sobre os géneros alimentícios e suas atualizações são enumerados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Ácido agárico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Aloína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Capsaicina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1,2-benzopirona, cumarina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Hipericina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1-alil-4-metoxibenzeno,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Ácido cianídrico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Mentofurano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4-alil-1,2-dimetoxibenzeno, metileugenol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1-alil-3,4-metilenodioxibenzeno,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Tujona (alfa e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que, de acordo com a </w:t>
            </w:r>
            <w:r>
              <w:rPr>
                <w:rStyle w:val="a"/>
                <w:color w:val="000000"/>
                <w:b/>
              </w:rPr>
              <w:t xml:space="preserve">Lista de valores MAK e MTD </w:t>
            </w:r>
            <w:r>
              <w:rPr>
                <w:rStyle w:val="a"/>
                <w:color w:val="000000"/>
              </w:rPr>
              <w:t xml:space="preserve">(publicada pela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são classificadas pela Comissão MAK como </w:t>
            </w:r>
            <w:r>
              <w:rPr>
                <w:rStyle w:val="a"/>
                <w:color w:val="000000"/>
                <w:b/>
              </w:rPr>
              <w:t xml:space="preserve">alergénios substantivos</w:t>
            </w:r>
            <w:r>
              <w:rPr>
                <w:rStyle w:val="a"/>
                <w:color w:val="000000"/>
              </w:rPr>
              <w:t xml:space="preserve"> («Sa», «Sah»).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Componentes, extratos e óleos transformados derivados da planta </w:t>
            </w:r>
            <w:r>
              <w:rPr>
                <w:rStyle w:val="a"/>
                <w:color w:val="000000"/>
                <w:b/>
              </w:rPr>
              <w:t xml:space="preserve">poejo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 poejo contém pulegona, uma substância hepatotóxica.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European Food Safety Authority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and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Substâncias oleosas/gordurosas, tais como ácidos gordos livres saturados ou insaturados e seus derivados;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alcanos, alcenos e alcinos com uma cadeia de carbono de comprimento igual ou superior a 12;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e triglicéridos;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ceras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(triglicéridos de cadeia média)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 inalação ou aspiração de lípidos (substâncias gordas/oleosas) é considerada a causa central do desenvolvimento de pneumonia lipídica exógena (pneumonia crónica).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 pneumonia lipídica exógena pode ser desencadeada por óleos minerais, bem como por substâncias oleosas/gordurosas de origem animal e vegetal.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Uma vez que as explicações científicas se referem sempre a óleos e gorduras ou a substâncias oleosas e gordas em geral, o caráter oleoso/gordo, e não uma composição específica da substância, deve ser decisivo para o efeito adverso para a saúde (Hadda and Khilnani 2010, M. Schwaiblmair et al. 2010, Nguyen and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and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e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Pneumonia lipídica – uma síndrome subestimada?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Esqualeno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Esqualeno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Rosina, resina ou ácidos resínicos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Ácido abiético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Os fumos de resina são classificados como sensibilizantes respiratórios e possíveis gatilhos para a asma.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Ácido pimárico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Ácido isopimárico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Ácido palústrico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Ácido levopimárico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Acetato de vitamina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 acetato de vitamina E está intimamente relacionado com o surto de 2019 de EVALI (lesão pulmonar associada ao uso de cigarros eletrónicos ou vaping) nos Estados Unidos.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(Centros de Controlo e Prevenção de Doenças):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Diacetilo e certos análogos estruturais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Diacetilo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 diacetilo e a 2,3-pentadiona podem causar inflamação grave e doenças respiratórias após a inalação.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Como medida de precaução, recomenda-se o alargamento da proibição de modo a incluir os análogos estruturais 2,3-hexadiona e 2,3-heptadiona.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‘Diacetyl [MAK Value Documentation in German Language, 2015].’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‘2,3-Pentandion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(Instituto Federal Alemão de Avaliação de Risco)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Avaliação sanitária dos aditivos para produtos do tabaco e cigarros eletrónicos.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(em alemão: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«Gesundheitliche Bewertung von Zusatzstoffen für Tabakerzeugnisse und elektronische Zigaretten.»)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Parecer n.º 045/2015 do BfR, de 30 de julho de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2,3-pentadiona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2,3-hexadiona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2,3-heptadiona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Óleo de amêndoa amarga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O óleo de amêndoa amarga pode conter naturalmente ácido cianídrico.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O ácido cianídrico é um poderoso veneno que pode paralisar o sistema respiratório central.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Comissão MAK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Cianeto de hidrogénio, cianeto de potássio e cianeto de sódio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Documentation in German language,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Ingredientes proibidos nos produtos do tabaco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Categorias de substâncias, incluindo a base jurídica da proibição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Exemplos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Justificação adicional para a proibição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Vitaminas ou outros aditivos que criam a impressão de que um produto do tabaco tem um benefício para a saúde ou apresenta riscos reduzidos para a saúde.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(Artigo 8.º-B, n.º 2, ponto 1, da 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Vitaminas enumeradas na «lista da União» do anexo do Regulamento (UE) n.º 609/2013, com a última redação que lhe foi dada, em conformidade com o artigo 15.º do mesmo regulamento.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Aminoácidos e seus derivados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Analgésicos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planta de cânhamo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Canabinóides (de origem natural ou sintética)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Hormonas e substâncias semelhantes a hormonas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Flavonoides e fosfolípidos com efeitos antioxidantes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Outros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Cloreto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Hidróxido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Tartarato de colina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Betaína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S-adenosilmetionina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L-5-hidroxitriptofano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Cloridrato de L-carnitina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L-carnitina-L-tartarato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Selenito de sódio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Cafeína, taurina ou outros aditivos e compostos estimulantes associados à energia e à vitalidade (artigo 8.º-B, n.º 2, ponto 2, da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óleos, da </w:t>
            </w:r>
            <w:r>
              <w:rPr>
                <w:rStyle w:val="a"/>
                <w:color w:val="000000"/>
                <w:sz w:val="14"/>
                <w:b/>
              </w:rPr>
              <w:t xml:space="preserve">planta do café</w:t>
            </w:r>
            <w:r>
              <w:rPr>
                <w:rStyle w:val="a"/>
                <w:color w:val="000000"/>
                <w:sz w:val="14"/>
              </w:rPr>
              <w:t xml:space="preserve"> e de </w:t>
            </w:r>
            <w:r>
              <w:rPr>
                <w:rStyle w:val="a"/>
                <w:color w:val="000000"/>
                <w:sz w:val="14"/>
                <w:b/>
              </w:rPr>
              <w:t xml:space="preserve">grãos de café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planta do chá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óleos, da </w:t>
            </w:r>
            <w:r>
              <w:rPr>
                <w:rStyle w:val="a"/>
                <w:color w:val="000000"/>
                <w:sz w:val="14"/>
                <w:b/>
              </w:rPr>
              <w:t xml:space="preserve">planta de guaraná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erva-mate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da </w:t>
            </w:r>
            <w:r>
              <w:rPr>
                <w:rStyle w:val="a"/>
                <w:color w:val="000000"/>
                <w:sz w:val="14"/>
                <w:b/>
              </w:rPr>
              <w:t xml:space="preserve">árvore de cola</w:t>
            </w:r>
            <w:r>
              <w:rPr>
                <w:rStyle w:val="a"/>
                <w:color w:val="000000"/>
                <w:sz w:val="14"/>
              </w:rPr>
              <w:t xml:space="preserve"> ou da </w:t>
            </w:r>
            <w:r>
              <w:rPr>
                <w:rStyle w:val="a"/>
                <w:color w:val="000000"/>
                <w:sz w:val="14"/>
                <w:b/>
              </w:rPr>
              <w:t xml:space="preserve">noz de cola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Outros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Aditivos com propriedades corantes para emissões.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(Artigo 8.º-B, n.º 2, ponto 3, da 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Aditivos que facilitam a inalação ou a absorção de nicotina nos produtos do tabaco (artigo 8.o-B, n.o 2, ponto 4, da 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e análogos, agonistas TRPM-8, «compostos refrescantes», «agentes refrescantes sintéticos»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Compostos p-mentano-3 substituídos e modificados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Todas as substâncias ou misturas com efeitos de arrefecimento ou analgésicos são consideradas substâncias que facilitam a inalação.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Referência: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Data: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Dezembro de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Doc. ref. n.º: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p-Mentano-3-carboxamida, incluindo p-Mentano-3-N-alquilcarboxamida e p-Mentano-3-N-arilcarboxamida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p-Mentano-3-éster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p-Mentano-3-éter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Ácidos p-Mentano-3-carboxílicos e seus ésteres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Outros compostos p-Mentano-3 substituídos e modificados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Álcoois p-Mentano e seus ésteres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Exemplos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N-etil-p-mentano-3-carboxamida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Ácido 2-isopropil-5-metilciclo-hexanocarboxílico (4-metoxifenil) amida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(1R,2S,5R)-N-((etoxicarbonil)metil)-p-mentano-3-carboxamida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N-terc-butil-p-mentano-3-carboxamida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2-Isopropil-N,2,3-trimetilbutiramida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Éster etílico da N-(p-mentano-3-carbonil)-D-alanina (CPS-369,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N-(4-fluorofenil)-p-mentano-3-carboxamida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N-(4-etoxifenil)-p-mentano-3-carboxamida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Lactato de mentilo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Mentoxipropano-1,2-diol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Éster 2,3-dihidroxipropílico do ácido 2-isopropil-5-metilciclo-hexanocarboxílico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Mentona 1,2-glicerol cetal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Succinato de monomentilo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3-hidroxibutirato de mentilo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Acetato de mentilo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Carbonato de etilenoglicol de mentol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p-mentano-3-carboxilato de 2,3-dihidroxipropil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Cis-p-mentano-3,8-diol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Icilina/Agente de arrefecimento AG-3-5 (3,4-Di-hidro-3-(2-hidroxifenil)-6-(3-nitrofenil)-(1H)-pirimidin-2-ona)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2-Isopropil-N 2,3-trimetilbutiramida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1-(Di-sec-butil-fosfinoil)-heptano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L-carvona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(eucaliptol)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Hidroxicitronelal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Componentes, incluindo componentes transformados, extratos e óleos de plantas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Eucalipto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Timo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Sálvia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Sais de nicotina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Benzoato de nicotina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Os sais de nicotina podem ser absorvidos pelo corpo mais rapidamente quando inalados e causar menos irritação do que a nicotina na forma livre.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Referências: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Ditartarato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Lactato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Levulinato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Salicilato de nicotina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Aditivos que têm propriedades CMR na forma não queimada.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(Artigo 10.º-B, n.º 7, ponto 3, em conjugação com o artigo 8.º-B, n.º 2, ponto 5, da 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Substâncias classificadas em conformidade com a parte 3 do anexo VI do Regulamento (CE) n.º 1272/2008 do Parlamento Europeu e do Conselho, de 16 de dezembro de 2008, relativo à classificação, rotulagem e embalagem de substâncias e misturas, que altera e revoga as Diretivas 67/548/CEE e 1999/45/CE e altera o Regulamento (CE) n.º 1907/2006 (JO L 353 de 31.12.2006, p. 1), com a última redação que lhe foi dada pelo Regulamento (UE) 2016/1179 (JO L 195 de 20.7.2016, p. 11), como </w:t>
            </w:r>
            <w:r>
              <w:rPr>
                <w:rStyle w:val="a"/>
                <w:color w:val="000000"/>
                <w:sz w:val="12"/>
                <w:b/>
              </w:rPr>
              <w:t xml:space="preserve">substâncias CMR das categorias 1A, 1B, 2 ou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Substâncias classificadas de acordo com a lista de classificações da Agência Internacional para a Investigação do Cancro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no que diz respeito aos efeitos carcinogénicos nos seres humanos em </w:t>
            </w:r>
            <w:r>
              <w:rPr>
                <w:rStyle w:val="a"/>
                <w:color w:val="000000"/>
                <w:sz w:val="12"/>
                <w:b/>
              </w:rPr>
              <w:t xml:space="preserve">Grupos 1, 2A ou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Substâncias classificadas como cancerígenas para o ser humano «conhecidas» ou «razoavelmente previstas» pelo Programa Nacional de Toxicologia dos Estados Unidos (NTP)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Substâncias que, de acordo com a </w:t>
            </w:r>
            <w:r>
              <w:rPr>
                <w:rStyle w:val="a"/>
                <w:color w:val="000000"/>
                <w:sz w:val="12"/>
                <w:b/>
              </w:rPr>
              <w:t xml:space="preserve">lista de valores MAK e MTD</w:t>
            </w:r>
            <w:r>
              <w:rPr>
                <w:rStyle w:val="a"/>
                <w:color w:val="000000"/>
                <w:sz w:val="12"/>
              </w:rPr>
              <w:t xml:space="preserve"> (publicada pela Deutsche Forschungsgemeinschaft (DFG)), foram classificadas pela Comissão MAK como tendo efeitos cancerígenos nas categorias 1, 2, 4 ou 5, como efeitos teratogénicos nas categorias A, B ou C, e como efeitos mutagénicos em células germinativas nas categorias 1, 2, 3A ou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Substâncias classificadas como cancerígenas, mutagénicas ou tóxicas para a reprodução pela Autoridade Europeia para a Segurança dos Alimentos (EFSA).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Exemplos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Isoforona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Mirceno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Criseno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Dióxido de titânio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Metileugenol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Substâncias com efeitos no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Sistema reprodutivo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Parabenos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Propilparabeno (éster propílico do ácido para-hidroxibenzóico)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Alguns parabenos mostram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efeitos reprodutivos tóxicos.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Referências: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CCSC (Comité Científico da Segurança do Consumidor)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(Autoridade Europeia para a Segurança dos Alimentos)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of the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Scientific Panel on food additives, flavourings, processing aids and materials in contact with food (AFC) related to para hydroxybenzoates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Propilparabeno de sódio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Propilparabeno de potássio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Butilparabeno de sódio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Butilparabeno de potássio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Isobutilparabeno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Isobutilparabeno de sódio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Sassafrás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Óleo de sassafrás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Contém safrole.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Madeira de sassafrás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Folhas de sassafrás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Casca de sassafrás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Página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de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Página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de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Versão final de acordo com o Conselho Consultivo sobre Ingredientes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Versão final de acordo com o Conselho Consultivo sobre Ingredientes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P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