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Zoznam zakázaných látok v tabakových výrobkoch a elektronických cigaretách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Nasledujúci zoznam uvádza príklady tých látok alebo kategórií látok, na ktoré sa v súčasnosti vzťahujú zákonné zákazy podľa rakúskeho zákona o tabaku a ochrane nefajčiarov (TNRSG), ale nepredstavuje úplný zoznam.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Zakázané zložky v elektronických cigaretách a plniacich fľaštičkách obsahujúcich nikotín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Kategórie látok vrátane právneho základu zákazu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Príklady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Vitamíny alebo iné prídavné látky, ktoré vytvárajú dojem, že tabakový výrobok má prínos pre zdravie alebo predstavuje znížené zdravotné riziká.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(Článok 10b ods. 7 bod 3 v spojení s článkom 8b ods. 2 bodom 1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Vitamíny uvedené v zozname Únie v prílohe k nariadeniu (EÚ) č. 609/2013, v znení zmien, v súlade s jeho článkom 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Aminokyseliny a ich deriváty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Analgetiká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rastliny konopy siatej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Kanabinoidy (prírodného alebo syntetického pôvodu)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Hormóny a látky podobné hormónom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Melatonín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Flavonoidy a fosfolipidy s antioxidačnými účinkami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Iné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Cholínchlorid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hydroxid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citrát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vínan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Betaín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S-adenozylmetionín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L-5-hydroxytryptofán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Karnitín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 hydrochloridu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L-karnitín-L-vínan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Seleničitan sodný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Kofeín alebo taurín alebo iné prídavné látky a stimulačné zlúčeniny, ktoré sú spojené s energiou a vitalitou (článok 10b ods. 7 bod 3 v spojení s článkom 8b ods. 2 bodom 2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kávovníka</w:t>
            </w:r>
            <w:r>
              <w:rPr>
                <w:rStyle w:val="a"/>
                <w:color w:val="000000"/>
                <w:sz w:val="14"/>
              </w:rPr>
              <w:t xml:space="preserve"> a </w:t>
            </w:r>
            <w:r>
              <w:rPr>
                <w:rStyle w:val="a"/>
                <w:color w:val="000000"/>
                <w:sz w:val="14"/>
                <w:b/>
              </w:rPr>
              <w:t xml:space="preserve">kávových zŕn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čajovníka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paulínie nápojovej (guarany)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cezmíny paraguajskej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stromu kola</w:t>
            </w:r>
            <w:r>
              <w:rPr>
                <w:rStyle w:val="a"/>
                <w:color w:val="000000"/>
                <w:sz w:val="14"/>
              </w:rPr>
              <w:t xml:space="preserve"> alebo </w:t>
            </w:r>
            <w:r>
              <w:rPr>
                <w:rStyle w:val="a"/>
                <w:color w:val="000000"/>
                <w:sz w:val="14"/>
                <w:b/>
              </w:rPr>
              <w:t xml:space="preserve">kolového orecha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Cukor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glukóza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Fruktóza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Galaktóza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Sacharóza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Laktóza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Maltóza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Iné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Maltodextrín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Prídavné látky, ktorých vlastnosti spôsobujú sfarbenie emisií.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(Článok 10b ods. 7 bod 3 v spojení s článkom 8b ods. 2 bodom 3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Zakázané zložky v elektronických cigaretách a plniacich fľaštičkách s obsahom nikotínu a bez nikotínu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Kategórie látok vrátane právneho základu zákazu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Príklady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Ďalšie odôvodnenie zákazu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Prídavné látky, ktoré majú CMR vlastnosti v nezhorenej forme.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(Článok 10b ods. 7 bod 3 v spojení s článkom 8b ods. 2 bodom 5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článok 10b ods. 7 bod 5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v súlade s časťou 3 prílohy VI k nariadeniu Európskeho parlamentu a Rady (ES) č. 1272/2008 zo 16. decembra 2008 o klasifikácii, označovaní a balení látok a zmesí, o zmene, doplnení a zrušení smerníc 67/548/EHS a 1999/45/ES a o zmene a doplnení nariadenia (ES) č. 1907/2006 (Ú. v. EÚ L 353, 31.12.2006, s. 1), naposledy zmenenému nariadením (EÚ) 2016/1179 (Ú. v. EÚ L 195, 20.7.2016, s. 11), ako </w:t>
            </w:r>
            <w:r>
              <w:rPr>
                <w:rStyle w:val="a"/>
                <w:color w:val="000000"/>
                <w:b/>
              </w:rPr>
              <w:t xml:space="preserve">CMR látky kategórie 1A, 1B, 2 alebo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podľa zoznamu klasifikácií Medzinárodnej agentúry pre výskum rakoviny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vzhľadom na karcinogénne účinky u ľudí v </w:t>
            </w:r>
            <w:r>
              <w:rPr>
                <w:rStyle w:val="a"/>
                <w:color w:val="000000"/>
                <w:b/>
              </w:rPr>
              <w:t xml:space="preserve">skupinách 1, 2A alebo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národným toxikologickým programom (NTP) Spojených štátov ako „známe“ alebo „opodstatnene očakávané“ ako ľudské karcinogény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ktoré podľa </w:t>
            </w:r>
            <w:r>
              <w:rPr>
                <w:rStyle w:val="a"/>
                <w:color w:val="000000"/>
                <w:b/>
              </w:rPr>
              <w:t xml:space="preserve">zoznamu hodnôt MAK a BAT</w:t>
            </w:r>
            <w:r>
              <w:rPr>
                <w:rStyle w:val="a"/>
                <w:color w:val="000000"/>
              </w:rPr>
              <w:t xml:space="preserve"> (ktorý uverejnilo združenie Deutsche Forschungsgemeinschaft (DFG)) klasifikovala komisia MAK ako látky s karcinogénnymi účinkami v kategóriách 1, 2, 4 alebo 5, s teratogénnymi účinkami v kategóriách A, B alebo C a s mutagénnymi účinkami na zárodočné bunky v kategóriách 1, 2, 3A alebo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Európskym úradom pre bezpečnosť potravín (EFSA) ako karcinogénne, mutagénne alebo toxické pre reprodukciu.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Príklady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Izoforón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Pyridín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Chryzén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Oxid titaničitý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Metyleugenol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Látky s účinkami na reprodukčný systém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Parabény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Propylparabén (propylester kyseliny para-hydroxybenzoovej)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Niektoré parabény vykazujú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účinky toxické pre reprodukciu.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Propylparabén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Propylparabén draselný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Butylparabén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Butylparabén draselný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Izobutylparabén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Izobutylparabén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Sasafrasový olej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Obsahuje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Sasafrasové drevo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Sasafrasové listy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Sasafrasová kôra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Zložky (okrem nikotínu v tekutinách obsahujúcich nikotín), ktoré predstavujú riziko pre ľudské zdravie v zahriatej alebo nezahriatej forme.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(Článok 10b ods. 7 bod 5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ktoré majú CMR vlastnosti v nezhorenej forme.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(Pozri bod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v súlade s časťou 3 prílohy VI k nariadeniu Európskeho parlamentu a Rady (ES) č. 1272/2008 zo 16. decembra 2008 o klasifikácii, označovaní a balení látok a zmesí, o zmene, doplnení a zrušení smerníc 67/548/EHS a 1999/45/ES a o zmene a doplnení nariadenia (ES) č. 1907/2006 (Ú. v. EÚ L 353, 31.12.2006, s. 1), naposledy zmenenému nariadením (EÚ) 2016/1179 (Ú. v. EÚ L 195, 20.7.2016, s. 11), ako </w:t>
            </w:r>
            <w:r>
              <w:rPr>
                <w:rStyle w:val="a"/>
                <w:color w:val="000000"/>
                <w:b/>
              </w:rPr>
              <w:t xml:space="preserve">respiračná senzibilizácia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uvedené v </w:t>
            </w:r>
            <w:r>
              <w:rPr>
                <w:rStyle w:val="a"/>
                <w:color w:val="000000"/>
                <w:b/>
              </w:rPr>
              <w:t xml:space="preserve">prílohe III</w:t>
            </w:r>
            <w:r>
              <w:rPr>
                <w:rStyle w:val="a"/>
                <w:color w:val="000000"/>
              </w:rPr>
              <w:t xml:space="preserve"> časti A nariadenia Európskeho parlamentu a Rady (ES) č. 1334/2008 zo 16. decembra 2008 o </w:t>
            </w:r>
            <w:r>
              <w:rPr>
                <w:rStyle w:val="a"/>
                <w:color w:val="000000"/>
                <w:b/>
              </w:rPr>
              <w:t xml:space="preserve">ar</w:t>
            </w:r>
            <w:r>
              <w:rPr>
                <w:rStyle w:val="a"/>
                <w:color w:val="000000"/>
                <w:b/>
              </w:rPr>
              <w:t xml:space="preserve">ómach </w:t>
            </w:r>
            <w:r>
              <w:rPr>
                <w:rStyle w:val="a"/>
                <w:color w:val="000000"/>
              </w:rPr>
              <w:t xml:space="preserve">a určitých zložkách potravín s aromatickými vlastnosťami na použitie v potravinách a ich aktualizácie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agarová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Aloín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Kapsaicín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1,2-benzopyrón, kumarín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Hypericín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Beta-asarón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1-alyl-4-metoxybenzén,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kyanovodíková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Menthofuran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4-alyl-1,2-dimetoxybenzén, metyleugenol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1-alyl-3,4-metyléndioxybenzén,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 (alfa a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ktoré podľa </w:t>
            </w:r>
            <w:r>
              <w:rPr>
                <w:rStyle w:val="a"/>
                <w:color w:val="000000"/>
                <w:b/>
              </w:rPr>
              <w:t xml:space="preserve">zoznamu hodnôt MAK a BAT </w:t>
            </w:r>
            <w:r>
              <w:rPr>
                <w:rStyle w:val="a"/>
                <w:color w:val="000000"/>
              </w:rPr>
              <w:t xml:space="preserve">(ktorý uverejnilo združenie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(DFG)) klasifikuje komisia MAK ako </w:t>
            </w:r>
            <w:r>
              <w:rPr>
                <w:rStyle w:val="a"/>
                <w:color w:val="000000"/>
                <w:b/>
              </w:rPr>
              <w:t xml:space="preserve">podstatné alergény</w:t>
            </w:r>
            <w:r>
              <w:rPr>
                <w:rStyle w:val="a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Spracované zložky, výťažky a oleje získané z </w:t>
            </w:r>
            <w:r>
              <w:rPr>
                <w:rStyle w:val="a"/>
                <w:color w:val="000000"/>
                <w:b/>
              </w:rPr>
              <w:t xml:space="preserve">mäty sivej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Mäta sivá obsahuje pulegón, hepatotoxickú látku.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European Food Safety Authority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and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Olejové/mastné látky, ako sú nasýtené alebo nenasýtené voľné mastné kyseliny a ich deriváty;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alkány, alkény a alkíny s dĺžkou uhlíkového reťazca 12 alebo viac;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a triglyceridy;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vosky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(triglyceridy so stredne dlhými reťazcami)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Inhalácia alebo aspirácia lipidov (mastných/olejových látok) sa považuje za hlavnú príčinu vzniku exogénnej lipidovej pneumónie (chronickej pneumónie).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Exogénna lipidová pneumónia môže byť vyvolaná minerálnymi olejmi, ako aj olejovými/mastnými látkami živočíšneho a rastlinného pôvodu.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Keďže vedecké vysvetlenia sa vždy vzťahujú na oleje a tuky alebo olejové a mastné látky vo všeobecnosti, pre nepriaznivý účinok na zdravie by mal byť rozhodujúci skôr olejovitý/mastný charakter než špecifické zloženie látky (Hadda a Khilnani 2010, M. Schwaiblmair et al. 2010, Nguyen a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and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and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Lipidpneumonie – ein unterschätztes Krankheitsbild?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Skvalán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Skvalén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Kolofónia, živica alebo živicové kyseliny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abietová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Živicové výpary sú klasifikované ako respiračné senzibilizátory a možné spúšťače astmy.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izopimarová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palustrická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levopimarová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Acetát vitamínu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Acetát vitamínu E úzko súvisí s výskytom ohniska EVALI v roku 2019 (poškodenie pľúc spojené s používaním elektronických cigariet alebo vapovaním) v Spojených štátoch.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Diacetyl a niektoré štrukturálne analógy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Diacetyl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a 2,3-pentadión môžu pri vdýchnutí spôsobiť závažný zápal a respiračné ochorenia.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Ako preventívne opatrenie sa odporúča rozšírenie zákazu tak, aby zahŕňal štrukturálne analógy 2,3-hexadiónu a 2,3-heptadiónu.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 Value Documentation in German Language,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(Bundesinstitut für Risikobewertung)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Gesundheitliche Bewertung von Zusatzstoffen für Tabakerzeugnisse und elektronische Zigaretten.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(v preklade: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Zdravotné posúdenie prídavných látok v tabakových výrobkoch a elektronických cigaretách)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Stellungnahme Nr. 045/2015 des BfR vom 30. Juli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2,3-heptadión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Mandľový olej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Mandľový olej môže prirodzene obsahovať kyselinu kyanovodíkovú.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Kyselina kyanovodíková je silný jed, ktorý môže paralyzovať centrálny dýchací systém.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Cyanwasserstoff, Kalium- und Natriumcyanid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Zakázané zložky v tabakových výrobkoch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Kategórie látok vrátane právneho základu zákazu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Príklady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Ďalšie odôvodnenie zákazu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Vitamíny alebo iné prídavné látky, ktoré vytvárajú dojem, že tabakový výrobok má prínos pre zdravie alebo predstavuje znížené zdravotné riziká.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(Článok 8b ods. 2 bod 1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Vitamíny uvedené v zozname Únie v prílohe k nariadeniu (EÚ) č. 609/2013, v znení zmien, v súlade s jeho článkom 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Aminokyseliny a ich deriváty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Analgetiká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rastliny konopy siatej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Kanabinoidy (prírodného alebo syntetického pôvodu)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Hormóny a látky podobné hormónom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Flavonoidy a fosfolipidy s antioxidačnými účinkami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Cholínchlorid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hydroxid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citrát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Cholín vínan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S-adenozylmetionín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L-5-hydroxytryptofán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 hydrochloridu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L-karnitín-L-vínan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Seleničitan sodný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Kofeín alebo taurín alebo iné prídavné látky a stimulačné zlúčeniny, ktoré sú spojené s energiou a vitalitou (článok 8b ods. 2 bod 2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kávovníka</w:t>
            </w:r>
            <w:r>
              <w:rPr>
                <w:rStyle w:val="a"/>
                <w:color w:val="000000"/>
                <w:sz w:val="14"/>
              </w:rPr>
              <w:t xml:space="preserve"> a </w:t>
            </w:r>
            <w:r>
              <w:rPr>
                <w:rStyle w:val="a"/>
                <w:color w:val="000000"/>
                <w:sz w:val="14"/>
                <w:b/>
              </w:rPr>
              <w:t xml:space="preserve">kávových zŕn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čajovníka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paulínie nápojovej (guarany)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cezmíny paraguajskej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</w:t>
            </w:r>
            <w:r>
              <w:rPr>
                <w:rStyle w:val="a"/>
                <w:color w:val="000000"/>
                <w:sz w:val="14"/>
                <w:b/>
              </w:rPr>
              <w:t xml:space="preserve">stromu kola</w:t>
            </w:r>
            <w:r>
              <w:rPr>
                <w:rStyle w:val="a"/>
                <w:color w:val="000000"/>
                <w:sz w:val="14"/>
              </w:rPr>
              <w:t xml:space="preserve"> alebo </w:t>
            </w:r>
            <w:r>
              <w:rPr>
                <w:rStyle w:val="a"/>
                <w:color w:val="000000"/>
                <w:sz w:val="14"/>
                <w:b/>
              </w:rPr>
              <w:t xml:space="preserve">kolového orecha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Maltodextrín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Prídavné látky, ktorých vlastnosti spôsobujú sfarbenie emisií.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(Článok 8b ods. 2 bod 3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Prídavné látky, ktoré uľahčujú vdychovanie alebo vstrebávanie nikotínu v tabakových výrobkoch (článok 8b ods. 2 bod 4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a analógy, agonisty TRPM-8, „chladiace zlúčeniny“, „syntetické chladiace látky“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p-mentán-3-substituované a modifikované zlúčeniny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Všetky látky alebo zmesi s chladiacimi alebo analgetickými účinkami sa považujú za látky, ktoré uľahčujú inhaláciu.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Referencia: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Date: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decembra 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Referenčné číslo dokumentu: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p-mentán-3-karboxamid vrátane p-mentán-3-N-alkylkarboxamidu a p-mentán-3-N-arylkarboxamidu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p-mentán-3-éter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Kyseliny p-mentán-3-karboxylové a ich estery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Ostatné p-mentán-3-substituované a modifikované zlúčeniny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p-mentánové alkoholy a ich estery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Príklady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N-etyl-p-mentán-3-karboxamid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Kyselina 2-izopropyl-5-metylcyklohexánkarboxylová (4-metoxyfenyl) 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(1R,2S,5R)-N-((etoxykarbonyl)metyl)-p-mentán-3-karboxamid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N-terc-butyl-p-mentán-3-karboxamid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2-izopropyl-N,2,3-trimetylbutyramid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N-(p-mentán-3-karbonyl)-D-alanín etyl ester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N-(4-fluórfenyl)-p-mentán-3-karboxamid (CPS- 124)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N-(4-etoxyfenyl)-p-mentán-3-karboxamid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Mentyllaktát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Mentoxypropán-1,2-diol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2-izopropyl-5-metylcyklohexánkarboxylovej kyseliny 2,3-dihydroxypropyl 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Mentón 1,2-glycerol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Monomentyl-sukcinát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Mentyl-3-hydroxybutyrát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Mentylacetát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etylénglykolkarbonát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2,3-dihydroxypropyl p-mentán-3-karboxylát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Cis-p-mentán-3,8-diol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Icilín/chladiaci prostriedok AG-3-5 (3,4-dihydro-3-(2-hydroxyfenyl)-6-(3-nitrofenyl)-(1H)-pyrimidín-2-ón)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2-izopropyl-N 2,3-trimetylbutyramid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1-(Di-sek-butyl-fosfinoyl)-heptán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5-metyl-4-(1-pyrolidinyl)-3-2H-furanón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L-karvón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(eukalyptol)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Hydroxycitronellal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Zložky vrátane spracovaných zložiek, výťažkov a olejov z rastlín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Mäta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Bazalka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Tymián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Šalvia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Nikotínové soli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benzoát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Nikotínové soli sa pri vdýchnutí môžu absorbovať do tela rýchlejšie a spôsobiť menšie podráždenie ako nikotín vo voľnej forme.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Referencie: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dvojvínan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laktát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levulinát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malát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Nikotín salicylát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Prídavné látky, ktoré majú CMR vlastnosti v nezhorenej forme.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(Článok 10b ods. 7 bod 3 v spojení s článkom 8b ods. 2 bodom 5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v súlade s časťou 3 prílohy VI k nariadeniu Európskeho parlamentu a Rady (ES) č. 1272/2008 zo 16. decembra 2008 o klasifikácii, označovaní a balení látok a zmesí, o zmene, doplnení a zrušení smerníc 67/548/EHS a 1999/45/ES a o zmene a doplnení nariadenia (ES) č. 1907/2006 (Ú. v. EÚ L 353, 31.12.2006, s. 1), naposledy zmenenému nariadením (EÚ) 2016/1179 (Ú. v. EÚ L 195, 20.7.2016, s. 11), ako </w:t>
            </w:r>
            <w:r>
              <w:rPr>
                <w:rStyle w:val="a"/>
                <w:color w:val="000000"/>
                <w:sz w:val="12"/>
                <w:b/>
              </w:rPr>
              <w:t xml:space="preserve">CMR látky kategórie 1A, 1B, 2 alebo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podľa zoznamu klasifikácií Medzinárodnej agentúry pre výskum rakoviny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vzhľadom na karcinogénne účinky u ľudí v </w:t>
            </w:r>
            <w:r>
              <w:rPr>
                <w:rStyle w:val="a"/>
                <w:color w:val="000000"/>
                <w:sz w:val="12"/>
                <w:b/>
              </w:rPr>
              <w:t xml:space="preserve">skupinách 1, 2A alebo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národným toxikologickým programom (NTP) Spojených štátov ako „známe“ alebo „opodstatnene očakávané“ ako ľudské karcinogény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Látky, ktoré podľa </w:t>
            </w:r>
            <w:r>
              <w:rPr>
                <w:rStyle w:val="a"/>
                <w:color w:val="000000"/>
                <w:sz w:val="12"/>
                <w:b/>
              </w:rPr>
              <w:t xml:space="preserve">zoznamu hodnôt MAK a BAT</w:t>
            </w:r>
            <w:r>
              <w:rPr>
                <w:rStyle w:val="a"/>
                <w:color w:val="000000"/>
                <w:sz w:val="12"/>
              </w:rPr>
              <w:t xml:space="preserve"> (ktorý uverejnilo združenie Deutsche Forschungsgemeinschaft (DFG)) klasifikovala komisia MAK ako látky s karcinogénnymi účinkami v kategóriách 1, 2, 4 alebo 5, s teratogénnymi účinkami v kategóriách A, B alebo C a s mutagénnymi účinkami na zárodočné bunky v kategóriách 1, 2, 3A alebo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Európskym úradom pre bezpečnosť potravín (EFSA) ako karcinogénne, mutagénne alebo toxické pre reprodukciu.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–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Príklady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Izoforón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Pyridín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Chryzén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Oxid titaničitý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Metyleugenol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s účinkami na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reprodukčný systém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Parabény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Propylparabén (propylester kyseliny para-hydroxybenzoovej)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Niektoré parabény vykazujú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účinky toxické pre reprodukciu.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Referencie: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(Scientific Committee on Consumer Safety)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(European Food Safety Authority)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Propylparabén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Propylparabén draselný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Butylparabén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Butylparabén draselný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Izobutylparabén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Izobutylparabén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Sasafrasový olej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Obsahuje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Sasafrasové drevo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Sasafrasové listy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Sasafrasová kôra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Strana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Strana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Konečná verzia podľa poradného výboru pre zložky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Konečná verzia podľa poradného výboru pre zložky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sk-SK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