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Is aistriúchán uathoibríoch é seo</w:t>
      </w:r>
    </w:p>
    <w:p w14:paraId="48A46481" w14:textId="77777777">
      <w:pPr>
        <w:pStyle w:val="P68B1DB1-Title1"/>
        <w:spacing w:before="0"/>
        <w:ind w:left="0"/>
      </w:pPr>
    </w:p>
    <w:p w14:paraId="5DDBFD33" w14:textId="3AD4A40E">
      <w:pPr>
        <w:pStyle w:val="P68B1DB1-Title1"/>
        <w:spacing w:before="0"/>
        <w:ind w:left="0"/>
      </w:pPr>
      <w:r>
        <w:t xml:space="preserve">Cásdlí maidir le Treoir (AE) 2015/1535</w:t>
      </w:r>
    </w:p>
    <w:p w14:paraId="5AFCD03C" w14:textId="77777777">
      <w:pPr>
        <w:pStyle w:val="BodyText"/>
      </w:pPr>
    </w:p>
    <w:p w14:paraId="55805DA1" w14:textId="3A3D4AA9">
      <w:pPr>
        <w:pStyle w:val="BodyText"/>
      </w:pPr>
      <w:r>
        <w:t xml:space="preserve">Sainaithnítear sa doiciméad seo príomhbhreithiúnais agus príomhorduithe Chúirt Bhreithiúnais an Aontais Eorpaigh maidir le raon feidhme agus cur i bhfeidhm Threoir (AE) 2015/1535, lena mbunaítear nós imeachta chun faisnéis a sholáthar i réimse na rialachán teicniúil agus na rialacha teicniúla maidir le seirbhísí na sochaí faisnéise. Is é is aidhm dó feidhmiú mar threoir d’údaráis riaracháin na mBallstát, don tionscal agus do shaoránaigh.</w:t>
      </w:r>
    </w:p>
    <w:p w14:paraId="4F3E66AE" w14:textId="77777777">
      <w:pPr>
        <w:pStyle w:val="BodyText"/>
        <w:rPr>
          <w:sz w:val="22"/>
          <w:szCs w:val="18"/>
        </w:rPr>
      </w:pPr>
    </w:p>
    <w:p w14:paraId="53D6EBA0" w14:textId="77777777">
      <w:pPr>
        <w:pStyle w:val="BodyText"/>
      </w:pPr>
      <w:r>
        <w:t xml:space="preserve">Ós rud é nach doiciméad uileghabhálach é an doiciméad seo, d’fhéadfadh sé nach gcuirfí roinnt cinntí ábhartha san áireamh.</w:t>
      </w:r>
    </w:p>
    <w:p w14:paraId="771A43E5" w14:textId="77777777">
      <w:pPr>
        <w:pStyle w:val="BodyText"/>
      </w:pPr>
    </w:p>
    <w:p w14:paraId="45186CE0" w14:textId="45ABA22D">
      <w:pPr>
        <w:pStyle w:val="BodyText"/>
      </w:pPr>
      <w:r>
        <w:t xml:space="preserve">Cuirtear na breithiúnais i láthair in ord croineolaíoch agus tá an doiciméad leagtha amach i gceithre chuid:</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Tagraíonn na cinntí as ar tiomsaíodh sleachta sa doiciméad seo do threoracha comhleanúnacha lena leagtar síos nós imeachta maidir le faisnéis a sholáthar i réimse na rialachán teicniúil. Léirítear sa tábla coibhéise seo a leanas leanúnachas a bpríomhfhorálacha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Tábla coibhéise na bpríomhfhorálacha </w:t>
      </w:r>
    </w:p>
    <w:p w14:paraId="74F41B86" w14:textId="7258661E">
      <w:pPr>
        <w:pStyle w:val="P68B1DB1-Normal5"/>
        <w:spacing w:after="0" w:line="240" w:lineRule="auto"/>
        <w:jc w:val="center"/>
        <w:rPr>
          <w:bCs/>
        </w:rPr>
      </w:pPr>
      <w:r>
        <w:t xml:space="preserve">Treoir (AE) 2015/1535, Treoir 98/34/CE agus Treoir 83/189/CEE</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Ábhar na bhforálacha</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Treoir (AE)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Treoir 98/34/CE</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Treoir 83/189/CEE</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Sainmhíniú ar ‘tháirgí’</w:t>
            </w:r>
          </w:p>
        </w:tc>
        <w:tc>
          <w:tcPr>
            <w:tcW w:w="2457" w:type="dxa"/>
          </w:tcPr>
          <w:p w14:paraId="4A418F3D" w14:textId="11CADE6C">
            <w:pPr>
              <w:pStyle w:val="P68B1DB1-Normal7"/>
              <w:spacing w:line="240" w:lineRule="auto"/>
            </w:pPr>
            <w:r>
              <w:t xml:space="preserve">Airteagal 1(1)(a)</w:t>
            </w:r>
          </w:p>
        </w:tc>
        <w:tc>
          <w:tcPr>
            <w:tcW w:w="2315" w:type="dxa"/>
          </w:tcPr>
          <w:p w14:paraId="5020F0EC" w14:textId="29FBC8B8">
            <w:pPr>
              <w:pStyle w:val="P68B1DB1-Normal7"/>
              <w:spacing w:line="240" w:lineRule="auto"/>
            </w:pPr>
            <w:r>
              <w:t xml:space="preserve">Airteagal 1(1)</w:t>
            </w:r>
          </w:p>
        </w:tc>
        <w:tc>
          <w:tcPr>
            <w:tcW w:w="2315" w:type="dxa"/>
          </w:tcPr>
          <w:p w14:paraId="1AC77ECE" w14:textId="6BC392C6">
            <w:pPr>
              <w:pStyle w:val="P68B1DB1-Normal7"/>
              <w:spacing w:line="240" w:lineRule="auto"/>
            </w:pPr>
            <w:r>
              <w:t xml:space="preserve">Airteagal 1(7)</w:t>
            </w:r>
          </w:p>
        </w:tc>
      </w:tr>
      <w:tr w14:paraId="4F3F95AF" w14:textId="77777777">
        <w:trPr>
          <w:trHeight w:val="599"/>
        </w:trPr>
        <w:tc>
          <w:tcPr>
            <w:tcW w:w="3119" w:type="dxa"/>
          </w:tcPr>
          <w:p w14:paraId="42CDA066" w14:textId="77777777">
            <w:pPr>
              <w:pStyle w:val="P68B1DB1-Normal7"/>
              <w:spacing w:line="240" w:lineRule="auto"/>
            </w:pPr>
            <w:r>
              <w:t xml:space="preserve">Sainmhíniú ar ‘seirbhísí’</w:t>
            </w:r>
          </w:p>
        </w:tc>
        <w:tc>
          <w:tcPr>
            <w:tcW w:w="2457" w:type="dxa"/>
          </w:tcPr>
          <w:p w14:paraId="658F3867" w14:textId="6E2F4A98">
            <w:pPr>
              <w:pStyle w:val="P68B1DB1-Normal7"/>
              <w:spacing w:line="240" w:lineRule="auto"/>
            </w:pPr>
            <w:r>
              <w:t xml:space="preserve">Airteagal 1(1)(b)</w:t>
            </w:r>
          </w:p>
        </w:tc>
        <w:tc>
          <w:tcPr>
            <w:tcW w:w="2315" w:type="dxa"/>
          </w:tcPr>
          <w:p w14:paraId="4273AEF8" w14:textId="51C8B937">
            <w:pPr>
              <w:pStyle w:val="P68B1DB1-Normal7"/>
              <w:spacing w:line="240" w:lineRule="auto"/>
            </w:pPr>
            <w:r>
              <w:t xml:space="preserve">Airteagal 1(2)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Sainmhíniú ar ‘sonraíocht theicniúil’</w:t>
            </w:r>
          </w:p>
        </w:tc>
        <w:tc>
          <w:tcPr>
            <w:tcW w:w="2457" w:type="dxa"/>
          </w:tcPr>
          <w:p w14:paraId="1CD6781C" w14:textId="4816FB95">
            <w:pPr>
              <w:pStyle w:val="P68B1DB1-Normal7"/>
              <w:spacing w:line="240" w:lineRule="auto"/>
            </w:pPr>
            <w:r>
              <w:t xml:space="preserve">Airteagal 1(1)(c)</w:t>
            </w:r>
          </w:p>
        </w:tc>
        <w:tc>
          <w:tcPr>
            <w:tcW w:w="2315" w:type="dxa"/>
          </w:tcPr>
          <w:p w14:paraId="6ACA8AFC" w14:textId="5CBBFC47">
            <w:pPr>
              <w:pStyle w:val="P68B1DB1-Normal7"/>
              <w:spacing w:line="240" w:lineRule="auto"/>
            </w:pPr>
            <w:r>
              <w:t xml:space="preserve">Airteagal 1(3)</w:t>
            </w:r>
          </w:p>
        </w:tc>
        <w:tc>
          <w:tcPr>
            <w:tcW w:w="2315" w:type="dxa"/>
          </w:tcPr>
          <w:p w14:paraId="7742C3F4" w14:textId="668574B6">
            <w:pPr>
              <w:pStyle w:val="P68B1DB1-Normal7"/>
              <w:spacing w:line="240" w:lineRule="auto"/>
            </w:pPr>
            <w:r>
              <w:t xml:space="preserve">Airteagal 1(1)</w:t>
            </w:r>
          </w:p>
        </w:tc>
      </w:tr>
      <w:tr w14:paraId="39DCA993" w14:textId="77777777">
        <w:trPr>
          <w:trHeight w:val="599"/>
        </w:trPr>
        <w:tc>
          <w:tcPr>
            <w:tcW w:w="3119" w:type="dxa"/>
          </w:tcPr>
          <w:p w14:paraId="412D2403" w14:textId="77777777">
            <w:pPr>
              <w:pStyle w:val="P68B1DB1-Normal7"/>
              <w:spacing w:line="240" w:lineRule="auto"/>
            </w:pPr>
            <w:r>
              <w:t xml:space="preserve">Sainmhíniú ar ‘ceanglais eile’</w:t>
            </w:r>
          </w:p>
        </w:tc>
        <w:tc>
          <w:tcPr>
            <w:tcW w:w="2457" w:type="dxa"/>
          </w:tcPr>
          <w:p w14:paraId="7BCB4CC5" w14:textId="4C804DFA">
            <w:pPr>
              <w:pStyle w:val="P68B1DB1-Normal7"/>
              <w:spacing w:line="240" w:lineRule="auto"/>
            </w:pPr>
            <w:r>
              <w:t xml:space="preserve">Airteagal 1(1)(d)</w:t>
            </w:r>
          </w:p>
        </w:tc>
        <w:tc>
          <w:tcPr>
            <w:tcW w:w="2315" w:type="dxa"/>
          </w:tcPr>
          <w:p w14:paraId="414D1EEC" w14:textId="18CAA0FE">
            <w:pPr>
              <w:pStyle w:val="P68B1DB1-Normal7"/>
              <w:spacing w:line="240" w:lineRule="auto"/>
            </w:pPr>
            <w:r>
              <w:t xml:space="preserve">Airteagal 1(4)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Sainmhíniú ar ‘riail maidir le seirbhísí’</w:t>
            </w:r>
          </w:p>
        </w:tc>
        <w:tc>
          <w:tcPr>
            <w:tcW w:w="2457" w:type="dxa"/>
          </w:tcPr>
          <w:p w14:paraId="136F7BB7" w14:textId="4AA67A90">
            <w:pPr>
              <w:pStyle w:val="P68B1DB1-Normal7"/>
              <w:spacing w:line="240" w:lineRule="auto"/>
            </w:pPr>
            <w:r>
              <w:t xml:space="preserve">Airteagal 1(1)(e)</w:t>
            </w:r>
          </w:p>
        </w:tc>
        <w:tc>
          <w:tcPr>
            <w:tcW w:w="2315" w:type="dxa"/>
          </w:tcPr>
          <w:p w14:paraId="36E9CD4F" w14:textId="1B75247A">
            <w:pPr>
              <w:pStyle w:val="P68B1DB1-Normal7"/>
              <w:spacing w:line="240" w:lineRule="auto"/>
            </w:pPr>
            <w:r>
              <w:t xml:space="preserve">Airteagal 1(5)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Sainmhíniú ar ‘rialachán teicniúil’</w:t>
            </w:r>
          </w:p>
        </w:tc>
        <w:tc>
          <w:tcPr>
            <w:tcW w:w="2457" w:type="dxa"/>
          </w:tcPr>
          <w:p w14:paraId="46C85599" w14:textId="1342B29E">
            <w:pPr>
              <w:pStyle w:val="P68B1DB1-Normal7"/>
              <w:spacing w:line="240" w:lineRule="auto"/>
            </w:pPr>
            <w:r>
              <w:t xml:space="preserve">Airteagal 1(1)(f)</w:t>
            </w:r>
          </w:p>
        </w:tc>
        <w:tc>
          <w:tcPr>
            <w:tcW w:w="2315" w:type="dxa"/>
          </w:tcPr>
          <w:p w14:paraId="0E88B9E2" w14:textId="31F951B8">
            <w:pPr>
              <w:pStyle w:val="P68B1DB1-Normal7"/>
              <w:spacing w:line="240" w:lineRule="auto"/>
            </w:pPr>
            <w:r>
              <w:t xml:space="preserve">Airteagal 1(11)</w:t>
            </w:r>
          </w:p>
        </w:tc>
        <w:tc>
          <w:tcPr>
            <w:tcW w:w="2315" w:type="dxa"/>
          </w:tcPr>
          <w:p w14:paraId="2E4FCAC6" w14:textId="1930FF48">
            <w:pPr>
              <w:pStyle w:val="P68B1DB1-Normal7"/>
              <w:spacing w:line="240" w:lineRule="auto"/>
            </w:pPr>
            <w:r>
              <w:t xml:space="preserve">Airteagal 1(5)</w:t>
            </w:r>
          </w:p>
        </w:tc>
      </w:tr>
      <w:tr w14:paraId="0C829266" w14:textId="77777777">
        <w:trPr>
          <w:trHeight w:val="599"/>
        </w:trPr>
        <w:tc>
          <w:tcPr>
            <w:tcW w:w="3119" w:type="dxa"/>
          </w:tcPr>
          <w:p w14:paraId="2E36B6FC" w14:textId="77777777">
            <w:pPr>
              <w:pStyle w:val="P68B1DB1-Normal7"/>
              <w:spacing w:line="240" w:lineRule="auto"/>
            </w:pPr>
            <w:r>
              <w:t xml:space="preserve">An oibleagáid fógra a thabhairt</w:t>
            </w:r>
          </w:p>
        </w:tc>
        <w:tc>
          <w:tcPr>
            <w:tcW w:w="2457" w:type="dxa"/>
          </w:tcPr>
          <w:p w14:paraId="04169FF7" w14:textId="77777777">
            <w:pPr>
              <w:pStyle w:val="P68B1DB1-Normal7"/>
              <w:spacing w:line="240" w:lineRule="auto"/>
            </w:pPr>
            <w:r>
              <w:t xml:space="preserve">An chéad abairt d’Airteagal 5(1)</w:t>
            </w:r>
          </w:p>
        </w:tc>
        <w:tc>
          <w:tcPr>
            <w:tcW w:w="2315" w:type="dxa"/>
          </w:tcPr>
          <w:p w14:paraId="730385F8" w14:textId="77777777">
            <w:pPr>
              <w:pStyle w:val="P68B1DB1-Normal7"/>
              <w:spacing w:line="240" w:lineRule="auto"/>
            </w:pPr>
            <w:r>
              <w:t xml:space="preserve">An chéad abairt d’Airteagal 8(1)</w:t>
            </w:r>
          </w:p>
        </w:tc>
        <w:tc>
          <w:tcPr>
            <w:tcW w:w="2315" w:type="dxa"/>
          </w:tcPr>
          <w:p w14:paraId="6937609F" w14:textId="5A2377E0">
            <w:pPr>
              <w:pStyle w:val="P68B1DB1-Normal8"/>
              <w:spacing w:line="240" w:lineRule="auto"/>
            </w:pPr>
            <w:r>
              <w:t xml:space="preserve">Airteagal 8(1)</w:t>
            </w:r>
          </w:p>
        </w:tc>
      </w:tr>
      <w:tr w14:paraId="4472DE96" w14:textId="77777777">
        <w:trPr>
          <w:trHeight w:val="599"/>
        </w:trPr>
        <w:tc>
          <w:tcPr>
            <w:tcW w:w="3119" w:type="dxa"/>
          </w:tcPr>
          <w:p w14:paraId="08371658" w14:textId="2AE2569B">
            <w:pPr>
              <w:pStyle w:val="P68B1DB1-Normal7"/>
              <w:spacing w:line="240" w:lineRule="auto"/>
            </w:pPr>
            <w:r>
              <w:t xml:space="preserve">Fógra a thabhairt faoi fhorálacha bunúsacha nó faoi fhorálacha lena mbaineann</w:t>
            </w:r>
          </w:p>
        </w:tc>
        <w:tc>
          <w:tcPr>
            <w:tcW w:w="2457" w:type="dxa"/>
          </w:tcPr>
          <w:p w14:paraId="4460E5CA" w14:textId="77777777">
            <w:pPr>
              <w:pStyle w:val="P68B1DB1-Normal7"/>
              <w:spacing w:line="240" w:lineRule="auto"/>
            </w:pPr>
            <w:r>
              <w:t xml:space="preserve">An dara habairt d’Airteagal 5(1)</w:t>
            </w:r>
          </w:p>
        </w:tc>
        <w:tc>
          <w:tcPr>
            <w:tcW w:w="2315" w:type="dxa"/>
          </w:tcPr>
          <w:p w14:paraId="545C5C96" w14:textId="77777777">
            <w:pPr>
              <w:pStyle w:val="P68B1DB1-Normal7"/>
              <w:spacing w:line="240" w:lineRule="auto"/>
            </w:pPr>
            <w:r>
              <w:t xml:space="preserve">An dara habairt d’Airteagal 8(1)</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Fógra a thabhairt an athuair le linn na tréimhse neamhghníomhaíochta</w:t>
            </w:r>
          </w:p>
        </w:tc>
        <w:tc>
          <w:tcPr>
            <w:tcW w:w="2457" w:type="dxa"/>
          </w:tcPr>
          <w:p w14:paraId="65494BDB" w14:textId="77777777">
            <w:pPr>
              <w:pStyle w:val="P68B1DB1-Normal7"/>
              <w:spacing w:line="240" w:lineRule="auto"/>
            </w:pPr>
            <w:r>
              <w:t xml:space="preserve">An tríú habairt d’Airteagal 5(1)</w:t>
            </w:r>
          </w:p>
        </w:tc>
        <w:tc>
          <w:tcPr>
            <w:tcW w:w="2315" w:type="dxa"/>
          </w:tcPr>
          <w:p w14:paraId="47F0091E" w14:textId="77777777">
            <w:pPr>
              <w:pStyle w:val="P68B1DB1-Normal7"/>
              <w:spacing w:line="240" w:lineRule="auto"/>
            </w:pPr>
            <w:r>
              <w:t xml:space="preserve">An tríú habairt d’Airteagal 8(1)</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Tréimhse neamhghníomhaíochta</w:t>
            </w:r>
          </w:p>
        </w:tc>
        <w:tc>
          <w:tcPr>
            <w:tcW w:w="2457" w:type="dxa"/>
          </w:tcPr>
          <w:p w14:paraId="0FDAA36A" w14:textId="77777777">
            <w:pPr>
              <w:pStyle w:val="P68B1DB1-Normal7"/>
              <w:spacing w:line="240" w:lineRule="auto"/>
            </w:pPr>
            <w:r>
              <w:t xml:space="preserve">Airteagal 6</w:t>
            </w:r>
          </w:p>
        </w:tc>
        <w:tc>
          <w:tcPr>
            <w:tcW w:w="2315" w:type="dxa"/>
          </w:tcPr>
          <w:p w14:paraId="51BBC4E4" w14:textId="77777777">
            <w:pPr>
              <w:pStyle w:val="P68B1DB1-Normal7"/>
              <w:spacing w:line="240" w:lineRule="auto"/>
            </w:pPr>
            <w:r>
              <w:t xml:space="preserve">Airteagal 9</w:t>
            </w:r>
          </w:p>
        </w:tc>
        <w:tc>
          <w:tcPr>
            <w:tcW w:w="2315" w:type="dxa"/>
          </w:tcPr>
          <w:p w14:paraId="2B7D3F30" w14:textId="77777777">
            <w:pPr>
              <w:pStyle w:val="P68B1DB1-Normal8"/>
              <w:spacing w:line="240" w:lineRule="auto"/>
            </w:pPr>
            <w:r>
              <w:t xml:space="preserve">Airteagal 9</w:t>
            </w:r>
          </w:p>
        </w:tc>
      </w:tr>
      <w:tr w14:paraId="31FCCE62" w14:textId="77777777">
        <w:trPr>
          <w:trHeight w:val="599"/>
        </w:trPr>
        <w:tc>
          <w:tcPr>
            <w:tcW w:w="3119" w:type="dxa"/>
          </w:tcPr>
          <w:p w14:paraId="067F46A1" w14:textId="77777777">
            <w:pPr>
              <w:pStyle w:val="P68B1DB1-Normal7"/>
              <w:spacing w:line="240" w:lineRule="auto"/>
            </w:pPr>
            <w:r>
              <w:t xml:space="preserve">Eisceachtaí ar fhógra a thabhairt agus ar oibleagáidí neamhghníomhaíochta</w:t>
            </w:r>
          </w:p>
        </w:tc>
        <w:tc>
          <w:tcPr>
            <w:tcW w:w="2457" w:type="dxa"/>
          </w:tcPr>
          <w:p w14:paraId="5BC53094" w14:textId="77777777">
            <w:pPr>
              <w:pStyle w:val="P68B1DB1-Normal7"/>
              <w:spacing w:line="240" w:lineRule="auto"/>
            </w:pPr>
            <w:r>
              <w:t xml:space="preserve">Airteagal 7</w:t>
            </w:r>
          </w:p>
        </w:tc>
        <w:tc>
          <w:tcPr>
            <w:tcW w:w="2315" w:type="dxa"/>
          </w:tcPr>
          <w:p w14:paraId="36E59068" w14:textId="77777777">
            <w:pPr>
              <w:pStyle w:val="P68B1DB1-Normal7"/>
              <w:spacing w:line="240" w:lineRule="auto"/>
            </w:pPr>
            <w:r>
              <w:t xml:space="preserve">Airteagal 10</w:t>
            </w:r>
          </w:p>
        </w:tc>
        <w:tc>
          <w:tcPr>
            <w:tcW w:w="2315" w:type="dxa"/>
          </w:tcPr>
          <w:p w14:paraId="1FE1BC2D" w14:textId="77777777">
            <w:pPr>
              <w:pStyle w:val="P68B1DB1-Normal8"/>
              <w:spacing w:line="240" w:lineRule="auto"/>
            </w:pPr>
            <w:r>
              <w:t xml:space="preserve">Airteagal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Séanadh</w:t>
      </w:r>
    </w:p>
    <w:p w14:paraId="0CB71D4E" w14:textId="7BF1CD8D">
      <w:pPr>
        <w:jc w:val="both"/>
        <w:rPr>
          <w:rFonts w:ascii="Times New Roman" w:hAnsi="Times New Roman" w:cs="Times New Roman"/>
          <w:sz w:val="24"/>
          <w:szCs w:val="24"/>
        </w:rPr>
        <w:pStyle w:val="P68B1DB1-Normal7"/>
      </w:pPr>
      <w:r>
        <w:t xml:space="preserve">Is é is aidhm don fhaisnéis agus don treoir sa doiciméad seo cur le tuiscint níos fearr ar na rialacha maidir le fógra a thabhairt faoi Threoir (AE) 2015/1535.</w:t>
      </w:r>
    </w:p>
    <w:p w14:paraId="67EC004B" w14:textId="434F8650">
      <w:pPr>
        <w:jc w:val="both"/>
        <w:rPr>
          <w:rFonts w:ascii="Times New Roman" w:hAnsi="Times New Roman" w:cs="Times New Roman"/>
          <w:sz w:val="24"/>
          <w:szCs w:val="24"/>
        </w:rPr>
        <w:pStyle w:val="P68B1DB1-Normal7"/>
      </w:pPr>
      <w:r>
        <w:t xml:space="preserve">Tá sé sin beartaithe mar uirlis treorach amháin. Níl feidhm dhlíthiúil ach ag téacs na Treorach agus d’fhéadfadh sé cearta agus oibleagáidí a chruthú do dhaoine aonair agus do na Ballstáit. Ní chruthaítear aon cheart ná ionchas infhorfheidhmithe leis an doiciméad seo.</w:t>
      </w:r>
    </w:p>
    <w:p w14:paraId="63D425FC" w14:textId="2836B58B">
      <w:pPr>
        <w:jc w:val="both"/>
        <w:rPr>
          <w:rFonts w:ascii="Times New Roman" w:hAnsi="Times New Roman" w:cs="Times New Roman"/>
          <w:sz w:val="24"/>
          <w:szCs w:val="24"/>
        </w:rPr>
        <w:pStyle w:val="P68B1DB1-Normal7"/>
      </w:pPr>
      <w:r>
        <w:t xml:space="preserve">Is inniúlacht eisiach de chuid Chúirt Bhreithiúnais an Aontais Eorpaigh é an léirmhíniú ceangailteach ar reachtaíocht an Aontais Eorpaigh. Tá na tuairimí a chuirtear in iúl sa doiciméad seo gan dochar don seasamh a d’fhéadfadh an Coimisiún a ghlacadh os comhair na Cúirte Breithiúnais.</w:t>
      </w:r>
    </w:p>
    <w:p w14:paraId="5CC222EA" w14:textId="4A13BEE2">
      <w:pPr>
        <w:jc w:val="both"/>
        <w:rPr>
          <w:rFonts w:ascii="Times New Roman" w:hAnsi="Times New Roman" w:cs="Times New Roman"/>
          <w:sz w:val="24"/>
          <w:szCs w:val="24"/>
        </w:rPr>
        <w:pStyle w:val="P68B1DB1-Normal7"/>
      </w:pPr>
      <w:r>
        <w:t xml:space="preserve">Ós rud é go léiríonn an doiciméad seo staid an chásdlí tráth a dréachtaithe, ba cheart é a mheas mar ‘uirlis bheo’ a d’fhéadfaí a fheabhsú agus d’fhéadfadh a bhfuil ann a bheith faoi réir modhnuithe gan fógra.</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Aicmiú mar Rialachán Teicniúil</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cuimsíonn an coincheap ‘rialachán teicniúil’ ceithre chatagóir beart, eadhon, ar an gcéad dul síos, ‘sonraíochtaí teicniúla’ de réir bhrí Airteagal 1.3 de Threoir 98/34, (ii) ‘ceanglais eile’ mar a shainmhínítear in Airteagal 1.4 den Treoir sin, (iii) ‘rialacha maidir le seirbhísí’ dá dtagraítear in Airteagal 1.5 den Treoir sin, agus, ar an dara dul síos, ‘dlíthe, rialacháin nó forálacha riaracháin na mBallstát... lena dtoirmisctear monarú, allmhairiú, margú nó úsáid táirge nó lena dtoirmisctear soláthar nó úsáid seirbhíse, nó bunaíocht mar sholáthraí seirbhíse’.”</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(Breithiúnas an 2 Feabhra 2016</w:t>
        </w:r>
      </w:hyperlink>
      <w:r>
        <w:t xml:space="preserve">, </w:t>
      </w:r>
      <w:r>
        <w:rPr>
          <w:i/>
        </w:rPr>
        <w:t>Ince</w:t>
      </w:r>
      <w:r>
        <w:t xml:space="preserve">, C-336/14, EU:C:2016:72, mír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Critéir Choiteanna le haghaidh </w:t>
      </w:r>
      <w:bookmarkEnd w:id="6"/>
      <w:r>
        <w:t xml:space="preserve">Rialacháin Theicniúla</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“Ciallaíonn ‘rialachán teicniúil’ sonraíochtaí teicniúla agus ceanglais eile nó rialacha eile maidir le seirbhísí, lena n-áirítear na forálacha riaracháin ábhartha, a bhfuil a n-urramú éigeantach, de jure nó de facto, i gcás margú, soláthar seirbhíse, bunú oibreora seirbhíse nó úsáid i mBallstát nó i gcuid mhór de, chomh maith le dlíthe, rialacháin nó forálacha riaracháin na mBallstát, seachas na forálacha sin dá bhforáiltear in Airteagal 7, lena dtoirmisctear monarú, allmhairiú, margú nó úsáid táirge nó lena dtoirmisctear soláthar nó úsáid seirbhíse, nó bunaíocht mar sholáthraí seirbhíse.”</w:t>
      </w:r>
    </w:p>
    <w:p w14:paraId="56CBE257" w14:textId="77777777">
      <w:pPr>
        <w:pStyle w:val="BodyText"/>
      </w:pPr>
    </w:p>
    <w:p w14:paraId="66B70B28" w14:textId="1278CE54">
      <w:pPr>
        <w:pStyle w:val="P68B1DB1-Normal7"/>
        <w:spacing w:after="0" w:line="240" w:lineRule="auto"/>
        <w:jc w:val="right"/>
      </w:pPr>
      <w:r>
        <w:t xml:space="preserve">(an chéad abairt d’Airteagal 1(1)(f) de Threoir (AE)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Breithiúnas an 30 Aibreán 1996</w:t>
        </w:r>
      </w:hyperlink>
      <w:r>
        <w:rPr>
          <w:rFonts w:ascii="Times New Roman" w:hAnsi="Times New Roman" w:cs="Times New Roman" w:eastAsia="Times New Roman"/>
          <w:b/>
          <w:i/>
          <w:szCs w:val="20"/>
        </w:rPr>
        <w:t xml:space="preserve">, CIA Security International SA, C-194/94, EU:C:1996:172, mír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Ní fhéadfar riail a aicmiú mar ‘rialachán teicniúil’ ach amháin má tá éifeachtaí dlíthiúla dá cuid féin aici. Ní hamhlaidh atá i gcás dlí réime nach bhfuil aon éifeacht dhlíthiúil aige do dhaoine aonair.</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Aicmítear riail mar rialachán teicniúil chun críocha Threoir 83/189 má tá éifeachtaí dlíthiúla dá cuid féin aici. Más rud é, faoin dlí náisiúnta, nach bhfuil sa riail ach bunús chun rialacháin riaracháin ina bhfuil rialacha atá ceangailteach ar pháirtithe leasmhara a ghlacadh, ionas nach mbeidh aon éifeacht dhlíthiúil aici inti féin do dhaoine aonair, ní hionann an riail sin agus rialachán teicniúil de réir bhrí na Treorach (féach an breithiúnas i gCás C-317/92 an Coimisiún v an Ghearmáin [1994] ECR 1-2039, mír 26). Ba cheart a mheabhrú anseo, de réir na chéad fhomhíre d’Airteagal 8(1) de Threoir 83/189, nach mór do na Ballstáit, ag an am céanna leis an dréachtrialachán teicniúil, an ionstraim chumasúcháin ar ar a bonn a glacadh é a chur in iúl, má tá gá le heolas ar théacs den sórt sin chun impleachtaí an dréachtrialacháin theicniúil a mheas.’</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Breithiúnas an 20 Márta 1997</w:t>
        </w:r>
      </w:hyperlink>
      <w:r>
        <w:rPr>
          <w:rFonts w:ascii="Times New Roman" w:hAnsi="Times New Roman" w:cs="Times New Roman" w:eastAsia="Times New Roman"/>
          <w:b/>
          <w:i/>
          <w:szCs w:val="20"/>
        </w:rPr>
        <w:t xml:space="preserve">, Bic Benelux, C-13/96, EU:C:1997:173, míreanna 19 agus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Ní bhaineann na cúiseanna le beart náisiúnta a ghlacadh le haicmiú an bhirt sin mar ‘rialachán teicniúil’. Is é is aidhm don Treoir, trí fhaireachán coisctheach, saorghluaiseacht earraí, atá ar cheann de bhunchlocha an Chomhphobail, a chosaint.</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Níl aon bhunús i dTreoir 83/189 le léirmhíniú lena dteorannaítear a cur i bhfeidhm do bhearta náisiúnta nach bhfuil in ann comhchuibhiú a dhéanamh ach amháin ar bhonn Airteagal 100a den Chonradh. Is é is aidhm don Treoir sin, trí fhaireachán coisctheach, saorghluaiseacht earraí, atá ar cheann de bhunchlocha an Chomhphobail, a chosaint. Tá gá le faireachán den sórt sin ós rud é go bhféadfadh rialacháin theicniúla a chumhdaítear leis an Treoir bac a chur, go díreach nó go hindíreach, go hiarbhír nó go féideartha, ar thrádáil earraí laistigh den Chomhphobal. D’fhéadfadh bacainní den sórt sin teacht as rialacháin theicniúla náisiúnta a ghlacadh fiú mura ndéanann na rialacháin sin dúbláil ar mharcálacha atá greamaithe sa Bhallstát tionscnaimh agus gan beann ar na forais ar ar glacadh iad.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Dá bhrí sin, cé gur glacadh beart náisiúnta chun an comhshaol a chosaint nó nach gcuireann sé caighdeán teicniúil chun feidhme a d’fhéadfadh a bheith ina bhacainn ar shaorghluaiseacht ann féin, ní chiallaíonn sé sin nach féidir an beart atá i gceist a bheith ina rialachán teicniúil de réir bhrí Threoir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Breithiúnas an 16 Samhain 2000</w:t>
        </w:r>
      </w:hyperlink>
      <w:r>
        <w:rPr>
          <w:rFonts w:ascii="Times New Roman" w:hAnsi="Times New Roman" w:cs="Times New Roman" w:eastAsia="Times New Roman"/>
          <w:b/>
          <w:i/>
          <w:szCs w:val="20"/>
        </w:rPr>
        <w:t xml:space="preserve">, Donkersteeg, C-37/99, EU:C:2000:636, míreanna 30 go 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Is ‘sonraíocht theicniúil’ iad rialacha mionsonraithe maidir le vacsaíniú ainmhithe. Mar sin féin, ní bheidh sé ina ‘rialachán teicniúil’ lena gceanglaítear fógra a thabhairt ach amháin má tá a urramú éigeantach de jure nó de facto. Ní hamhlaidh atá más rud é, i gcás sárú ar an riail, nach bhforchuirtear aon srianta ar mhargaíocht ná ar úsáid na dtáirgí lena mbaineann.</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i gcomhréir le hAirteagal 1(1) den Treoir, a mhéid a bhaineann le táirgí talmhaíochta, is éard atá i ‘sonraíocht theicniúil’ sonraíocht atá i ndoiciméad ina leagtar síos na saintréithe is gá a bheith ag táirge nó a mhodhanna agus a nósanna imeachta táirgthe.</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Is sonraíocht theicniúil de réir bhrí Airteagal 1(1) den Treoir í riail amhail an riail atá in Airteagal 2(1) de VBZA. Mar a áitíonn an Coimisiún, mar is ceart, ós rud é go bhfuil nasc idir na rialacha beachta agus mionsonraithe maidir le vacsaíniú in aghaidh ghalar Aujeszky agus táirgeadh an táirge talmhaíochta lena mbaineann, sa chiall is beaichte, agus nach mór cloí leis le linn an timthrialla táirgthe, sainítear leis an riail sin ‘nós imeachta’ i dtáirgeadh an táirge sin.</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Mar sin féin, chun go n-aicmeofar mar riail theicniúil í de réir bhrí na Treorach, ní mór a áireamh sa riail atá i gceist sna príomhimeachtaí, i gcomhréir le hAirteagal 1(5) den Treoir sin, sonraíochtaí teicniúla ‘a bhfuil a n-urramú éigeantach, de jure nó de facto, i gcás margaíochta nó úsáide i mBallstát nó i gcuid mhór de, cé is moite díobh siúd a leagann na húdaráis áitiúla síos.</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Ní mór a chur in iúl, mar atá déanta ag Rialtas na hÍsiltíre, nach bhforchuirtear aon srian leis an riail in Airteagal 2(1) de VBZA ar mhargú ná ar úsáid na dtáirgí lena mbaineann más rud é, de shárú ar an riail sin, nár vacsaíníodh muca in aghaidh ghalar Aujeszky.</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Is é an freagra nach mór a thabhairt ar an dara ceist, dá bhrí sin, nach rialachán teicniúil é foráil amhail an fhoráil atá i gceist sna príomhimeachtaí lena gceanglaítear ar gach feirmeoir na muca a bheith ar a ghabháltas vacsaínithe in aghaidh ghalar Aujeszky, chun críocha na Treorach, ar cheart fógra a thabhairt don Choimisiún ina leith sula nglacfar é.”</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Breithiúnas an 3 Nollaig 2020</w:t>
        </w:r>
      </w:hyperlink>
      <w:r>
        <w:rPr>
          <w:rFonts w:ascii="Times New Roman" w:hAnsi="Times New Roman" w:cs="Times New Roman" w:eastAsia="Times New Roman"/>
          <w:b/>
          <w:i/>
          <w:szCs w:val="20"/>
        </w:rPr>
        <w:t xml:space="preserve">, Star Taxi App, C-62/19, EU:C:2020:980, míreanna 60 agus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Chun go n-aicmeofar beart náisiúnta mar ‘rialachán teicniúil’, ní mór dó a bheith ceangailteach de jure nó de facto, maidir le soláthar nó úsáid na seirbhíse lena mbaineann, i mBallstát nó i gcuid mhór de.</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is léir ón gcéad fhomhír d’Airteagal 1(1)(f) de Threoir 2015/1535 go gciallaíonn ‘rialachán teicniúil’ ‘sonraíochtaí teicniúla agus ceanglais nó rialacha eile maidir le seirbhísí, lena n-áirítear na forálacha riaracháin ábhartha, a bhfuil a n-urramú éigeantach, de jure nó de facto, i gcás margú, soláthar seirbhíse, bunú oibreora seirbhíse nó úsáid i mBallstát nó i gcuid mhór de, chomh maith le dlíthe, rialacháin nó forálacha riaracháin na mBallstát, seachas na forálacha sin dá bhforáiltear in Airteagal 7, lena dtoirmisctear monarú, allmhairiú, margú nó úsáid táirge nó lena dtoirmisctear soláthar nó úsáid seirbhíse, nó bunaíochta mar sholáthraí seirbhíse’.</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Dá bhrí sin, chun reachtaíocht náisiúnta a dhéanann difear do sheirbhís de chuid na sochaí faisnéise a aicmiú mar ‘rialachán teicniúil’, ní hamháin nach mór í a aicmiú mar ‘riail maidir le seirbhísí’ mar a shainmhínítear in Airteagal 1(1)(e) de Threoir 2015/1535, ach ní mór í a bheith éigeantach freisin, de jure nó de facto, i gcás, inter alia, soláthar na seirbhíse atá i gceist nó úsáid na seirbhíse sin i mBallstát nó i gcuid mhór den Bhallstát sin.’</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bookmarkEnd w:id="15"/>
      <w:r>
        <w:t xml:space="preserve">Sonraíochtaí Teicniúla</w:t>
      </w:r>
      <w:bookmarkEnd w:id="16"/>
      <w:bookmarkEnd w:id="17"/>
    </w:p>
    <w:p w14:paraId="241DC1E1" w14:textId="77777777">
      <w:pPr>
        <w:pStyle w:val="BodyText"/>
      </w:pPr>
    </w:p>
    <w:p w14:paraId="24A39E18" w14:textId="77777777">
      <w:pPr>
        <w:pStyle w:val="P68B1DB1-BodyText11"/>
        <w:ind w:left="567"/>
      </w:pPr>
      <w:r>
        <w:t xml:space="preserve">“ciallaíonn ‘sonraíocht theicniúil’ sonraíocht atá i ndoiciméad ina leagtar síos na saintréithe a cheanglaítear a bheith ag táirge amhail leibhéil cháilíochta, feidhmíochta, sábháilteachta nó toisí, lena n-áirítear na ceanglais is infheidhme maidir leis an táirge i dtaca leis an ainm faoina ndíoltar an táirge, téarmaíocht, siombailí, tástáil agus modhanna tástála, pacáistiú, marcáil nó lipéadú agus nósanna imeachta um measúnú comhréireachta.</w:t>
      </w:r>
    </w:p>
    <w:p w14:paraId="33F4D1E4" w14:textId="77777777">
      <w:pPr>
        <w:pStyle w:val="P68B1DB1-BodyText11"/>
        <w:ind w:left="567"/>
      </w:pPr>
    </w:p>
    <w:p w14:paraId="5224E321" w14:textId="77777777">
      <w:pPr>
        <w:pStyle w:val="P68B1DB1-BodyText11"/>
        <w:ind w:left="567"/>
        <w:rPr>
          <w:iCs/>
        </w:rPr>
      </w:pPr>
      <w:r>
        <w:t xml:space="preserve">Cumhdaítear leis an téarma ‘sonraíocht theicniúil’ freisin modhanna agus próisis táirgthe a úsáidtear i ndáil le táirgí talmhaíochta, dá dtagraítear sa dara fomhír d’Airteagal 38(1) den Chonradh ar Fheidhmiú an Aontais Eorpaigh (CFAE), táirgí atá ceaptha lena gcaitheamh ag an duine agus ag ainmhithe, agus táirgí íocshláinte mar a shainmhínítear in Airteagal 1 de Threoir 2001/83/CE ó Pharlaimint na hEorpa agus ón gComhairle (1), chomh maith le modhanna agus próisis táirgthe a bhaineann le táirgí eile, i gcás ina mbíonn tionchar acu sin ar a saintréithe;”</w:t>
      </w:r>
    </w:p>
    <w:p w14:paraId="6C2A57E1" w14:textId="77777777">
      <w:pPr>
        <w:pStyle w:val="BodyText"/>
        <w:ind w:left="567"/>
        <w:rPr>
          <w:i/>
          <w:iCs/>
        </w:rPr>
      </w:pPr>
    </w:p>
    <w:p w14:paraId="2F7A4C59" w14:textId="62E0EC95">
      <w:pPr>
        <w:pStyle w:val="BodyText"/>
        <w:ind w:left="1440"/>
        <w:jc w:val="right"/>
      </w:pPr>
      <w:r>
        <w:t xml:space="preserve">(Airteagal 1(1)(c) de Threoir (AE)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Breithiúnas an 11 Eanáir 1996</w:t>
        </w:r>
      </w:hyperlink>
      <w:r>
        <w:rPr>
          <w:rFonts w:ascii="Times New Roman" w:hAnsi="Times New Roman" w:cs="Times New Roman" w:eastAsia="Times New Roman"/>
          <w:b/>
          <w:i/>
          <w:szCs w:val="20"/>
        </w:rPr>
        <w:t xml:space="preserve">, An Coimisiún v An Ísiltír, C-273/94, EU:C:1996:4, mír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‘Rialachán teicniúil’ is ea riail náisiúnta lena dtugtar isteach maolú ar rialachán teicniúil atá ann cheana le haghaidh táirge sonrach má fhorchuireann sí ‘sonraíochtaí teicniúla’ malartacha nach mór d’aon duine ar mian leis leas a bhaint as an maolú a chomhlíonadh.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Is rialachán teicniúil de réir bhrí Airteagal 1(5) den Treoir é rialachán a chur i bhfeidhm maidir le táirge sonrach amhail margairín de mhaolú ar rialachán teicniúil eile atá ann cheana maidir leis an táirge céanna ós rud é go mbunaítear leis sonraíochtaí teicniúla de réir bhrí Airteagal 1(1) a bhfuil a n-urramú éigeantach, de jure nó de facto, nuair a dhéantar an táirge sin a mhargú nó a úsáid. Mura monaraítear margairín i gcomhréir le forálacha Fhoraithne Margarine, ní fhéadfar é a mhonarú ach amháin trí úsáid a bhaint as táirgí ionadacha arna n-údarú leis an ordú atá faoi dhíospóid. Ní hamháin go bhfuil úsáid na dtáirgí ionadacha sin srianta leis na coinníollacha a leagtar síos san ordú atá faoi dhíospóid, ach is iad na táirgí sin amháin na roghanna malartacha ar na táirgí a fhéadfar a úsáid faoin bhForaithne Margarine. Ba cheart, dá bhrí sin, an t-ordú atá faoi dhíospóid a bheith curtha in iúl i gcomhréir leis an treoir.”</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Breithiúnas an 30 Aibreán 1996</w:t>
      </w:r>
      <w:r/>
      <w:r>
        <w:rPr>
          <w:b/>
          <w:bCs/>
          <w:i/>
          <w:iCs/>
          <w:color w:val="0000FF"/>
          <w:sz w:val="22"/>
          <w:szCs w:val="18"/>
          <w:u w:val="single"/>
        </w:rPr>
        <w:fldChar w:fldCharType="end"/>
        <w:t xml:space="preserve">, CIA Security International SA, C-194/94, EU:C:1996:172, mír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Ní mór riail a aicmiú mar ‘rialachán teicniúil’ má cheanglaíonn sí ar na gnóthais lena mbaineann iarratas a dhéanamh ar a dtrealamh a fhormheas roimh ré, fiú mura bhfuil na rialacha riaracháin atá beartaithe glactha.</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ní mór riail a aicmiú mar rialachán teicniúil de réir bhrí Threoir 83/189 más rud é, mar a chuir Rialtas na Beilge isteach ag an éisteacht, go gceanglaítear ar na gnóthais lena mbaineann iarratas a dhéanamh ar a dtrealamh a fhormheas roimh ré, fiú murar glacadh na rialacha riaracháin atá beartaithe.’</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Breithiúnas an 16 Meán Fómhair 1996</w:t>
      </w:r>
      <w:r>
        <w:rPr>
          <w:b/>
          <w:bCs/>
          <w:i/>
          <w:iCs/>
          <w:color w:val="0000FF"/>
          <w:sz w:val="24"/>
          <w:szCs w:val="20"/>
          <w:u w:val="single"/>
        </w:rPr>
        <w:fldChar w:fldCharType="end"/>
        <w:t xml:space="preserve">, An Coimisiún v An Iodáil, C-279/94, EU:C:1997:396, mír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Ní ‘sonraíocht theicniúil’ í foráil lena leagtar síos teorainneacha ar thiúchan snáithíní aispeiste inanálaithe in áiteanna oibre toisc nach sainítear léi na saintréithe is gá a bheith ag táirge.</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De réir Airteagal 1, pointe 5 den Treoir, áfach, tuigfear gurb ionann ‘rialachán teicniúil’ agus ‘sonraíochtaí teicniúla, lena n-áirítear na forálacha riaracháin ábhartha, a bhfuil a n-urramú éigeantach, de jure nó de facto, i gcás margaíochta nó úsáide i mBallstát’. De réir Airteagal 1, pointe 1, den Treoir, is éard is ‘sonraíocht theicniúil’ ann sonraíocht atá i ndoiciméad ina leagtar síos na saintréithe is gá do tháirge amhail leibhéil cháilíochta, feidhmíochta agus sábháilteachta. Le hAirteagal 3(1) de Dhlí Uimh. 257/92 leagtar síos teorainneacha maidir le tiúchan snáithíní aispeiste in-ionanálaithe in áiteanna oibre. Ós rud é nach sainmhínítear saintréith a cheanglaítear le táirge leis an bhforáil seo, ní thagann sí, i bprionsabal, faoin sainmhíniú ar shonraíocht theicniúil agus, dá bhrí sin, ní féidir í a mheas mar rialachán teicniúil nach mór fógra a thabhairt don Choimisiún ina leith de bhun na chéad fhomhíre d’Airteagal 8(1) den Treoir. Cé go bhféadfadh iarmhairtí a bheith ag urramú na dteorainneacha luacha le haghaidh tiúchain snáithíní aispeiste in-ionanálaithe dá bhforáiltear in Airteagal 3 de Dhlí Uimh. 257/92 maidir le saintréithe an táirge i gceist, ós rud é go bhforáiltear dóibh sin le hAirteagal 1, pointe 1 den Treoir, níor léirigh an Coimisiún conas a d’fhéadfadh sé sin a bheith amhlaidh.’</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Breithiúnas an 17 Meán Fómhair 1996</w:t>
        </w:r>
      </w:hyperlink>
      <w:r>
        <w:t xml:space="preserve">, An Coimisiún v An Iodáil, C-289/94, EU:C:1996:330, mír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Is ‘rialachán teicniúil’ é foraithne lena rialaítear cáilíocht an uisce atá beartaithe chun moilisc a shaothrú faoi réir fógra a thabhairt mar gheall ar an tionchar díreach atá aige ar mhargú na dtáirgí lena mbaineann.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Cé go mbaineann Foraithne Uimh. 256 le gnéithe áirithe de cháilíocht na n-uiscí atá beartaithe le haghaidh moilisc lannógacha inite, bunaítear léi, mar sin féin, mar a chuir an Coimisiún in iúl mar is ceart, dlúth-chomhghaol idir cáilíocht na n-uiscí a úsáidtear le haghaidh saothrú den sórt sin agus margú moileasc lannógraincis lena gcaitheamh ag an duine. Dá bhrí sin, ní fhéadfar ach moilisc a fhástar in uiscí a chomhlíonann na sonraíochtaí teicniúla a leagtar síos le Foraithne Uimh. 256 a mhargú. Dá bhrí sin, bíonn tionchar díreach ag comhlíonadh na sonraíochtaí sin, atá ceangailteach, ar mhargú na moileasc, agus mar thoradh air sin ní mór Foraithne Uimh. 256 a mheas mar rialachán teicniúil faoi réir an cheanglais maidir le fógra a thabhairt faoi Airteagal 8 de Threoir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Breithiúnas an 11 Bealtaine 1999</w:t>
        </w:r>
      </w:hyperlink>
      <w:r>
        <w:t xml:space="preserve">, Albers agus eile, C-425/97 go 427/97, EU:C:1999:243, míreanna 16 agus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Is ‘sonraíochtaí teicniúla’ iad na rialacha lena dtoirmisctear táirgí íocshláinte áirithe a thabhairt d’eallach toisc go sainítear leo modhanna táirgthe le haghaidh táirgí talmhaíochta.</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is sonraíochtaí teicniúla de réir bhrí Airteagal 1(1) de Threoir 83/189 iad na rialacha, amhail na rialacha sa chás seo, a bhfuil sé d’aidhm acu cosc a chur ar shubstaintí comhbhácha a thabhairt d’eallach atá os cionn 14 seachtaine d’aois.</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Sainmhínítear leis na rialacha sin na modhanna agus na nósanna imeachta táirgthe do tháirgí talmhaíochta mar a shainmhínítear iad in Airteagal 38(1) de Chonradh CE (anois, tar éis an leasaithe, Airteagal 32(1) CE) atá ceaptha lena gcaitheamh ag an duine.”</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Breithiúnas an 22 Eanáir 2000</w:t>
        </w:r>
      </w:hyperlink>
      <w:r>
        <w:t xml:space="preserve">, Canal Satélite Digital, C-390/99, EU:C:2002:34, míreanna 45 go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‘Rialachán teicniúil’ is ea riail náisiúnta lena gceanglaítear trealamh a chlárú agus a dheimhniú roimh ré chun comharthaí teilifíse satailíte a tharchur agus a ghlacadh go digiteach sula gcuirtear ar an margadh é toisc go sainmhínítear leis saintréithe na dtáirgí lena mbaineann.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chinn an Chúirt cheana féin nach rialacháin theicniúla de réir bhrí Airteagal 1, pointe 9, de Threoir 83/189 iad forálacha náisiúnta nach leagtar síos leo ach coinníollacha lena rialaítear bunú gnóthas, amhail forálacha lena gcuirtear feidhmiú gníomhaíochta faoi réir réamhúdarú. Is sonraíochtaí iad rialacháin theicniúla de réir bhrí na forála sin lena sainítear saintréithe táirgí agus ní sonraíochtaí a bhaineann le hoibreoirí eacnamaíocha (Cás C-194/94 CIA Security [1996] ECR I-2201, mír 25; Cás C-278/99 Van der Burg [2001] ECR I-2015, mír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Mar sin féin, ní mór foráil náisiúnta a aicmiú mar rialachán teicniúil de réir bhrí Airteagal 1, pointe 9, Treoir 83/189 má cheanglaítear léi ar na gnóthais lena mbaineann iarratas a dhéanamh ar a dtrealamh a fhormheas roimh ré (Slándáil CIA, mír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Dá bhrí sin, is ‘rialachán teicniúil’ de réir bhrí Airteagal 1, pointe 9, de Threoir 83/189 í riail náisiúnta lena gceanglaítear ar oibreoirí seirbhísí rochtana coinníollaí an trealamh, na díchódóirí nó na córais le haghaidh tarchur agus glacadh digiteach comharthaí teilifíse trí shatailít a iontráil, ar trealamh, díchódóirí nó córais iad a bheartaíonn siad a mhargú i gclár agus deimhniú roimh ré a fháil do na táirgí sin sula mbeidh siad in ann iad a mhargú.’</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Breithiúnas an 26 Meán Fómhair 2000</w:t>
        </w:r>
      </w:hyperlink>
      <w:r>
        <w:t xml:space="preserve">, Unilever Italia, C-443/98, EU:C:2000:496, míreanna 25 agus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Is ‘sonraíocht theicniúil’ í foráil maidir le lipéadú tionscnaimh ola olóige toisc gur ceanglas é lena rialaítear lipéadú táirge.</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Is leor a thabhairt faoi deara, maidir leis an bpointe sin, go gcaitear le Treoir 83/189, de réir Airteagal 1(1) di, mar tháirgí tionsclaíocha agus talmhaíochta araon agus, de réir mhír 2 den Airteagal céanna, go gcaitear le Treoir 83/189 mar ‘shonrú teicniúil’ aon sonraíocht atá i ndoiciméad ina leagtar síos na saintréithe a cheanglaítear le táirge, lena n-áirítear na ceanglais is infheidhme maidir leis an táirge a mhéid a bhaineann le lipéadú. Is ionann rialacha náisiúnta ina bhfuil sonraíochtaí den sórt sin agus sonraíochtaí teicniúla de réir bhrí Threoir 83/189 beag beann ar na forais ar ar glacadh iad (féach, chuige sin, Cás C-13/96 Bic Benelux v Stát na Beilge [1997] ECR I-1753, mír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Dá bhrí sin, tá rialacha sa Dlí atá faoi chonspóid, lena rialaítear lipéadú lena léirítear tionscnamh ola olóige, ar rialacha iad nach mór a aicmiú mar ‘sonraíochtaí teicniúla’ de réir bhrí Threoir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Breithiúnas an 12 Deireadh Fómhair 2000</w:t>
        </w:r>
      </w:hyperlink>
      <w:r>
        <w:t xml:space="preserve">, Snellers, C-314/98, EU:C:2000:557, míreanna 37 go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Ní mór baint a bheith ag ‘sonraíocht theicniúil’ leis an táirge ann féin. Le rialachán lena leagtar síos na critéir lena gcinntear an dáta a mheastar gur údaraíodh feithicil den chéad uair chun oibriú ar bhóithre poiblí, chun deimhniú clárúcháin a eisiúint, ní shainítear aon saintréith a éilítear ar an táirge féin agus, dá bhrí sin, ní féidir é a aicmiú mar ‘rialachán teicniúil’.</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ní sonraíochtaí teicniúla chun críocha Threoir 83/189 iad na rialacha atá ceaptha, cosúil leo siúd atá i gceist sna príomhimeachtaí, chun an dáta ar a n-údaraítear feithicil den chéad uair lena húsáid ar an mórbhealach poiblí a chinneadh agus, dá bhrí sin, ní féidir iad a aicmiú mar rialacháin theicniúla a thagann faoi raon feidhme na Treorach sin.</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Foráiltear le hAirteagal 1(1) de Threoir 83/189, maidir le táirgí amhail iad siúd atá i gceist sna príomhimeachtaí, gurb ionann sonraíocht theicniúil de réir bhrí na Treorach sin agus ‘sonraíocht atá i ndoiciméad ina leagtar síos na saintréithe a cheanglaítear le táirge. Dá bhrí sin, ní mór do shonraíochtaí teicniúla chun críocha Threoir 83/189 tagairt a dhéanamh don táirge ann féin; ina theannta sin, deimhnítear é sin leis an liosta neamh-uileghabhálach de na sonraíochtaí lena mbaineann dá bhforáiltear mar shampla in Airteagal 1(1) den Treoir sin.</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Leagtar síos leis an rialachán roinnt critéar chun an dáta a shuí a mheasfar, chun críocha an Wegenverkeerswet, gur údaraíodh feithicil den chéad uair chun an mórbhealach poiblí a úsáid, chun deimhniú clárúcháin a tharraingt suas. Dá bhrí sin, ní shainítear sa rialachán aon saintréith a éilítear don táirge ann féin.’</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Breithiúnas an 16 Samhain 2000</w:t>
        </w:r>
      </w:hyperlink>
      <w:r>
        <w:rPr>
          <w:rFonts w:ascii="Times New Roman" w:hAnsi="Times New Roman" w:cs="Times New Roman" w:eastAsia="Times New Roman"/>
          <w:b/>
          <w:i/>
          <w:szCs w:val="20"/>
        </w:rPr>
        <w:t xml:space="preserve">, Donkersteeg, C-37/99, EU:C:2000:636, míreanna 30 agus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I gcás táirgí talmhaíochta, is éard is ‘sonraíocht theicniúil’ ann téacs lena sainítear na saintréithe nó na modhanna táirgthe is gá a bhaineann leo. Riail táirgthe is ea riail lena leagtar síos coinníollacha maidir le beostoc a vacsaíniú agus, dá bhrí sin, is ‘sonraíocht theicniúil’ í.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Mar a cuireadh in iúl i mír 20 den bhreithiúnas seo, i gcomhréir le hAirteagal 1(1) den Treoir, a mhéid a bhaineann le táirgí talmhaíochta, tá ‘sonraíocht theicniúil’ i ndoiciméad ina leagtar síos na saintréithe is gá do tháirge nó a mhodhanna agus a nósanna imeachta táirgthe.</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Is sonraíocht theicniúil de réir bhrí Airteagal 1(1) den Treoir í riail amhail an riail atá in Airteagal 2(1) de VBZA. Mar a áitíonn an Coimisiún, mar is ceart, ós rud é go bhfuil nasc idir na rialacha beachta agus mionsonraithe maidir le vacsaíniú in aghaidh ghalar Aujeszky agus táirgeadh an táirge talmhaíochta lena mbaineann, sa chiall is beaichte, agus nach mór cloí leis le linn an timthrialla táirgthe, sainítear leis an riail sin ‘nós imeachta’ i dtáirgeadh an táirge sin.’</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Breithiúnas an 8 Márta 2001</w:t>
        </w:r>
      </w:hyperlink>
      <w:r>
        <w:t xml:space="preserve">, Van der Burg, C-278/99, EU:C:2001:143, mír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Ní hionann rialachán lena gcuirtear toirmeasc ar fhógraíocht tráchtála amháin, ach nach leagtar síos ann na saintréithe a cheanglaítear le táirge agus ‘sonraíocht theicniúil’ agus, dá bhrí sin, ní féidir é a mheas mar ‘rialachán teicniúil’.</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Faoi Airteagal 1(1) de Threoir 83/189, chun críocha na Treorach, is éard is ‘sonraíocht theicniúil’ ann ná ‘sonraíocht theicniúil’ atá i ndoiciméad ina leagtar síos na saintréithe is gá a bheith ag táirge’. Ní mór do shonraíochtaí teicniúla chun críocha Threoir 83/189 tagairt a dhéanamh don táirge mar sin (féach Cás C-314/98 Snellers Auto’s v Algemeen Directeur van de Dienst Wegverkeer [2000] ECR I-0000, mír 38). Mar sin féin, ní leagtar síos le reachtaíocht amhail Airteagal C.11.1(1) den Fhoraithne, nach ndéanann ach modh margaíochta a thoirmeasc, na saintréithe a cheanglaítear le táirge.’</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Breithiúnas an 6 Meitheamh 2002</w:t>
        </w:r>
      </w:hyperlink>
      <w:r>
        <w:t xml:space="preserve">, Sapod Audic, C-159/00, EU:C:2002:343, míreanna 30 go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Is ionann foráil den dlí náisiúnta lena leagtar síos oibleagáid pacáistíocht a shainaithint agus ‘rialachán teicniúil’ a bhfuil fógra le tabhairt ina leith a mhéid a bhaineann sé le hoibleagáid an phacáistíocht sin a mharcáil nó a lipéadú.</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Dá réir sin, ós rud é nach cosúil go dtugtar le tuiscint leis an oibleagáid chun an phacáistíocht a shainaithint a fhorordaítear leis an dara mír d’Airteagal 4 d’Fhoraithne Uimh. 92-377 go bhfuil oibleagáid ann an phacáistíocht sin a mharcáil nó a lipéadú, ní gá go ndéanfaí tagairt don táirge ná dá phacáistíocht inti féin leis an oibleagáid sin. Arna léiriú ar an gcaoi sin, ní féidir a rá go leagtar síos leis an bhforáil sin na saintréithe is gá do tháirge de réir bhrí Airteagal 1(1) de Threoir 83/189 agus, dá bhrí sin, ní féidir í a mheas mar shonraíocht theicniúil (féach, go háirithe, Cás C-278/99 Van der Burg [2001] ECR I-2015, mír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31.Mar sin féin, ní mór a thabhairt faoi deara, faoin roinnt cumhachtaí dá bhforáiltear in Airteagal 234 CE, gur faoin gcúirt náisiúnta atá sé an dlí náisiúnta a léiriú, an dara mír d’Airteagal 4 d’Fhoraithne Uimh. 92-377 sa chás seo.</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Dá bhrí sin, ní mór don Chúirt a mheas freisin go bhféadfadh an chúirt sin, i bhfianaise na fianaise fíorasaí agus dlíthiúla go léir os comhair na cúirte náisiúnta, teacht ar an gconclúid nach mór an dara mír d’Airteagal 4 d’Fhoraithne Uimh. 92-377 a léirmhíniú sa chaoi go bhforchuirtear oibleagáid ar tháirgeoirí an phacáistíocht a mharcáil nó a lipéadú, cé nach sonraítear an comhartha nach mór a ghreamú.</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I gcás den sórt sin, chaithfí a mheas gur sonraíocht theicniúil í an fhoráil sin de réir bhrí Threoir 83/189 agus, dá bhrí sin, ós rud é go bhforchuirtear an oibleagáid le foraithne i gcás margú táirgí pacáistithe ar fud na críche náisiúnta, gur rialachán teicniúil í an fhoráil sin.’</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Breithiúnas an 8 Meán Fómhair 2005</w:t>
        </w:r>
      </w:hyperlink>
      <w:r>
        <w:t xml:space="preserve">, C-500/03, an Coimisiún/an Phortaingéil, EU:C:2005:515, mír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Is ‘sonraíocht theicniúil’ í riail lena mbunaítear uasfhad agus uasairde árthaí áineasa agus lena dteorannaítear a chumhacht tiomána.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(Ós rud é nach bhfuil an breithiúnas ar fáil ach i bhFraincis agus i bPortaingéilis, is aistriúchán é an téacs seo a leanas.)</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Leanann sé ó fhoclaíocht Airteagal 2(1) den Rialachán sin go bhfuil sonraíochtaí teicniúla ann, de réir bhrí Airteagal 1, pointe 3, de Threoir 98/34, ar rialacháin theicniúla iad de réir bhrí na Treorach sin. Baineann na ceanglais atá sa Rialachán sin le huasfhad agus uasairde agus le teorainn na cumhachta tiomána le haghaidh árthaí pléisiúir a úsáidtear chun críocha loingseoireachta. Tá feidhm ag na teorainneacha teicniúla sin maidir le gach murlach uisce poiblí sa tseirbhís phoiblí sa Phortaingéil, cé is moite de mhurlaigh uisce phoiblí Abhainn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Breithiúnas an 8 Samhain 2007</w:t>
        </w:r>
      </w:hyperlink>
      <w:r>
        <w:t xml:space="preserve">, Schwibbert, C-20/05, EU:C:2007:652, míreanna 35 go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Is ionann forálacha náisiúnta lena dtugtar isteach an oibleagáid sainchomhartha a ghreamú de tháirgí chun críche iad a mhargú i mBallstát agus ‘sonraíocht theicniúil’ toisc gur ceanglais iad a bhaineann le marcáil agus lipéadú táirgí.</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Mar a chinn an Chúirt, glactar leis i gcoincheap na sonraíochta teicniúla go dtagraíonn an beart náisiúnta don táirge nó dá phacáistiú ann féin agus, dá bhrí sin, go leagtar síos ann ceann de na saintréithe is gá do tháirge (féach, chuige sin, Cás C-278/99 van der Burg [2001] ECR I-2015, mír 20; Cás C-390/99 Canal Satélite Digital [2002] ECR I-607, mír 45; agus freisin Sapod Audic, mír 30, agus Lindberg, mír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Sa chás seo, is léir, mar a luaigh an tAbhcóide Ginearálta i míreanna 46 agus 48 dá Tuairim, go bhfuil an sainchomhartha ‘SIAE’, atá ceaptha tomhaltóirí agus na húdaráis náisiúnta a chur ar an eolas go bhfuil na hatáirgí dleathach, greamaithe den mheán iarbhír ina bhfuil an saothar intleachtúil agus, dá bhrí sin, den táirge féin. Dá bhrí sin, níl sé ceart a choimeád, mar a rinne an Società Italiana degli Autori ed Editori agus Rialtas na hIodáile, nach mbaineann an comhartha sin ach leis an saothar intleachtúil amháin.</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Is ionann sainchomhartha den sórt sin agus ‘sonraíocht theicniúil’ de réir bhrí Airteagal 1(3) de Threoir 98/34, ós rud é go dtagann sé faoi na ceanglais is infheidhme maidir leis na táirgí lena mbaineann a mhéid a bhaineann le marcáil nó lipéadú. Dá bhrí sin, ós rud é go bhfuil comhlíonadh na sonraíochta sin éigeantach de jure chun na táirgí sin a mhargú, is ‘rialachán teicniúil’ é an tsonraíocht de réir bhrí Airteagal 1(11) den Treoir sin (féach, chuige sin, Cás C-13/96 Bic Benelux [1997] ECR I-1753, mír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Breithiúnas an 14 Aibreán 2011</w:t>
        </w:r>
      </w:hyperlink>
      <w:r>
        <w:t xml:space="preserve">, Vlaamse Dierenartsenvereniging agus Janssens, C-42/10, C-45/10 agus C-57/10, EU:C:2011:253, míreanna 68 go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Níl feidhm ag an Treoir maidir le pasanna peataí nach féidir a aicmiú mar ‘tháirgí’ toisc nach féidir leo a bheith faoi réir idirbhearta tráchtála. Dá bhrí sin, ní ‘sonraíocht theicniúil’ iad forálacha náisiúnta maidir le pasanna peataí nach mór a chur in iúl don Choimisiún.</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bhí deis ag an gCúirt a chur in iúl nach dtagann ach táirgí is féidir a luacháil in airgead agus atá in ann, dá réir sin, a bheith ina n-ábhar d’idirbhearta tráchtála faoi raon feidhme na saorghluaiseachta earraí (féach, chuige sin, inter alia, Cás 7/68 An Coimisiún v An Iodáil [1968] ECR 617, 626, agus Cás C-65/05 An Coimisiún v An Ghréig [2006] ECR I-10341, míreanna 23 go 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Níl sé faoi dhíospóid nach féidir le pasanna peataí, ós rud é go bhfuil uimhir uathúil orthu agus go sainaithníonn siad ainmhí ar leith, a bheith ina n-idirbhearta tráchtála.</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Dá bhrí sin, ní féidir na pasanna sin a aicmiú mar “tháirgí” de réir bhrí chásdlí na Cúirte; ní féidir feidhm a bheith ag Treoir 98/34 maidir leo ach an oiread. Dá bhrí sin, ní féidir sonraíochtaí amhail iad siúd atá i reachtaíocht na Beilge atá i gceist sna príomhimeachtaí a aicmiú mar shonraíochtaí teicniúla nach mór, i gcomhréir le hAirteagal 8 den Treoir sin, a chur in iúl don Choimisiún roimh ré agus, ina éagmais sin, nach féidir leis an gcúirt náisiúnta iad a chur i bhfeidhm (féach, chuige sin, Cás C-20/05 Schwibbert [2007] ECR I-9447, míreanna 33 agus 44 agus an cásdlí dá dtagraítear).’</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Breithiúnas an 9 Meitheamh 2011</w:t>
        </w:r>
      </w:hyperlink>
      <w:r>
        <w:t xml:space="preserve">, Intercommunale Intermosane agus Fédération de l’industrie et du gaz, C-361/10, EU:C:2011:382, míreanna 14 go 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Ní ‘sonraíochtaí teicniúla’ iad forálacha náisiúnta lena leagtar síos íoscheanglais maidir le suiteálacha leictreacha a thógáil agus sábháilteacht oibrithe toisc go leagann siad síos cuspóirí ginearálta sábháilteachta agus cosanta gan tagairt dhíreach a dhéanamh do tháirge ná dá phacáistíocht agus gan a shaintréithe a shainiú.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ní mór a chinneadh an dtagann na forálacha náisiúnta atá i gceist sna príomhimeachtaí faoin gcéad chatagóir de rialacháin theicniúla dá bhforáiltear in Airteagal 1(11) de Threoir 98/34, is é sin le rá an coincheap ‘sonraíocht theicniúil’.</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Leanann sé ón gcásdlí go nglactar leis leis an gcoincheap sin, a shainmhínítear in Airteagal 1(3) den Treoir, gur gá go dtagraíonn an beart náisiúnta don táirge nó dá phacáistíocht ann féin agus, dá bhrí sin, go leagtar síos leis ceann de na saintréithe is gá do tháirge (féach Schwibbert, mír 35 agus an cásdlí dá dtagraítear).</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Maidir leis na forálacha náisiúnta atá i gceist sna príomhimeachtaí, ní mór a thabhairt faoi deara go bhféachtar leis na híoscheanglais a bhaineann le suiteálacha leictreacha áirithe a chur i gcrích dá bhforáiltear leis na forálacha sin le sábháilteacht na suiteálacha sin a áirithiú chun na hoibrithe a úsáideann iad a chosaint.</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Ní mór a thabhairt faoi deara go n-áirítear leis na híoscheanglais sin ceanglais agus cuspóirí ginearálta i ndáil le sábháilteacht agus cosaint, gan gá tagairt a dhéanamh don táirge lena mbaineann ná dá phacáistíocht inti féin agus, dá bhrí sin, gan saintréithe an táirge sin a leagan síos.</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Dá bhrí sin, níl sonraíochtaí teicniúla sna forálacha náisiúnta atá i gceist sna príomhimeachtaí de réir bhrí Threoir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Breithiúnas an 19 Iúil 2012</w:t>
        </w:r>
      </w:hyperlink>
      <w:r>
        <w:t xml:space="preserve">, Fortuna agus Eile, C-213/11, C-214/11 agus C-217/11, EU:C:2012:495, míreanna 28 go 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Ní ‘rialacháin theicniúla’ iad forálacha náisiúnta lena gcuirtear srian ar oibriú meaisíní cearrbhachais ar chostas íseal lasmuigh de chasaíne toisc nach dtagraíonn siad do shaintréithe meaisíní cearrbhachais ná dá bpacáistiú.</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chun go dtiocfaidh beart náisiúnta faoin gcéad chatagóir de rialacháin theicniúla dá dtagraítear in Airteagal 1(11) de Threoir 98/34, is é sin le rá, laistigh de choincheap na ‘sonraíochta teicniúla’, ní mór don bheart sin tagairt a dhéanamh don táirge nó dá phacáistíocht ann féin agus, ar an gcaoi sin, ceann de na saintréithe is gá do tháirge a leagan síos (féach Intercommunale Intermosane agus Fédération de l’industrie et du gaz, mír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Is leor a rá go mbaineann na forálacha idirthréimhseacha sa Dlí maidir le cluichí áidh le húdaruithe chun gníomhaíocht a dhéanamh a bhaineann le cearrbhachas ar mheaisíní ísealphraghais. Ní thagraíonn siad do na meaisíní cearrbhachais ísealphraghais ná dá bpacáistiú iontu féin agus, dá bhrí sin, ní leagann siad síos a saintréithe.</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Dá bhrí sin, níl sonraíochtaí teicniúla sna forálacha náisiúnta atá i gceist sna príomhimeachtaí de réir bhrí Threoir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Breithiúnas an 10 Iúil 2014</w:t>
        </w:r>
      </w:hyperlink>
      <w:r>
        <w:rPr>
          <w:b/>
          <w:i/>
        </w:rPr>
        <w:t xml:space="preserve">, Ivansson agus Eile</w:t>
      </w:r>
      <w:r>
        <w:rPr>
          <w:sz w:val="25"/>
        </w:rPr>
        <w:t>,</w:t>
      </w:r>
      <w:r>
        <w:rPr>
          <w:b/>
          <w:i/>
        </w:rPr>
        <w:t xml:space="preserve"> C-307/13, EU:C:2014:2058, míreanna 19 go 23</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Ní ‘sonraíocht theicniúil’ í riail lena mbunaítear cuspóir ginearálta maidir le compord éanlaithe clóis agus cáilíocht saoráidí tógála toisc nach mbunaítear léi saintréithe an táirge agus nach bhfuil sí beacht go leor chun modh táirgthe a shainiú.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Is gá a lua, i gcomhréir leis an gcásdlí, go nglactar leis leis an gcoincheap [sonraíocht theicniúil] sin nach mór tagairt a dhéanamh leis an mbeart náisiúnta don táirge nó dá phacáistíocht ann féin agus, dá bhrí sin, go leagtar síos ann ceann de na saintréithe is gá do tháirge (féach, chuige sin, breithiúnas Fortuna agus páirtithe eile, EU:C:2012:495, mír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Ina theannta sin, maidir le táirgí talmhaíochta, shonraigh an Chúirt go bhfuil sonraíocht theicniúil i ndoiciméad ina leagtar síos na saintréithe is gá do tháirge nó a mhodhanna agus a nósanna imeachta táirgthe (féach, chuige sin, breithiúnas in Donkersteeg, C-37/99, EU:C:2000:636, mír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Ní mór a thabhairt faoi deara, ar an gcéad dul síos, cé go mbaineann Airteagal 9 de DSF le compord agus cáilíocht na suiteálacha ina gcoimeádtar cearca le haghaidh táirgeadh uibheacha, eadhon cásanna saibhrithe, ní shainítear leis an bhforáil sin, áfach, mar a chuir Rialtas na Polainne in iúl, na saintréithe nach mór a bheith ag na hítimí atá i gceist sna príomhimeachtaí.</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Ar an dara dul síos, fiú dá bhféadfaí a mheas go mbaineann an fhoráil sin le modh táirgthe sa mhéid is go dtagraíonn sí, mar a luaitear sa mhír roimhe seo, do chearca a choinneáil le haghaidh táirgeadh uibheacha i gcásanna saibhrithe, ní mór a thabhairt faoi deara nach ndéantar leis an bhforáil sin ach tagairt ghinearálta do neadacha, péirsí agus dabhcha gainimh laistigh de na suiteálacha sin gan, áfach, gnéithe éagsúla an chórais tithíochta sin a shonrú. Níl aon léiriú i mír 9 de DSF a bhaineann, mar shampla, le toise, líon, teocht, cothabháil nó feidhmiú na suiteálacha sin a mhéid a bhaineann le nochtadh na gcearc le haghaidh táirgeadh uibheacha do sholas nó fiú maidir le beathú agus uisciú. In éagmais aon sonraíochta i Mír 9 de DSF, ní féidir a mheas go leagtar síos leis na modhanna agus na nósanna imeachta táirgthe.</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Ina theannta sin, ní mór a thabhairt faoi deara, trína lua ‘go mbeidh an córas tithíochta de chineál a fhágfaidh go gcoinneofar ráta básmhaireachta agus neamhoird iompraíochta na gcearc ag leibhéal íseal’ gan aon léiriú eile, nach luaitear sa chéad fhomhír d’Airteagal 9 de DSF ach cuspóirí ginearálta maidir le folláine cearca le haghaidh táirgeadh uibheacha, gan gá tagairt a dhéanamh don táirge lena mbaineann agus, dá bhrí sin, gan saintréithe an táirge sin a leagan síos (féach, de réir analaí, breithiúnas Intercommunale Intermosane agus Fédération de l’Industrie et du gaz, C-361/10, EU:C:2011:382, mír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Breithiúnas an 27 Deireadh Fómhair 2016</w:t>
        </w:r>
      </w:hyperlink>
      <w:r>
        <w:t xml:space="preserve">, James Elliott Construction, C-613/14, EU:C:2016:821, mír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Ní hionann forálacha náisiúnta lena leagtar amach coinníollacha conarthacha intuigthe maidir le cáilíocht táirgí a dhíoltar agus ‘sonraíochtaí teicniúla’ toisc nach sainítear leo saintréithe an táirge lena mbaineann.</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Sa chás seo, is léir, ar an gcéad dul síos, nach dtagann forálacha amhail na forálacha atá i gceist sna príomhimeachtaí, iontu féin, nó mar a léirmhíníonn cúirteanna na hÉireann iad, faoin gcoincheap ‘sonraíocht theicniúil’ de réir bhrí Airteagal 1(3) de Threoir 98/34. Ní chumhdaítear leis an gcoincheap sin ach bearta náisiúnta lena dtagraítear do tháirge nó dá phacáistíocht ann féin agus lena leagtar síos, dá bhrí sin, ceann de na saintréithe is gá a bheith ag táirge (breithiúnas an 10 Iúil 2014, Ivansson agus páirtithe eile</w:t>
        <w:noBreakHyphen/>
        <w:t xml:space="preserve">, C 307/13, EU:C:2014:2058, mír 19 agus an cásdlí dá dtagraítear). Is léir nach amhlaidh atá i gcás ceanglas a bhfuil feidhm aige, mura bhfuil a mhalairt comhaontaithe ag na páirtithe, go ginearálta maidir le gach táirge a dhíol.”</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Breithiúnas an 1 Feabhra 2017</w:t>
        </w:r>
      </w:hyperlink>
      <w:r>
        <w:t xml:space="preserve">, Município de Palmela, C-144/16, EU:C:2017:76, mír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Ní hionann rialachán lena gceanglaítear faisnéis maidir le huastoilleadh an limistéir sin a thaispeáint, i limistéar fóillíochta, agus ‘sonraíocht theicniúil’ toisc nach leagtar síos saintréithe táirge leis.</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ní thagann foráil den sórt sin faoi chatagóir na sonraíochtaí teicniúla de réir bhrí Airteagal 1(3) de Threoir 98/34, a mhéid nach bhfuil aon amhras ann nach ionann na forálacha lena leagtar síos na ceanglais agus na cuspóirí ginearálta maidir le sábháilteacht agus cosaint, gan tagairt a dhéanamh don táirge lena mbaineann ná dá phacáistíocht ann féin agus, dá bhrí sin, gan saintréithe an táirge sin a leagan síos, agus sonraíochtaí teicniúla (féach, chuige sin, breithiúnas an 9 Meitheamh 2011, Intercommunale Intermosane agus Fédération de l’industrie et du gaz, C-361/10, EU:C:2011:382, míreanna 17 agus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Breithiúnas an 26 Meán Fómhair 2018</w:t>
        </w:r>
      </w:hyperlink>
      <w:r>
        <w:t xml:space="preserve">, Van Gennip agus Eile, C-137/17, EU:C:2018:771, mír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Forálacha náisiúnta a fhágann go bhfuil margú táirgí coinníollach ar an gceannaitheoir ag a bhfuil údarú, ní thagann siad faoi choincheap na ‘sonraíochta teicniúla’, toisc nach sainmhínítear leo saintréithe an táirge féin ná saintréithe a phacáistíochta.</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Ar an gcéad dul síos, maidir leis an gcoincheap ‘sonraíocht theicniúil’, ba cheart a mheabhrú go nglactar leis leis an gcoincheap sin gur gá go dtagraíonn an beart náisiúnta don táirge nó dá phacáistíocht ann féin agus, dá bhrí sin, go leagtar síos leis ceann de na saintréithe is gá do tháirge, amhail na toisí, an tuairisc díolacháin, an lipéadú nó an mharcáil (breithiúnas an 10 Iúil 2014, Ivansson agus páirtithe eile</w:t>
        <w:noBreakHyphen/>
        <w:t xml:space="preserve">, C 307/13, EU:C:2014:2058, mír 19 agus an cásdlí dá dtagraítear). Mar sin féin, mar a thug an tAbhcóide Ginearálta faoi deara i mír 74 dá Thuairim, ní thagraíonn reachtaíocht na Beilge d’earraí piriteicniúla ná dá bpacáistíocht iontu féin, ionas nach leagtar síos leis an reachtaíocht sin ceann de shaintréithe riachtanacha na dtáirgí sin. Dá bhrí sin, ní hionann an reachtaíocht sin agus ‘sonraíocht theicniúil’, de réir bhrí Airteagal 1, pointe 3, de Threoir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Breithiúnas an 28 Bealtaine 2020</w:t>
        </w:r>
      </w:hyperlink>
      <w:r>
        <w:t xml:space="preserve">, ECO-WIND Construction, C-727/17, EU:C:2020:393, míreanna 36 agus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Ní hionann rialachán lena bhforchuirtear achar íosta chun tuirbíní gaoithe a shuiteáil agus ‘sonraíocht theicniúil’, toisc nach leagtar síos saintréithe an táirge leis.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maidir leis an aicmiú a d’fhéadfaí a dhéanamh ar an gceanglas céanna le rialachán teicniúil ar an mbonn go dtagann sé faoin gcatagóir ‘sonraíochtaí teicniúla’, ba cheart a thabhairt faoi deara go nglactar leis le sonraíocht theicniúil go dtagraíonn an beart náisiúnta lena bhforordaítear é don táirge nó dá phacáistíocht ann féin agus, dá bhrí sin, go leagtar síos leis ceann de na saintréithe a cheanglaítear leis an táirge sin (breithiúnais an 21 Aibreán 2005, Lindberg, C-267/03, EU:C:2005:246, mír 57, agus an 19 Iúil 2012, Fortuna agus páirtithe eile, C-213/11, C-214/11 agus C-217/11, EU:C:2012:495, mír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Sa chás seo, ní rialaítear leis an reachtaíocht atá i gceist sna príomhimeachtaí ach suiteáil tuirbíní gaoithe trí íoscheanglas éigeantach maidir le hachar a leagan síos nach mór a chomhlíonadh chun iad a shuiteáil. Dá bhrí sin, ní thagraíonn an reachtaíocht sin do tháirge ann féin, sa chás seo, an gineadóir gaoithe, agus, dá bhrí sin, ní leagtar síos inti ceann de na saintréithe is gá don táirge sin de réir bhrí Airteagal 1(1)(f) de Threoir 2015/1535, arna léamh i bhfianaise Airteagal 1(1)(c) den Treoir sin.’</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Breithiúnas an 22 Deireadh Fómhair 2020</w:t>
        </w:r>
      </w:hyperlink>
      <w:r>
        <w:t xml:space="preserve">, Sportingbet and Internet Opportunity Entertainment, C-275/19, EU:C:2020:856, míreanna 42 agus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Ní ‘sonraíocht theicniúil’ í reachtaíocht náisiúnta lena bhforchoimeádtar oibriú cluichí áidh don Stát agus lena gceanglaítear nach ndeonófar ceadúnais ach do chuideachtaí poiblí, toisc nach sainítear léi na saintréithe a cheanglaítear le táirge.</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Faoi Airteagal 1(1) de Threoir 83/189, is éard atá i gceist le ‘sonraíocht theicniúil’, de réir bhrí na Treorach sin, an tsonraíocht atá i ndoiciméad ina leagtar síos saintréithe táirge amhail leibhéil cháilíochta, feidhmíochta, sábháilteachta nó toisí, lena n-áirítear na ceanglais is infheidhme maidir leis an táirge maidir le téarmaíocht, siombailí, tástáil agus modhanna tástála, pacáistiú, marcáil nó lipéadú (féach, chuige sin, breithiúnas an 8 Márta 2001, van der Burg, C-278/99, EU:C:2001:143, mír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Ós rud é go leagtar síos le hAirteagail 3 agus 9 de Dhlí Foraithne Uimh. 422/89 rialacha lamháltais maidir le cluichí áidh nó cearrbhachais a oibriú agus na coinníollacha agus na criosanna chun an ghníomhaíocht sin a fheidhmiú, ní cosúil go mbaineann na forálacha sin leis na saintréithe is gá do tháirge, de réir bhrí Airteagal 1(1) de Threoir 83/189, ionas nach féidir iad a aicmiú mar ‘rialacháin theicniúla’ de réir bhrí Airteagal 1(5) den Treoir sin.’</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Ceanglais Eile</w:t>
      </w:r>
      <w:bookmarkEnd w:id="46"/>
      <w:bookmarkEnd w:id="47"/>
    </w:p>
    <w:p w14:paraId="48370E42" w14:textId="77777777">
      <w:pPr>
        <w:pStyle w:val="BodyText"/>
      </w:pPr>
    </w:p>
    <w:p w14:paraId="032AC50F" w14:textId="77777777">
      <w:pPr>
        <w:pStyle w:val="P68B1DB1-BodyText11"/>
        <w:ind w:left="567"/>
        <w:rPr>
          <w:i/>
        </w:rPr>
      </w:pPr>
      <w:r>
        <w:t xml:space="preserve">“ciallaíonn ‘ceanglais eile’ ceanglas, seachas sonraíocht theicniúil, a fhorchuirtear ar tháirge chun tomhaltóirí nó an comhshaol a chosaint, go háirithe, agus a dhéanann difear dá shaolré tar éis dó a bheith curtha ar an margadh, amhail coinníollacha úsáide, athchúrsála, athúsáide nó diúscartha, i gcás ina bhféadfadh coinníollacha den sórt sin tionchar suntasach a imirt ar chomhdhéanamh nó ar chineál an táirge nó ar a mhargú;”</w:t>
      </w:r>
    </w:p>
    <w:p w14:paraId="1AD68414" w14:textId="77777777">
      <w:pPr>
        <w:pStyle w:val="BodyText"/>
        <w:ind w:left="567"/>
        <w:rPr>
          <w:i/>
          <w:iCs/>
        </w:rPr>
      </w:pPr>
    </w:p>
    <w:p w14:paraId="3295AC84" w14:textId="258D2B2D">
      <w:pPr>
        <w:pStyle w:val="BodyText"/>
        <w:ind w:left="1440"/>
        <w:jc w:val="right"/>
      </w:pPr>
      <w:r>
        <w:t xml:space="preserve">(Airteagal 1(1)(d) de Threoir (AE)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Breithiúnas an 21 Aibreán 2005</w:t>
        </w:r>
      </w:hyperlink>
      <w:r>
        <w:t xml:space="preserve">, Lindberg, C-267/03, EU:C:2005:246, míreanna 68 go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Féadfar toirmeasc náisiúnta ar chluichí áidh áirithe a aicmiú mar ‘cheanglas eile’ má tá tionchar aige ar chomhdhéanamh, ar chineál nó ar mhargú an táirge. Mar sin féin, mura bhfágann an toirmeasc aon deis chun an táirge a úsáid, tabharfar tuairisc air mar fhoráil toirmisc (féach Cuid I., Fochuid e. ‘Forálacha Toirmiscthe’ den doiciméad seo).</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ní mór a mheas gur cosúil go gcumhdaítear beart náisiúnta amhail an toirmeasc atá i gceist sna príomhimeachtaí go sonrach leis an téarma ‘ceanglais eile’ a cuireadh isteach le Treoir 94/10 i dTreoir 83/189 chun a raon feidhme a leathnú agus, dá bhrí sin, nach dtagann sé faoi chatagóir na sonraíochtaí teicniúla.</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Is ceanglas é beart den sórt sin a fhorchuirtear i ndáil le táirge, eadhon meaisíní cearrbhachais, go bunúsach chun tomhaltóirí a chosaint, na himreoirí lena mbaineann sa chás seo.</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Dá réir sin, baineann toirmeasc amhail an toirmeasc a leagtar síos le forálacha ábhartha an Dlí leasaithe maidir le Ceallraí le húsáid táirge de réir bhrí Airteagal 1(9) de Threoir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Thairis sin, ní fhorchuirtear an ceanglas atá i gceist sna príomhimeachtaí ar mheaisíní cluichíochta chun iad a chur ar an margadh ach baineann sé lena saolré tar éis dóibh a bheith curtha ar an margadh de réir bhrí an tsainmhínithe ar ‘cheanglais eile’ a leagtar amach in Airteagal 1(3) de Threoir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Chun teacht faoi ‘cheanglais eile’ de réir bhrí Airteagal 1(3) de Threoir 83/189, ní mór ceanglas amhail toirmeasc ar úsáid na meaisíní cearrbhachais atá i gceist sna príomhimeachtaí a bheith ina ‘coinníoll’, sa chás seo, maidir le húsáid, a d’fhéadfadh tionchar suntasach a imirt ar chomhdhéanamh nó ar chineál an táirge nó ar a mhargú.</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Ardaítear an cheist ansin, áfach, an gá an toirmeasc sin a mheas mar ‘choinníoll’ maidir le húsáid an táirge lena mbaineann nó an beart náisiúnta é a thagann faoin tríú catagóir de na rialacháin theicniúla dá dtagraítear in Airteagal 1(9) de Threoir 83/189, a cuireadh isteach ann freisin le Treoir 94/10, eadhon ‘dlíthe... na mBallstát... lena dtoirmisctear monarú, allmhairiú, margú nó úsáid táirge’.</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An dtagann beart náisiúnta amhail an beart atá i gceist sna príomhimeachtaí faoi cheann amháin nó níos mó den dá chatagóir rialála teicniúla sin, braitheann sé ar raon feidhme an toirmisc a leagtar síos leis an mbeart sin.</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I ndáil leis sin, tá sé tábhachtach, murab ionann agus an dara catagóir ina bhfuil ceanglais eile de réir bhrí Airteagal 1(3), nach n-áirítear leis an tríú catagóir de rialáil theicniúil a shainmhínítear in Airteagal 1(9) de Threoir 83/189 an coinníoll nach mór don toirmeasc atá i gceist a bheith de chineál a d’fhéadfadh tionchar suntasach a imirt ar chomhdhéanamh nó ar chineál an táirge nó ar a mhargú.</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Chun teacht faoin tríú catagóir sin de rialachán teicniúil a bhaineann le toirmeasc inter alia ar úsáid na mbeart, ní mór raon feidhme a bheith aige a théann i bhfad níos faide ná teorainn a chur le húsáidí áirithe a d’fhéadfaí a bhaint as an táirge atá i gceist agus, dá bhrí sin, níor cheart é a theorannú do shrian a chur ar a úsáid amháin.</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Mar a chuir an tAbhcóide Ginearálta in iúl i mír 70 dá Thuairim, tá sé i gceist go háirithe leis an gcatagóir rialála teicniúla sin bearta náisiúnta a chumhdach lena bhfágtar nach féidir aon úsáid a bhaint as an táirge lena mbaineann go réasúnta seachas ceann imeallach amháin. Is faoin gcúirt náisiúnta atá sé a fháil amach an beart den sórt sin é an toirmeasc atá i gceist leis an bhforáil náisiúnta atá i gceist sna príomhimeachtaí.</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Dá gcruthófaí, tar éis don chúirt a rinne an tarchur scrúdú den sórt sin a dhéanamh, nach amhlaidh an cás sna príomhimeachtaí, d’fhéadfaí an fhoráil náisiúnta sin a mheas mar ‘cheanglas eile’ ós rud é gur comhthuiscint é go bhfuil comhlíonadh an cheanglais sin éigeantach de jure chun an táirge a úsáid sa Bhallstát lena mbaineann de réir bhrí Airteagal 1(9) de Threoir 83/189. Sa chás sin, áfach, is faoin gcúirt a rinne an tarchur atá sé a fhíorú go bhféadfadh tionchar suntasach a bheith ag an toirmeasc atá i gceist ar chomhdhéanamh nó ar chineál an táirge nó ar a mhargú de réir bhrí Airteagal 1(3).’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Breithiúnas an 9 Meitheamh 2011</w:t>
        </w:r>
      </w:hyperlink>
      <w:r>
        <w:t xml:space="preserve">, Intercommunale Intermosane agus Fédération de l’industrie et du gaz, C-361/10, EU:C:2011:382, míreanna 20 agus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Ní féidir forálacha náisiúnta lena leagtar síos íoscheanglais maidir le tógáil suiteálacha leictreacha agus sábháilteacht oibrithe a aicmiú mar ‘cheanglais eile’, ós rud é nach féidir tionchar suntasach a imirt ar chomhdhéanamh, ar chineál ná ar mhargú na dtáirgí lena mbaineann mar gheall ar a gcineál ginearálta.</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De réir an chásdlí, d’fhonn a bheith aicmithe mar ‘cheanglais eile’ de réir bhrí Airteagal 1(4) de Threoir 98/34, ní mór na híoscheanglais a leagtar síos leis na forálacha atá i gceist a bheith ina ‘coinníollacha’ a d’fhéadfadh tionchar suntasach a imirt ar chomhdhéanamh nó ar chineál an táirge lena mbaineann nó ar a mhargú (féach, chuige sin, Lindberg, mír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Agus cineál ginearálta na gceanglas sin á chur san áireamh, ní féidir coinníollacha den sórt sin a bheith i gceist leo nó, dá bhrí sin, ní féidir iad a aicmiú mar ‘cheanglais eile’, de réir bhrí Airteagal 1(4) den Treoir.’</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Breithiúnas an 19 Iúil 2012</w:t>
        </w:r>
      </w:hyperlink>
      <w:r>
        <w:t xml:space="preserve">, Fortuna agus Eile, C-213/11, C-214/11 agus C-217/11, EU:C:2012:495, míreanna 35, 36 agus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Féadfar forálacha náisiúnta lena gcuirtear srian ar oibriú meaisíní cearrbhachais lasmuigh de chasaíne a aicmiú mar ‘cheanglais eile’ agus, dá bhrí sin, mar ‘rialacha teicniúla’ má bhíonn tionchar suntasach acu ar chineál nó ar mhargú na dtáirgí lena mbaineann.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chinn an Chúirt, chun go n-aicmeofar mar ‘cheanglais eile’ iad de réir bhrí Airteagal 1(4) de Threoir 98/34, nach mór na bearta náisiúnta atá i gceist a bheith ina ‘coinníollacha’ a d’fhéadfadh tionchar suntasach a imirt ar chomhdhéanamh, ar chineál nó ar mhargú an táirge lena mbaineann (féach, chuige sin, Lindberg, mír 72, agus Intercommunale Intermosane agus Fédération de l’industrie et du gaz, mír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I ndáil leis sin, ní mór a thabhairt faoi deara go bhforchuirtear leis na forálacha idirthréimhseacha sa Dlí maidir le cluichí áidh coinníollacha a d’fhéadfadh difear a dhéanamh do mhargú meaisíní cearrbhachais ísealphuise. Tá an toirmeasc ar údaruithe le haghaidh gníomhaíochta a bhaineann le cearrbhachas ar mheaisíní ísealphraghais lasmuigh de chasaíne a eisiúint, a leathnú nó a leasú de chineál a dhéanfadh difear díreach don trádáil i meaisíní cearrbhachais ísealphoise.”</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is é an freagra ar na ceisteanna a tharchuirtear ná nach mór Airteagal 1(11) de Threoir 98/34 a léiriú sa chaoi gur féidir le forálacha náisiúnta, amhail forálacha an Dlí maidir le cluichí áidh, a bhféadfadh sé a bheith d’éifeacht acu feidhmiú cearrbhachais ar mheaisíní ísealphraghais a theorannú, nó fiú a dhéanamh dodhéanta de réir a chéile, in áit seachas i gcasaíní agus in árais chearrbhachais a bheith ina ‘rialacháin theicniúla’, de réir bhrí na forála sin, nach mór a ndréachtaí a bheith ina n-ábhar cumarsáide mar a fhoráiltear sa chéad fhomhír d’Airteagal 8(1) den Treoir sin, a mhéid a shuitear gur coinníollacha iad na forálacha sin a d’fhéadfadh tionchar suntasach a imirt ar chineál nó ar mhargú an táirge lena mbaineann, ar faoin gcúirt a rinne an tarchur atá sé a chinneadh.”</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Breithiúnas an 10 Iúil 2014</w:t>
        </w:r>
      </w:hyperlink>
      <w:r>
        <w:rPr>
          <w:b/>
          <w:i/>
        </w:rPr>
        <w:t xml:space="preserve">, Ivansson agus Eile</w:t>
      </w:r>
      <w:r>
        <w:rPr>
          <w:sz w:val="25"/>
        </w:rPr>
        <w:t>,</w:t>
      </w:r>
      <w:r>
        <w:rPr>
          <w:b/>
          <w:i/>
        </w:rPr>
        <w:t xml:space="preserve"> C-307/13, EU:C:2014:2058, míreanna 26 go 28</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Ní ‘ceanglas eile’ é riail lena mbunaítear cuspóir ginearálta maidir le compord éanlaithe clóis agus cáilíocht saoráidí tógála toisc nach dócha go ndéanfaidh a cineál ginearálta difear do chomhdhéanamh, do chineál nó do mhargú an táirge deiridh.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chinn an Chúirt cheana féin, chun go n-aicmeofaí mar ‘cheanglais eile’ iad de réir bhrí Airteagal 1(4) de Threoir 98/34, nach mór na bearta náisiúnta atá i gceist a bheith ina ‘coinníollacha’ a d’fhéadfadh tionchar suntasach a imirt ar chomhdhéanamh nó ar chineál an táirge lena mbaineann nó ar a mhargú (féach breithiúnas Fortuna agus páirtithe eile, EU:C:2012:495, mír 35 agus an cásdlí dá dtagraítear).</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Chinn an Chúirt freisin, i gcás inar forálacha ginearálta iad forálacha birt náisiúnta, nach féidir leo a bheith ina gcoinníollacha den sórt sin nó, dá bhrí sin, a bheith aicmithe mar “cheanglais eile”, de réir bhrí Airteagal 1(4) den Treoir sin (féach, chuige sin, breithiúnas Intercommunale Intermosane agus Fédération de l’Industrie et du gaz, EU:C:2011:382, mír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Dá bhrí sin, le foirmliú an-ghinearálta Airteagal 9 de DSF, mar a luaitear i míreanna 22 agus 23 den bhreithiúnas seo, cuirtear cosc ar an bhforáil sin a mheas mar fhoráil lena gcuirtear coinníollacha ar chomhdhéanamh nó ar chineál na dtáirgí lena mbaineann nó ar a margú.’</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Breithiúnas an 11 Meitheamh 2015</w:t>
        </w:r>
      </w:hyperlink>
      <w:r>
        <w:t xml:space="preserve">, Berlington Hungary and Others, C-98/14, EU:C:2015:386, míreanna 98 agus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Is ‘ceanglais eile’ iad forálacha náisiúnta lena dtoirmisctear oibriú meaisíní sliotán lasmuigh de chasaíne ós rud é go bhféadfadh tionchar suntasach a bheith acu ar chineál nó ar mhargú meaisíní den sórt sin.</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chinn an Chúirt cheana féin gur “rialachán teicniúil” de réir bhrí Airteagal 1(11) den Treoir é beart náisiúnta lena gcuirtear srian ar eagrú cluichí áirithe ar chasaíne, a mhéid is féidir leis tionchar suntasach a imirt ar chineál nó ar mhargú na dtáirgí a úsáidtear sa chomhthéacs sin (féach, chuige sin, breithiúnais in an Coimisiún v an Ghréig, C-65/05, EU:C:2006:673, mír 61, agus Fortuna agus Eile, Cásanna Uamtha C-213/11, C-214/11 agus C-217/11, EU:C:2012:495, míreanna 24 agus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Mar sin féin, d’fhéadfadh toirmeasc ar mheaisíní sliotán a oibriú lasmuigh de chasaíní, amhail an toirmeasc a tugadh isteach le Dlí leasaitheach 2012, tionchar suntasach a imirt ar chineál nó ar mhargú na meaisíní sin, arb ionann iad agus earraí a d’fhéadfaí a chumhdach le hAirteagal 34 CFAE (féach breithiúnas Läärä agus páirtithe eile, C-124/97, EU:C:1999:435, míreanna 20 agus 24), trí na hasraonta inar féidir iad a úsáid a laghdú.”</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Breithiúnas an 13 Deireadh Fómhair 2016</w:t>
        </w:r>
      </w:hyperlink>
      <w:r>
        <w:t xml:space="preserve">, Naczelnik Urzędu Celnego I w Ł., C-303/15, EU:C:2016:771, míreanna 25 go 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Ní hionann foráil lena gcuirtear feidhmiú gníomhaíochtaí cearrbhachais faoi réir ceadúnas oibríochta casaíne a shealbhú agus ‘ceanglas eile’. Go deimhin, cé go bhféadfadh forálacha lena gcuirtear teorainn le heagrú cluichí áidh chuig casaíní difear suntasach a dhéanamh do mhargú táirgí gaolmhara trína mbealaí dáileacháin a laghdú, ní dócha go mbeidh tionchar suntasach ag rialacha lena rialaítear na coinníollacha maidir le gnóthais a bhunú ar chineál ná ar mhargú na dtáirgí a úsáidtear.</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Ar deireadh, chun a chinneadh an dtagann Airteagal 6(1) den Dlí maidir le Cluichí Cluichí faoi raon feidhme Airteagal 1(4) de Threoir 98/34 nó Airteagal 1(11) den Treoir sin, ní mór a fháil amach an féidir le foráil den sórt sin tionchar suntasach a imirt ar chomhdhéanamh, ar chineál nó ar mhargú an táirge lena mbaineann, sa chás seo meaisíní cearrbhachais, mar ‘choinníoll’ a bhaineann le húsáid an táirge lena mbaineann, nó an beart náisiúnta é a bhaineann leis an gcatagóir toirmeasc dá dtagraítear in Airteagal 1(11) den Treoir sin.</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I ndáil leis sin, ní mór a mheabhrú gurb é Airteagal 14(1) den Dlí maidir le Cluichí Deis a chuireann srian ar eagrú cluichí róulette, cluichí cártaí, cluichí dísle agus cluichíocht ar mheaisíní cearrbhachais. Cuireadh an fhoráil sin in iúl don Choimisiún mar ‘rialachán teicniúil’, i bhfianaise gur chinn an Chúirt roimhe sin, ar an gcéad dul síos, gur “rialachán teicniúil” de réir bhrí Airteagal 1(11) de Threoir 98/34 é beart náisiúnta lena bhforchoimeádtar eagrú cluichí áirithe áidh do chasaíne amháin, a mhéid is féidir leis tionchar suntasach a imirt ar chineál nó ar mhargú na dtáirgí a úsáidtear sa chomhthéacs sin agus, ar an dara dul síos, go bhféadfadh tionchar suntasach a bheith ag toirmeasc ar tháirgí áirithe a oibriú lasmuigh de chasaíne, trí na heagraíochtaí inar féidir iad a úsáid a laghdú (féach, chuige sin, breithiúnas an 11 Meitheamh 2015, Berlington Hungary agus páirtithe eile, C-98/14, EU:C:2015:386, míreanna 98 agus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Ar an taobh eile, níor tugadh fógra faoi Airteagal 6(1) den Dlí sin, lena bhforáiltear go bhfuil gá le ceadúnas chun casaíne cluichíochta a oibriú chun cluichí róulette, cluichí cártaí, cluichí dísle agus cluichíocht ar mheaisíní a eagrú.</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28.Ní féidir glacadh le hargóint an Choimisiúin, go gciallaíonn an dlúthnasc idir an dá fhoráil den dlí náisiúnta lena mbaineann nach féidir Airteagal 14(1) den Dlí maidir le Cluichí Seasa a scaradh ó Airteagal 6(1) den Dlí sin. Mar a luaigh an tAbhcóide Ginearálta i míreanna 38 go 44 dá Thuairim, tá difríocht idir Airteagal 6(1) den Dlí sin agus Airteagal 14(1) den Dlí sin ó thaobh a bhfeidhme agus a raon feidhme de. Ní athraítear an chonclúid sin leis an tuairisc in Airteagal 6(1) den Dlí sin, lena sonraítear an t-údarú atá i gceist mar údarú chun casino cearrbhachais a oibriú.</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Dá bhrí sin, ní mór a mheas nach féidir a mheas go dtagann Airteagal 6(1) den Dlí maidir le Cluichí Seasa faoin gcatagóir ‘ceanglais eile’, de réir bhrí Airteagal 1(4) de Threoir 98/34, ós rud é gurb ionann an t-údarú a cheanglaítear leis an bhforáil sin den dlí náisiúnta chun cluichí áidh a eagrú agus coinníoll a fhorchuirtear maidir le heagrú cluichí den sórt sin, seachas Airteagal 14(1) den Dlí sin, lena bhforchuirtear coinníollacha maidir leis na táirgí lena mbaineann trí thoirmeasc a chur ar a n-úsáid seachas i gcasaíní.</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Thairis sin, i gcomhréir le cásdlí socair, ní rialacháin theicniúla de réir bhrí Airteagal 1(11) de Threoir 98/34 iad forálacha den dlí náisiúnta nach leagtar síos iontu ach coinníollacha lena rialaítear bunú nó soláthar seirbhísí ag gnóthais, amhail forálacha lena gcuirtear feidhmiú gníomhaíochta gnó faoi réir údarú roimh ré (féach, chuige sin, breithiúnas an 4 Feabhra 2016, Ince, C-336/14, EU:C:2016:72, mír 76 agus an cásdlí dá dtagraítear).”</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Breithiúnas an 27 Deireadh Fómhair 2016</w:t>
        </w:r>
      </w:hyperlink>
      <w:r>
        <w:t xml:space="preserve">, James Elliott Construction, C-613/14, EU:C:2016:821, míreanna 67 go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Ní hionann forálacha náisiúnta lena leagtar síos coinníollacha conarthacha intuigthe maidir le cáilíocht indíolta, oiriúnacht úsáide nó cáilíocht táirgí a dhíoltar agus ‘ceanglais eile’, toisc nach dócha go mbeidh tionchar suntasach acu ar chomhdhéanamh, ar chineál nó ar mhargú na dtáirgí lena mbaineann mar gheall ar a gcineál ginearálta.</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Sa chás seo, is léir, ar an gcéad dul síos, nach dtagann forálacha amhail na forálacha atá i gceist sna príomhimeachtaí, iontu féin, nó mar a léirmhíníonn cúirteanna na hÉireann iad, faoin gcoincheap ‘sonraíocht theicniúil’ de réir bhrí Airteagal 1(3) de Threoir 98/34. Ní chumhdaítear leis an gcoincheap sin ach bearta náisiúnta lena dtagraítear do tháirge nó dá phacáistíocht ann féin agus lena leagtar síos, dá bhrí sin, ceann de na saintréithe is gá a bheith ag táirge (breithiúnas an 10 Iúil 2014, Ivansson agus páirtithe eile, C-307/13, EU:C:2014:2058, mír 19 agus an cásdlí dá dtagraítear). Is léir nach amhlaidh atá i gcás ceanglas a bhfuil feidhm aige, mura bhfuil a mhalairt comhaontaithe ag na páirtithe, go ginearálta maidir le díol na dtáirgí uile.</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Ar an dara dul síos agus ar an gcúis chéanna, ní féidir na forálacha sin a aicmiú mar ‘cheanglais eile’ de réir bhrí Airteagal 1(4) de Threoir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I ndáil leis sin, mhínigh an Chúirt, chun go n-aicmeofar mar ‘cheanglais eile’ iad de réir bhrí na forála sin, nach mór na bearta náisiúnta atá i gceist a bheith ina gcoinníollacha a d’fhéadfadh tionchar suntasach a imirt ar chomhdhéanamh nó ar chineál an táirge lena mbaineann nó ar a mhargú, ós rud é nach féidir ceanglais ghinearálta a bheith ina gcoinníollacha den sórt sin nó, dá bhrí sin, a bheith aicmithe mar ‘cheanglais eile’ (féach breithiúnas an 10 Iúil 2014, Ivansson agus páirtithe eile, C-307/13, EU:C:2014:2058, míreanna 26 agus 27 agus an cásdlí dá dtagraítear).’</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Breithiúnas an 1 Feabhra 2017</w:t>
        </w:r>
      </w:hyperlink>
      <w:r>
        <w:t xml:space="preserve">, Município de Palmela, C-144/16, EU:C:2017:76, míreanna 23 agus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Is ‘ceanglas eile’ í foráil lena leagtar síos ceanglais maidir le pacáistiú a fhorchuirtear ar tháirge ar fhorais cosanta tomhaltóirí toisc go mbaineann sí le saolré táirgí tar éis iad a chur ar an margadh agus go mbíonn tionchar suntasach aici ar a gcomhdhéanamh agus ar a margaíocht.</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Ar an taobh eile, ní ‘ceanglas eile’ é rialachán lena gceanglaítear faisnéis maidir le huastoilleadh limistéir fóillíochta a thaispeáint i roinnt áiteanna sa limistéar sin mar gheall ar a nádúr ginearálta.</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Maidir le hAirteagal 16(1) agus (2) de Rialachán PRA, arna leasú le Dlí Foraithne Uimh. 119/2009, ní mór a thabhairt faoi deara, mar a thug an chúirt a rinne an tarchur faoi deara, gur rialachán teicniúil é de réir bhrí Threoracha 83/189 agus 98/34, a mhéid a leagtar síos leis an bhforáil sin ceanglais a fhorchuirtear ar tháirge, chun tomhaltóirí a chosaint, a dhéanann difear dá shaolré tar éis é a bheith curtha ar an margadh agus a bhfuil tionchar suntasach acu ar chomhdhéanamh agus ar mhargú táirge den sórt sin. Dá réir sin, tagann an fhoráil sin faoin gcatagóir ‘ceanglais eile’ de réir bhrí Airteagal 1(3) de Threoir 83/189 agus Airteagal 1(4) de Threoir 98/34 araon.’</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ní hionann foráil amhail an fhoráil atá i gceist sna príomhimeachtaí agus “ceanglas eile” de réir bhrí Airteagal 1(4) de Threoir 98/34, ag cur san áireamh chineál ginearálta na gceanglas a leagtar amach inti (féach, chuige sin, breithiúnas an 9 Meitheamh 2011, Intercommunale Intermosane agus Fédération de l’industrie et du gaz, C 361/10</w:t>
        <w:noBreakHyphen/>
        <w:t xml:space="preserve">, EU:C:2011:382, mír 21). Ar an taobh eile, níl aon toirmeasc ann a d’fhéadfadh é a thabhairt laistigh de chatagóir na dtoirmeasc a leagtar amach in Airteagal 1(11) den Treoir sin.’</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Breithiúnas an 26 Meán Fómhair 2018</w:t>
      </w:r>
      <w:r>
        <w:rPr>
          <w:b/>
          <w:bCs/>
          <w:i/>
          <w:iCs/>
          <w:color w:val="0000FF"/>
          <w:sz w:val="22"/>
          <w:szCs w:val="22"/>
          <w:u w:val="single"/>
        </w:rPr>
        <w:fldChar w:fldCharType="end"/>
        <w:t xml:space="preserve">, Van Gennip agus Eile, C-137/17, EU:C:2018:771, míreanna 39 agus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Forálacha náisiúnta lena gcuirtear margú táirgí faoi réir an choinníll go bhfuil an ceannaitheoir i seilbh údaraithe, ní thagann siad faoin gcoincheap ‘ceanglais eile’ toisc gur coinníoll é nach bhforchuirtear ar na táirgí ach ar cheannaitheoirí.</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maidir leis an gcatagóir ‘ceanglais eile’, is iomchuí a thabhairt faoi deara, chun go n-aicmeofaí mar ‘cheanglais eile’, de réir bhrí Airteagal 1, pointe 4, de Threoir 98/34, nach mór beart náisiúnta a bheith ina ‘choinníoll’ a d’fhéadfadh tionchar suntasach a imirt ar chomhdhéanamh, ar chineál nó ar mhargú an táirge lena mbaineann (breithiúnas an 13 Deireadh Fómhair 2016, M. agus S., C-303/15, EU:C:2016:771, mír 20 agus an cásdlí dá dtagraítear).</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I ndáil leis sin, ní mór a thabhairt faoi deara, mar a rinne an tAbhcóide Ginearálta i mír 76 dá Thuairim, go gcuireann reachtaíocht na Beilge díol earraí piriteicniúla ar mó a gcomhdhéanamh piriteicniúil ná 1 kg faoi réir ag an gceannaitheoir údarú a fháil. Dá bhrí sin, ní ceanglas é an t-údarú riachtanach i leith an táirge lena mbaineann, ach ceanglas le haghaidh ceannaitheoirí ionchasacha agus, go hindíreach, le haghaidh oibreoirí eacnamaíocha a dhíolann earraí piriteicniúla (féach, chuige sin, breithiúnais an 21 Aibreán 2005, Lindberg, C-267/03, EU:C:2005:246, mír 87, agus an 13 Deireadh Fómhair 2016, M. agus S., C-303/15, EU:C:2016:771, mír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Breithiúnas an 28 Bealtaine 2020</w:t>
        </w:r>
      </w:hyperlink>
      <w:r>
        <w:t xml:space="preserve">, ECO-WIND Construction, C-727/17, EU:C:2020:393, míreanna 40 agus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Ní thagann rialachán lena bhforchuirtear achar íosta chun tuirbíní gaoithe a shuiteáil faoin gcatagóir ‘ceanglais eile’ toisc nach bhfuil a thionchar ar mhargú na dtáirgí lena mbaineann díreach go leor.</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is léir ón gcásdlí socair go n-áirítear leis an gcatagóir sin reachtaíocht lena leagtar síos coinníoll a d’fhéadfadh tionchar suntasach a imirt ar chomhdhéanamh, ar chineál nó ar mhargú táirge (breithiúnais an 21 Aibreán 2005, Lindberg, C-267/03, EU:C:2005:246, míreanna 69 go 72, agus an 19 Iúil 2012, Fortuna agus páirtithe eile, C-213/11, C-214/11 agus C-217/11, EU:C:2012:495, mír 35), na “ceanglais eile” sin lena gcumhdaítear na ceanglais a eascraíonn as saolré an táirge atá i gceist a bhreithniú tar éis é a chur ar an margadh agus a bhaineann, go háirithe, lena úsáid.</w:t>
      </w:r>
    </w:p>
    <w:p w14:paraId="15144425" w14:textId="77777777">
      <w:pPr>
        <w:pStyle w:val="P68B1DB1-BodyText19"/>
        <w:ind w:left="567"/>
        <w:rPr>
          <w:iCs/>
        </w:rPr>
      </w:pPr>
    </w:p>
    <w:p w14:paraId="45870460" w14:textId="6B88BEBE">
      <w:pPr>
        <w:pStyle w:val="P68B1DB1-BodyText19"/>
        <w:ind w:left="567"/>
        <w:rPr>
          <w:iCs/>
        </w:rPr>
      </w:pPr>
      <w:r>
        <w:t xml:space="preserve">41. Sa chás seo, mar a tugadh faoi deara i mír 37 den bhreithiúnas seo, ba cheart a thabhairt faoi deara nach bhfuil aon nasc díreach ag an gceanglas maidir le suiteáil tuirbín gaoithe faoi réir an choinníll maidir le híosachar idir é agus foirgnimh a bhfuil feidhm chónaithe acu le comhdhéanamh, nádúr nó margú táirge amhail gineadóir gaoithe. I ndáil leis sin, fiú dá mbeadh srian ar na suíomhanna a bheadh oiriúnach chun tuirbíní gaoithe a shuiteáil mar thoradh ar an gceanglas sin, agus dá bhrí sin go raibh tionchar aige ar ghineadóirí gaoithe a mhargú, ní bheadh an éifeacht sin díreach go leor chun go dtiocfadh an ceanglas sin faoin gcatagóir ‘ceanglais eile’ a leagtar amach in Airteagal 1(1)(f) de Threoir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Breithiúnas an 4 Samhain 2022</w:t>
        </w:r>
      </w:hyperlink>
      <w:r>
        <w:rPr>
          <w:rFonts w:ascii="Times New Roman" w:hAnsi="Times New Roman" w:cs="Times New Roman" w:eastAsia="Times New Roman"/>
          <w:b/>
          <w:i/>
          <w:szCs w:val="20"/>
        </w:rPr>
        <w:t xml:space="preserve">, Phytofar, C</w:t>
        <w:noBreakHyphen/>
        <w:t xml:space="preserve">658/21, EU:C:2022:925, míreanna 36 go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Is dócha gur ‘ceanglas eile’ é reachtaíocht lena dtoirmisctear ar dhaoine nach bhfuil údarú acu do ghairmithe lotnaidicídí ina bhfuil gliofosáit a úsáid, ós rud é go bhféadfadh tionchar suntasach a bheith aici ar mhargú gliofosáite. Déantar measúnú ar thábhacht an tionchair sin i bhfianaise líon cheannacháin na dtáirgí lena mbaineann agus na n-athruithe ar nósanna díolacháin.</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Sa chás seo, is léir, ar an gcéad dul síos, ón mbrollach a ghabhann le Cinneadh an 14 Iúil 2017 go bhforchuirtear an toirmeasc a leagtar síos leis chun sláinte an duine agus an comhshaol a chosaint.</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Ina dhiaidh sin, baineann an toirmeasc sin le saolré lotnaidicídí ina bhfuil gliofosáit tar éis iad a chur ar an margadh, trí choinníoll a leagan síos maidir le húsáid na dtáirgí sin, sa mhéid nach n-údaraítear ach do ghairmithe a bhfuil ceadúnas fíteashláintíochta acu iad a úsáid ar thalamh atá in úsáid go príobháideach.</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Ar deireadh, ní mór a thabhairt faoi deara go bhféadfadh toirmeasc den sórt sin tionchar a imirt ar mhargú na dtáirgí lena mbaineann.</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Is é an toradh a bhíonn ar an mbeart sin go n-imíonn catagóir ceannaitheoirí ionchasacha lotnaidicídí ina bhfuil gliofosáit, eadhon daoine aonair ar mian leo lotnaidicídí den sórt sin a úsáid iad féin, gan úsáid a bhaint as seirbhísí gairmithe a bhfuil an ceadúnas fíteashláintíochta is gá acu. Dá bhrí sin, déanann srian den sórt sin ar an bhféidearthacht lotnaidicídí ina bhfuil gliofosáit a úsáid difear dá margú (féach, de réir analaí, breithiúnas an 13 Deireadh Fómhair 2016, M. agus S., C-303/15, EU:C:2016:771, mír 26 agus an cásdlí dá dtagraítear).</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Mar sin féin, mar a luann an Coimisiún ina bharúlacha i scríbhinn, chun go n-aicmeofar an beart a tugadh isteach le Cinneadh an 14 Iúil 2017 mar ‘rialachán teicniúil’, a thagann faoin gcatagóir ‘ceanglais eile’ de réir bhrí Airteagal 1(1)(d) agus (f) de Threoir 2015/1535, ní mór tionchar suntasach a bheith ag an mbeart sin ar mhargú lotnaidicídí ina bhfuil gliofosáit.</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Is faoin gcúirt a rinne an tarchur atá sé a chinneadh an amhlaidh atá anseo.</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Agus an measúnú sin á dhéanamh, féadfaidh an chúirt a rinne an tarchur a chur san áireamh, inter alia, méid foriomlán na ndíolachán lotnaidicídí ina bhfuil gliofosáit i gcríoch an Réigiúin Phléimeannaigh agus an t-athrú ar nósanna ceannaigh gach catagóire ceannaitheora, ar bhonn mhinicíocht a gceannach agus chainníocht an táirge a ceannaíodh, chomh maith leis an athrú ar na háiteanna ceannaigh agus ar na bealaí dáileacháin. Sa chomhthéacs sin, féadfaidh an chúirt sin a chur san áireamh, ar thaobh amháin, a mhéid a thagann éileamh ó úsáideoirí gairmiúla in ionad éileamh daoine aonair a bhaineann úsáid as seirbhísí úsáideoirí gairmiúla agus, ar an taobh eile, faigheann úsáideoirí aonair lotnaidicídí atá saor ó ghliofosáit anois in ionad iad siúd ina bhfuil an tsubstaint sin.’</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Breithiúnas an 9 Márta 2023</w:t>
        </w:r>
      </w:hyperlink>
      <w:r>
        <w:rPr>
          <w:rFonts w:ascii="Times New Roman" w:hAnsi="Times New Roman" w:cs="Times New Roman" w:eastAsia="Times New Roman"/>
          <w:b/>
          <w:i/>
          <w:szCs w:val="20"/>
        </w:rPr>
        <w:t xml:space="preserve">, Vapo Atlantic, C-604/21, EU:C:2023:175, míreanna 40 agus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D’fhéadfadh reachtaíocht náisiúnta lena gceanglaítear ar oibreoirí a scaoileann breoslaí mótair lena dtomhailt rannchuidiú le spriocanna a bhaint amach maidir le bithbhreoslaí a ionchorprú i mbreoslaí mótair agus a bhféadfadh smachtbhannaí airgeadais a bheith mar thoradh ar a sárú, tionchar suntasach a imirt ar mhargú breoslaí. Dá bhrí sin, is ‘ceanglas eile’ é.</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Sa chás seo, baineann ceisteanna na cúirte a rinne an tarchur le dlí náisiúnta lena gceanglaítear ar oibreoirí eacnamaíocha a scaoileann breoslaí mótair lena dtomhailt, cé is moite de GPL agus gás nádúrtha, rannchuidiú le comhlíonadh na spriocanna maidir le bithbhreoslaí a ionchorprú i gcainníochtaí bliantúla breosla mótair a scaoileann siad lena dtomhailt, eadhon sprioc 10 % do 2020. Cé nach sonraítear leis an dlí sin an cineál breosla mótair atá i gceist ná nach socraítear leis céatadán de bhithbhreosla atá le hionchorprú go fisiceach i mbreoslaí mótair, ná nach sonraítear ann an cineál bithbhreosla atá le hionchorprú, tá an ceanglas a leagtar síos ann, arna ghlacadh chun críocha chosaint an chomhshaoil, dírithe ar shaolré breoslaí mótair tar éis dóibh a bheith curtha ar an margadh agus d’fhéadfadh tionchar suntasach a bheith aige ar mhargú na dtáirgí sin, sa mhéid is go bhféadfadh oibleagáid cúiteamh airgeadais a íoc a bheith mar thoradh ar mhainneachtain an oibleagáid bithbhreoslaí a ionchorprú a leagtar síos leis an dlí sin a chomhlíonadh.</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Dá bhrí sin, cumhdaítear dlí náisiúnta lena leagtar síos sprioc maidir le 10 % de bhithbhreoslaí a ionchorprú i mbreoslaí mótair arna scaoileadh lena dtomhailt ag oibreoir eacnamaíoch i ndáil le 2020 leis an gcoincheap ‘ceanglais eile’ de réir bhrí Airteagal 1(4) de Threoir 98/34 agus, dá bhrí sin, is ‘rialachán teicniúil’ é de réir bhrí Airteagal 1(11) den Treoir sin.’</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Rialacha maidir le Seirbhísí</w:t>
      </w:r>
      <w:bookmarkEnd w:id="5"/>
      <w:bookmarkEnd w:id="68"/>
      <w:bookmarkEnd w:id="69"/>
    </w:p>
    <w:p w14:paraId="19E12A03" w14:textId="77777777">
      <w:pPr>
        <w:pStyle w:val="BodyText"/>
      </w:pPr>
    </w:p>
    <w:p w14:paraId="6D8B2150" w14:textId="77777777">
      <w:pPr>
        <w:pStyle w:val="P68B1DB1-BodyText11"/>
        <w:ind w:left="567"/>
        <w:rPr>
          <w:iCs/>
        </w:rPr>
      </w:pPr>
      <w:r>
        <w:t xml:space="preserve">“ciallaíonn ‘riail maidir le seirbhísí’ ceanglas de chineál ginearálta a bhaineann le dul i mbun gníomhaíochtaí seirbhíse agus iad a shaothrú de réir bhrí phointe (b), go háirithe forálacha a bhaineann leis an soláthraí seirbhíse, leis na seirbhísí agus le faighteoir na seirbhísí, seachas aon rialacha nach bhfuil dírithe go sonrach ar na seirbhísí a shainmhínítear sa phointe sin. </w:t>
      </w:r>
    </w:p>
    <w:p w14:paraId="7C9B8AC3" w14:textId="77777777">
      <w:pPr>
        <w:pStyle w:val="P68B1DB1-BodyText11"/>
        <w:ind w:left="567"/>
        <w:rPr>
          <w:iCs/>
        </w:rPr>
      </w:pPr>
    </w:p>
    <w:p w14:paraId="46FCE36C" w14:textId="0D89DACC">
      <w:pPr>
        <w:pStyle w:val="P68B1DB1-BodyText11"/>
        <w:ind w:left="567"/>
        <w:rPr>
          <w:iCs/>
        </w:rPr>
      </w:pPr>
      <w:r>
        <w:t xml:space="preserve">Chun críocha an tsainmhínithe seo: </w:t>
      </w:r>
    </w:p>
    <w:p w14:paraId="0FA17B64" w14:textId="77777777">
      <w:pPr>
        <w:pStyle w:val="P68B1DB1-BodyText11"/>
        <w:ind w:left="567"/>
        <w:rPr>
          <w:iCs/>
        </w:rPr>
      </w:pPr>
    </w:p>
    <w:p w14:paraId="5287D99C" w14:textId="40B4253E">
      <w:pPr>
        <w:pStyle w:val="P68B1DB1-BodyText11"/>
        <w:numPr>
          <w:ilvl w:val="0"/>
          <w:numId w:val="30"/>
        </w:numPr>
        <w:rPr>
          <w:iCs/>
        </w:rPr>
      </w:pPr>
      <w:r>
        <w:t xml:space="preserve">measfar go bhfuil riail dírithe go sonrach ar sheirbhísí na Sochaí Faisnéise i gcás inarb amhlaidh, ag féachaint dá ráiteas maidir le cúiseanna agus dá cuid oibríochtúil, gurb é is aidhm shonrach agus cuspóir sonrach dá cuid forálacha go léir nó roinnt dá cuid forálacha aonair na seirbhísí sin a rialáil ar mhodh sainráite, spriocdhírithe; </w:t>
      </w:r>
    </w:p>
    <w:p w14:paraId="112BC54B" w14:textId="13ACB17B">
      <w:pPr>
        <w:pStyle w:val="P68B1DB1-BodyText11"/>
        <w:numPr>
          <w:ilvl w:val="0"/>
          <w:numId w:val="30"/>
        </w:numPr>
        <w:rPr>
          <w:iCs/>
        </w:rPr>
      </w:pPr>
      <w:r>
        <w:t xml:space="preserve">ní mheasfar riail a bheith dírithe go sonrach ar sheirbhísí na Sochaí Faisnéise más rud é nach ndéanann sí difear do na seirbhísí sin ach ar bhealach intuigthe nó teagmhasach;’</w:t>
      </w:r>
    </w:p>
    <w:p w14:paraId="573C811F" w14:textId="77777777">
      <w:pPr>
        <w:pStyle w:val="BodyText"/>
        <w:ind w:left="567"/>
        <w:rPr>
          <w:i/>
          <w:iCs/>
        </w:rPr>
      </w:pPr>
    </w:p>
    <w:p w14:paraId="2735376A" w14:textId="709F0465">
      <w:pPr>
        <w:pStyle w:val="BodyText"/>
        <w:ind w:left="1440"/>
        <w:jc w:val="right"/>
      </w:pPr>
      <w:r>
        <w:t xml:space="preserve">(Airteagal 1(1)(e) de Threoir (AE)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“ciallaíonn ‘seirbhís’ aon seirbhís de chuid na Sochaí Faisnéise, is é sin le rá, aon seirbhís a sholáthraítear de ghnáth ar luach saothair, go cianda, trí mheán leictreonach agus ar iarraidh aonair ó fhaighteoir seirbhísí.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Chun críocha an tsainmhínithe seo: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ciallaíonn ‘go cianda’ go soláthraítear an tseirbhís gan na páirtithe a bheith i láthair ag an am céanna;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ciallaíonn ‘trí mheán leictreonach’ go seoltar an tseirbhís ar dtús agus go bhfaightear í ag a ceann scríbe trí bhíthin trealamh leictreonach chun sonraí a phróiseáil (lena n-áirítear comhbhrú digiteach) agus a stóráil, agus go ndéantar í a tharchur, a iompar agus a fháil go hiomlán ar shreang, ar raidió, ar mhodh optúil nó ar mhodh leictreamaighnéadach eile;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ciallaíonn ‘ar iarraidh aonair ó fhaighteoir seirbhísí’ go soláthraítear an tseirbhís trí tharchur sonraí ar iarraidh aonair.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Leagtar amach in Iarscríbhinn I liosta táscach de sheirbhísí nach gcumhdaítear leis an sainmhíniú seo;”</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(Airteagal 1(1)(b) de Threoir (AE)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“Liosta táscach seirbhísí nach gcumhdaítear leis an dara fomhír d’Airteagal 1(1)(b)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Seirbhísí nach soláthraítear ‘go cianda’</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Seirbhísí a sholáthraítear agus an tsoláthraí agus an faighteoir beirt i láthair go fisiciúil, fiú má bhíonn feistí leictreonacha i gceist leo: </w:t>
      </w:r>
    </w:p>
    <w:p w14:paraId="3362CCDE" w14:textId="74A453DA">
      <w:pPr>
        <w:spacing w:after="0" w:line="240" w:lineRule="auto"/>
        <w:ind w:left="1287"/>
        <w:rPr>
          <w:rFonts w:ascii="Times New Roman" w:hAnsi="Times New Roman" w:cs="Times New Roman"/>
          <w:i/>
          <w:sz w:val="24"/>
          <w:szCs w:val="24"/>
        </w:rPr>
        <w:pStyle w:val="P68B1DB1-Normal12"/>
      </w:pPr>
      <w:r>
        <w:t xml:space="preserve">scrúduithe leighis nó cóireáil leighis ag máinliacht dochtúra ina n-úsáidtear trealamh leictreonach i gcás ina bhfuil an t-othar i láthair go fisiciúil;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catalóg leictreonach a cheadú i siopa leis an gcustaiméir ar an láthair; </w:t>
      </w:r>
    </w:p>
    <w:p w14:paraId="7DA6C469" w14:textId="5F31D5B1">
      <w:pPr>
        <w:spacing w:after="0" w:line="240" w:lineRule="auto"/>
        <w:ind w:left="1287"/>
        <w:rPr>
          <w:rFonts w:ascii="Times New Roman" w:hAnsi="Times New Roman" w:cs="Times New Roman"/>
          <w:i/>
          <w:sz w:val="24"/>
          <w:szCs w:val="24"/>
        </w:rPr>
        <w:pStyle w:val="P68B1DB1-Normal12"/>
      </w:pPr>
      <w:r>
        <w:t xml:space="preserve">áirithint ticéad eitleáin ag gníomhaireacht taistil i láthair fhisiciúil an chustaiméara trí líonra ríomhairí; </w:t>
      </w:r>
    </w:p>
    <w:p w14:paraId="01C9EFAD" w14:textId="77777777">
      <w:pPr>
        <w:spacing w:after="0" w:line="240" w:lineRule="auto"/>
        <w:ind w:left="1287"/>
        <w:rPr>
          <w:rFonts w:ascii="Times New Roman" w:hAnsi="Times New Roman" w:cs="Times New Roman"/>
          <w:i/>
          <w:sz w:val="24"/>
          <w:szCs w:val="24"/>
        </w:rPr>
        <w:pStyle w:val="P68B1DB1-Normal12"/>
      </w:pPr>
      <w:r>
        <w:t xml:space="preserve">(d) cluichí leictreonacha a chuirtear ar fáil in árascáid físe ina bhfuil an custaiméir i láthair go fisiciúil.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Seirbhísí nach “trí mheán leictreonach” a sholáthraítear iad</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seirbhísí a bhfuil ábhar ábhartha acu cé go soláthraítear iad trí ghléasanna leictreonacha: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meaisíní uathoibríocha dáilte airgid nó ticéad (nótaí bainc, ticéid iarnróid); </w:t>
      </w:r>
    </w:p>
    <w:p w14:paraId="07693B6B" w14:textId="1A59726A">
      <w:pPr>
        <w:spacing w:after="0" w:line="240" w:lineRule="auto"/>
        <w:ind w:left="1287"/>
        <w:rPr>
          <w:rFonts w:ascii="Times New Roman" w:hAnsi="Times New Roman" w:cs="Times New Roman"/>
          <w:i/>
          <w:sz w:val="24"/>
          <w:szCs w:val="24"/>
        </w:rPr>
        <w:pStyle w:val="P68B1DB1-Normal12"/>
      </w:pPr>
      <w:r>
        <w:t xml:space="preserve">rochtain ar ghréasáin bhóithre, ar charrchlóis, etc., ag muirearú le haghaidh úsáide, fiú má tá gléasanna leictreonacha ann ag an mbealach isteach/imeacht a rialaíonn rochtain agus/nó a áirithíonn go ndéantar íocaíocht cheart, </w:t>
      </w:r>
    </w:p>
    <w:p w14:paraId="6B193BE7" w14:textId="77777777">
      <w:pPr>
        <w:spacing w:after="0" w:line="240" w:lineRule="auto"/>
        <w:ind w:left="567"/>
        <w:rPr>
          <w:rFonts w:ascii="Times New Roman" w:hAnsi="Times New Roman" w:cs="Times New Roman"/>
          <w:i/>
          <w:sz w:val="24"/>
          <w:szCs w:val="24"/>
        </w:rPr>
        <w:pStyle w:val="P68B1DB1-Normal12"/>
      </w:pPr>
      <w:r>
        <w:t xml:space="preserve">— seirbhísí as líne: dáileadh CD-ROManna nó bogearraí ar dhiscéid, </w:t>
      </w:r>
    </w:p>
    <w:p w14:paraId="421C0A6C" w14:textId="77777777">
      <w:pPr>
        <w:spacing w:after="0" w:line="240" w:lineRule="auto"/>
        <w:ind w:left="567"/>
        <w:rPr>
          <w:rFonts w:ascii="Times New Roman" w:hAnsi="Times New Roman" w:cs="Times New Roman"/>
          <w:i/>
          <w:sz w:val="24"/>
          <w:szCs w:val="24"/>
        </w:rPr>
        <w:pStyle w:val="P68B1DB1-Normal12"/>
      </w:pPr>
      <w:r>
        <w:t xml:space="preserve">— seirbhísí nach soláthraítear trí chórais leictreonacha phróiseála/fardala: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seirbhísí guth-theileafónaíochta;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seirbhísí facs/telex;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seirbhísí a sholáthraítear trí ghuth-theileafónaíocht nó trí fhacs;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comhairliúchán teileafóin/teileafhacs le dochtúir;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comhairliúchán teileafóin/teileafhacs le dlíodóir;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margaíocht dhíreach teileafóin/teileafhacs.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Seirbhísí nach soláthraítear “ar iarraidh aonair ó fhaighteoir seirbhísí”</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Seirbhísí a sholáthraítear trí shonraí a tharchur gan éileamh aonair ar ghlacadh comhuaineach ag líon neamhtheoranta glacadóirí aonair (tarchur ó phointe go hilphointí): </w:t>
      </w:r>
    </w:p>
    <w:p w14:paraId="7348FF90" w14:textId="622E29E3">
      <w:pPr>
        <w:spacing w:after="0" w:line="240" w:lineRule="auto"/>
        <w:ind w:left="1287"/>
        <w:rPr>
          <w:rFonts w:ascii="Times New Roman" w:hAnsi="Times New Roman" w:cs="Times New Roman"/>
          <w:i/>
          <w:sz w:val="24"/>
          <w:szCs w:val="24"/>
        </w:rPr>
        <w:pStyle w:val="P68B1DB1-Normal12"/>
      </w:pPr>
      <w:r>
        <w:t xml:space="preserve">(a) seirbhísí craoltóireachta teilifíse (lena n-áirítear seirbhísí neas-físeáin ar éileamh), a chumhdaítear le pointe (e) d’Airteagal 1(1) de Threoir 2010/13/AE;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seirbhísí craolacháin raidió; </w:t>
      </w:r>
    </w:p>
    <w:p w14:paraId="50FD6B17" w14:textId="6C6940F1">
      <w:pPr>
        <w:spacing w:after="0" w:line="240" w:lineRule="auto"/>
        <w:ind w:left="567" w:firstLine="720"/>
        <w:pStyle w:val="P68B1DB1-Normal12"/>
      </w:pPr>
      <w:r>
        <w:t xml:space="preserve">(C) teilitéacs (tiomnaithe).”</w:t>
      </w:r>
    </w:p>
    <w:p w14:paraId="4CB8A09D" w14:textId="49490E91">
      <w:pPr>
        <w:pStyle w:val="BodyText"/>
        <w:ind w:left="1440"/>
        <w:jc w:val="right"/>
      </w:pPr>
      <w:r>
        <w:t xml:space="preserve">(Iarscríbhinn I a ghabhann le Treoir (AE)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Breithiúnas an 2 Meitheamh 2005</w:t>
        </w:r>
      </w:hyperlink>
      <w:r>
        <w:rPr>
          <w:rFonts w:ascii="Times New Roman" w:hAnsi="Times New Roman" w:cs="Times New Roman" w:eastAsia="Times New Roman"/>
          <w:b/>
          <w:i/>
          <w:szCs w:val="20"/>
        </w:rPr>
        <w:t xml:space="preserve">, Mediakabel BV, C-89/04, EU:C:2005:348, míreanna 38 agus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Seirbhís craolacháin teilifíse a chuirtear ar fáil arna iarraidh sin don rannpháirtí, ach arb é an soláthraí a chinneann minicíocht agus uainiú na scannán ina leith, ní hionann í agus ‘seirbhís na sochaí faisnéise’, ós rud é gurb é an soláthraí a roghnaíonn agus a sceidealaíonn an t-ábhar agus, dá bhrí sin, nach soláthraítear é ar iarraidh aonair an fhaighteora.</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Cé go gcomhlíonann seirbhís den sórt sin an chéad dá chritéar chun ‘seirbhís sochaí faisnéise’ a bhunú de réir bhrí Airteagal 1(2) de Threoir 98/34, is é sin, go soláthraítear í go cianda agus go ndéantar í a tharchur go páirteach le trealamh leictreonach, ní chomhlíonann sí an tríú critéar den choincheap, ar dá réir nach mór an tseirbhís atá i gceist a sholáthar ‘ar iarraidh aonair ó fhaighteoir seirbhísí’. Is é an soláthraí seirbhíse a chinneann liosta na scannán a thairgtear mar chuid de sheirbhís amhail an t-am scannán. Cuirtear roghnú na scannán ar fáil do gach síntiúsóir ar na téarmaí céanna, trí na meáin scríofa nó trí fhaisnéis a tharchuirtear ar an scáileán teilifíse, agus tá na scannáin sin inrochtana ag na hamanna craolta a chinneann an soláthraí. Níl san eochair aonair lenar féidir rochtain a fháil ar na scannáin ach bealach chun íomhánna a dhíchódú a seoltar a gcomharthaí go comhuaineach chuig gach síntiúsóir.</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Dá bhrí sin, ní bhíonn seirbhís den sórt sin faoi cheannas duine aonair ag faighteoir aonair ag a bhfuil saor-rogha clár i suíomh idirghníomhach. Ní mór a mheas gur seirbhís ar éileamh gar d’fhíseáin í, a sholáthraítear ar bhonn ‘ó phointe go hilphointe’ seachas ‘ar iarraidh aonair ó fhaighteoir seirbhísí’.’</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Breithiúnas an 2 Feabhra 2016</w:t>
        </w:r>
      </w:hyperlink>
      <w:r>
        <w:t xml:space="preserve">, Ince, C-336/14, EU:C:2016:72, míreanna 75 agus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Forálacha náisiúnta lena gcuirtear srian le cluichí áidh ar líne a thairiscint nó lena dtoirmeasctar fógraíocht ar líne a dhéanamh ar chluichí den sórt sin, féadfar iad a mheas mar ‘rialacha maidir le seirbhísí’, toisc go mbaineann siad le ‘seirbhís na sochaí faisnéise’. I gcodarsnacht leis sin, forálacha lena gceanglaítear réamhúdarú d’oibreoirí a eagraíonn cluichí áidh nó lena dtoirmisctear údarú den sórt sin a dheonú d’oibreoirí príobháideacha, baineann siad leis na coinníollacha chun gnóthais a bhunú agus, dá bhrí sin, ní ‘rialacha maidir le seirbhísí’ iad.</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féadfar cuid d’fhorálacha an Chonartha maidir le cluichíocht a aicmiú mar ‘rialacha maidir le seirbhísí’, a mhéid a bhaineann siad le ‘seirbhís na Sochaí Faisnéise’ de réir bhrí Airteagal 1.2 de Threoir 98/34. Áirítear leis na forálacha sin toirmeasc ar chluichí áidh a thairiscint ar an idirlíon a leagtar síos in Airteagal 4(4) den Chonradh maidir le cluichíocht, na heisceachtaí ón toirmeasc sin a liostaítear in Airteagal 25(6) den Chonradh sin, na srianta ar gheallta spóirt a thairiscint trí sheirbhísí teileamheán faoi Airteagal 21(2) den Chonradh sin, agus toirmeasc ar fhógraí a chraoladh le haghaidh cluichí áidh ar an idirlíon nó trí threalamh teileachumarsáide de bhun Airteagal 5(3) den Chonradh sin.</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Os a choinne sin, maidir le forálacha an Chonartha maidir le cearrbhachas seachas na forálacha sin a bhaineann le ‘seirbhís na Sochaí Faisnéise’, de réir bhrí Airteagal 1.2 de Threoir 98/34, amhail na forálacha lena dtugtar isteach an oibleagáid údarú a fháil chun geallta spóirt a eagrú nó a bhailiú agus nach féidir údarú den sórt sin a eisiúint d’oibreoirí príobháideacha, ní hionann iad sin agus ‘rialacháin theicniúla’ de réir bhrí Airteagal 1.11 den Treoir sin. Ní rialacháin theicniúla de réir bhrí na forála sin iad forálacha náisiúnta nach leagtar síos leo ach coinníollacha lena rialaítear bunú nó soláthar seirbhísí ag gnóthais, amhail forálacha lena gcuirtear feidhmiú gníomhaíochta faoi réir údarú roimh ré (féach, chuige sin, breithiúnas Lindberg, C-267/03, EU:C:2005:246, mír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Breithiúnas na Cúirte an 13 Deireadh Fómhair 2016</w:t>
        </w:r>
      </w:hyperlink>
      <w:r>
        <w:t xml:space="preserve">, Naczelnik Urzędu Celnego I w., C</w:t>
        <w:noBreakHyphen/>
        <w:t xml:space="preserve">303/15, EU:C:2016:771, mír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Ní hionann foráil lena gcuirtear feidhmiú gníomhaíochtaí cearrbhachais faoi réir ceadúnas oibríochta casaíne a shealbhú agus ‘riail maidir le seirbhísí’, toisc nach mbaineann sé le ‘seirbhís na sochaí faisnéise’.</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ní féidir an fhoráil sin a chur sa chatagóir ‘rialacha maidir le seirbhísí [na sochaí faisnéise]’, de réir bhrí Airteagal 1(5) de Threoir 98/34, ós rud é nach mbaineann sí le ‘seirbhís na sochaí faisnéise’, de réir bhrí Airteagal 1(2) den Treoir sin.’</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Breithiúnas an 20 Nollaig 2017</w:t>
      </w:r>
      <w:r>
        <w:rPr>
          <w:color w:val="0000FF"/>
          <w:u w:val="single"/>
        </w:rPr>
        <w:fldChar w:fldCharType="end"/>
        <w:t xml:space="preserve">, Falbert agus Eile, C</w:t>
        <w:noBreakHyphen/>
        <w:t xml:space="preserve">255/16, EU:C:2017:983, míreanna 27 go 29, 32 agus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Féadfaidh forálacha náisiúnta maidir le seirbhísí cluichíochta nó fógraíochta a bheith ina ‘rialacha maidir le seirbhísí’ má bhaineann siad go díreach le seirbhísí a sholáthraítear go cianda, trí mheán leictreonach, agus ar iarraidh aonair ón bhfaighteoir. Fiú mura ndéantar idirdhealú i bhfoclaíocht na bhforálacha sin idir seirbhísí ar líne agus as líne, féadfar a gcuspóir maidir le ‘seirbhísí na sochaí faisnéise’ a thuiscint óna n-aithrisí nó ó na </w:t>
      </w:r>
      <w:r>
        <w:rPr>
          <w:i/>
        </w:rPr>
        <w:t xml:space="preserve">travaux préparatoires</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Ba cheart a mheabhrú, faoi Airteagal 1(2) den Treoir sin, nach gcumhdaítear leis an gcoincheap ‘rialachán teicniúil’ ach rialacháin a bhaineann le seirbhísí na sochaí faisnéise, is é sin, aon seirbhís a sholáthraítear go cianda trí mheán leictreonach agus ar iarraidh aonair ó fhaighteoir seirbhísí (féach breithiúnais an 13 Deireadh Fómhair 2016, M. agus S., C-303/15, EU:C:2016:771, mír 21, agus an 1 Feabhra 2017, Município de Palmela, C-144/16, EU:C:2017:76, mír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I ndáil leis sin, ba cheart a thabhairt faoi deara, i bprionsabal, go mbaineann Airteagal 10(3)(3) den Dlí maidir le cluichíocht le dhá chineál seirbhísí arb iad, ar thaobh amháin, seirbhísí fógraíochta a gcuirtear smachtbhannaí orthu láithreach faoin bhforáil sin agus, ar an taobh eile, seirbhísí cluichíochta a chumhdaítear leis an toirmeasc ar fhógraíocht agus arb iad príomhábhar an Dlí maidir le Cearrbhachas, arna léamh ina iomláine.</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Is éard atá i gceist le seirbhísí fógraíochta agus cearrbhachais araon, a mhéid a sholáthraítear iad, go háirithe, trí mheán leictreonach (ar líne), ‘Seirbhísí Sochaí Faisnéise’ de réir bhrí Airteagal 1(2) de Threoir 98/34 agus na rialacha a bhaineann leo a d’fhéadfaí a mheas, dá réir sin, gur ‘rialacha maidir le seirbhísí’ iad de réir bhrí Airteagal 1(5) de Threoir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Ba cheart a thabhairt faoi deara i ndáil leis sin, ar an gcéad dul síos, faoin gcéad fhleasc d’Airteagal 1(5) de Threoir 98/34, nach mór an cheist an bhfuil riail dírithe go sonrach ar sheirbhísí na sochaí faisnéise a chinneadh i bhfianaise na gcúiseanna sonraithe agus fhoclaíocht na rialach araon. Faoin bhforáil chéanna sin, thairis sin, ní cheanglaítear gurb é ‘aidhm agus cuspóir sonrach’ na rialach uile atá i gceist seirbhísí na sochaí faisnéise a rialáil, ós rud é gur leor go saothrófaí an aidhm nó an cuspóir sin i bhforálacha áirithe den riail.</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Dá bhrí sin, mura léir ó fhoclaíocht rialach náisiúnta amháin go bhfuil sé d’aidhm aici, go páirteach ar a laghad, rialáil shonrach a dhéanamh ar sheirbhísí na sochaí faisnéise — amhail sa chás seo, i gcás nach ndéantar aon idirdhealú leis an bhfoclaíocht idir seirbhísí a sholáthraítear as líne agus seirbhísí a sholáthraítear ar líne — d’fhéadfaí an cuspóir sin a tharraingt go réidh, mar sin féin, ó na cúiseanna sonraithe leis an riail — arís mar atá sa chás seo faoi na rialacha náisiúnta léirmhínithe ábhartha, lena gceadaítear inter alia na travaux préparatoires chun treoir a thabhairt leis an riail.”</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Breithiúnas an 20 Nollaig 2017</w:t>
        </w:r>
      </w:hyperlink>
      <w:r>
        <w:t xml:space="preserve">, Asociación Profesional Elite Taxi, C</w:t>
        <w:noBreakHyphen/>
        <w:t xml:space="preserve">434/15, EU:C:2017:981, míreanna 37 agus 39 go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Seirbhís idirghabhála a nascann, trí fheidhmchlár fóin chliste agus ar luach saothair, tiománaithe neamhghairmiúla a úsáideann a bhfeithiclí féin le daoine a bhfuil iompar uirbeach á lorg acu, ní mór í a mheas mar sheirbhís a bhfuil dlúthbhaint aici le seirbhís iompair agus, dá bhrí sin, a aicmítear mar ‘sheirbhís i réimse an iompair’ (seachas mar ‘sheirbhís sochaí faisnéise’).</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Is iomchuí a thabhairt faoi deara, áfach, go bhfuil níos mó i gceist le seirbhís amhail an tseirbhís sna príomhimeachtaí ná seirbhís idirghabhála arb é atá ann tiománaí neamhghairmiúil a nascadh, trí fheidhmchlár fóin chliste, trí úsáid a bhaint as a fheithicil féin le duine ar mian leis turas uirbeach a dhéanamh.’</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I ndáil leis sin, leanann sé ón bhfaisnéis atá os comhair na Cúirte go bhfuil an tseirbhís idirghabhála arna soláthar ag Uber bunaithe ar roghnú tiománaithe neamhghairmiúla a úsáideann a bhfeithicil féin, a soláthraíonn an chuideachta iarratas dóibh nach gcuirfí de thoradh ar na tiománaithe sin, ar an gcéad dul síos, seirbhísí iompair a sholáthar agus, ar an dara dul síos, nach n-úsáidfeadh daoine ar mian leo turas uirbeach a dhéanamh na seirbhísí a sholáthraíonn na tiománaithe sin. Ina theannta sin, tá tionchar cinntitheach ag Uber ar na coinníollacha faoina soláthraíonn na tiománaithe sin an tseirbhís sin. Maidir leis an bpointe deireanach sin, dealraíonn sé, inter alia, go gcinneann Uber an táille uasta ar a laghad tríd an iarratas ilghnéitheach, go bhfaigheann an chuideachta an méid sin ón gcliant sula n-íocann sé cuid de le tiománaí neamhghairmiúil na feithicle, agus go bhfeidhmíonn sé rialú áirithe ar cháilíocht na bhfeithiclí, ar na tiománaithe agus ar a n-iompar, rud a d’fhéadfadh a bheith ina chúis, in imthosca áirithe, lena n-eisiamh.</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Dá bhrí sin, ní mór an tseirbhís idirghabhála sin a mheas mar dhlúthchuid de sheirbhís fhoriomlán ar seirbhís iompair a príomh-chomhpháirt agus, dá bhrí sin, ní mór í a aicmiú mar ‘sheirbhís de chuid na sochaí faisnéise’ de réir bhrí Airteagal 1(2) de Threoir 98/34, dá dtagraítear in Airteagal 2(a) de Threoir 2000/31, ach mar ‘sheirbhís i réimse an iompair’ de réir bhrí Airteagal 2(2)(d) de Threoir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Deimhnítear an t-aicmiú sin le cásdlí na Cúirte, ar dá réir a áirítear leis an gcoincheap ‘seirbhísí i réimse an iompair’ ní hamháin seirbhísí iompair iontu féin ach freisin aon seirbhís a bhfuil dlúthbhaint aici le haon ghníomh fisiciúil a bhaineann le daoine nó earraí a aistriú ó áit amháin go háit eile trí mhodhanna iompair (féach, chuige sin, breithiúnas an 15 Deireadh Fómhair 2015, Grupo Itevelesa agus páirtithe eile, C-168/14, EU:C:2015:685, míreanna 45 agus 46, agus Tuairim 2/15 (Comhaontú Saorthrádála le Singeapór) an 16 Bealtaine 2017, EU:C:2017:376, mír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Breithiúnas an 10 Aibreán 2018</w:t>
        </w:r>
      </w:hyperlink>
      <w:r>
        <w:t xml:space="preserve">, Uber France, C</w:t>
        <w:noBreakHyphen/>
        <w:t xml:space="preserve">320/16, EU:C:2018:221, míreanna 21 agus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Maidir le foráil den dlí náisiúnta lena bhforchuirtear pionóis choiriúla as córas a eagrú chun custaiméirí a nascadh le tiománaithe, gan an t-údarú is gá, baineann sí le ‘seirbhís i réimse an iompair’ (seachas ‘seirbhís na sochaí faisnéise’) a mhéid is cuid dhílis de sheirbhís fhoriomlán í an tseirbhís idirghabhála a bhfuil feidhm aici maidir léi, arb í an tseirbhís iompair a bpríomhghné.</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chinn an Chúirt go raibh nasc bunúsach idir an tseirbhís idirghabhála a chuir an chuideachta lena mbaineann ar fáil agus seirbhísí iompair uirbeacha neamhphoiblí á dtairiscint ag an gcuideachta sin, ós rud é, ar an gcéad dul síos, gur sholáthair an chuideachta sin iarratas nach mbeadh seirbhísí iompair á soláthar ag na tiománaithe sin dá uireasa, agus nach n-úsáidfeadh na daoine ar mhian leo turas uirbeach a dhéanamh na seirbhísí a chuir na tiománaithe sin ar fáil agus, ar an dara dul síos, go raibh tionchar cinntitheach ag an gcuideachta sin ar na coinníollacha faoinar sholáthair na tiománaithe sin seirbhísí, go háirithe tríd an táille uasta a chinneadh, tríd an táille sin a bhailiú ón gcustaiméir sula n-íocann sé cuid di le tiománaí neamhghairmiúil na feithicle, agus trí rialú áirithe a fheidhmiú ar cháilíocht na bhfeithiclí, ar na tiománaithe agus ar a n-iompar, rud a d’fhéadfadh a bheith ina chúis, in imthosca áirithe, lena n-eisiamh (féach, chuige sin, breithiúnas an 20 Nollaig 2017, Asociación Profesional Elite Taxi, C-434/15, EU:C:2017:981, míreanna 38 agus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Chinn an Chúirt, ar bhonn na dtosca sin, gur ghá an tseirbhís idirghabhála atá i gceist sa chás sin a mheas mar dhlúthchuid de sheirbhís fhoriomlán ar seirbhís iompair a príomhchuid di agus, dá bhrí sin, nár mhór í a aicmiú, ní mar ‘sheirbhís de chuid na sochaí faisnéise’ de réir bhrí Airteagal 1(2) de Threoir 98/34, ach mar ‘sheirbhís i réimse an iompair’ de réir bhrí Airteagal 2(2)(d) de Threoir 2006/123 (féach, chuige sin, breithiúnas an 20 Nollaig 2017, Asociación Profesional Elite Taxi, C-434/15, EU:C:2017:981, mír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Breithiúnas an 26 Meán Fómhair 2018</w:t>
        </w:r>
      </w:hyperlink>
      <w:r>
        <w:t xml:space="preserve">, Van Gennip agus Eile, C-137/17, EU:C:2018:771, míreanna 42 agus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Forálacha náisiúnta a fhágann go bhfuil margú táirgí coinníollach ar an gceannaitheoir údarú a bheith aige, ní thagann siad faoin gcoincheap ‘riail maidir le seirbhísí’, toisc nach mbaineann siad le ‘seirbhísí na sochaí faisnéise’.</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Ar an tríú dul síos, maidir leis an gcatagóir ‘riail maidir le seirbhísí’, ní mór a mheabhrú, faoi Airteagal 1, pointe 5, de Threoir 98/34, gurb ionann riail den sórt sin agus aon cheanglas de chineál ginearálta a bhaineann le glacadh agus saothrú seirbhísí dá dtagraítear in Airteagal 1, pointe 2, den Treoir sin, lena n-ainmnítear ‘aon seirbhís de chuid na Sochaí Faisnéise, is é sin le rá, aon seirbhís a sholáthraítear de ghnáth ar luach saothair, go cianda, go leictreonach agus ar iarraidh aonair ó fhaighteoir seirbhísí’ (breithiúnas an 4 Feabhra 2016, Ince, C-336/14, EU:C:2016:72, mír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Sa chás seo, ní mór a mheas, mar a luaigh an tAbhcóide Ginearálta i mír 73 dá Thuairim, nach mbaineann an reachtaíocht atá i gceist sna príomhimeachtaí le seirbhísí na Sochaí Faisnéise, de réir bhrí Airteagal 1, mír 2, de Threoir 98/34. Dá bhrí sin, ní féidir leis an reachtaíocht sin teacht faoin gcatagóir ‘riail maidir le seirbhísí’ na Sochaí Faisnéise, de réir bhrí Airteagal 1, pointe 5, den Treoir sin.’</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Breithiúnas an 12 Meán Fómhair 2019</w:t>
        </w:r>
      </w:hyperlink>
      <w:r>
        <w:t xml:space="preserve">, VG Media, C-299/17, EU:C:2019:716, míreanna 32, 33 agus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Is ‘rialachán teicniúil’ é foráil náisiúnta lena dtoirmisctear ar oibreoirí tráchtála inneall cuardaigh agus ar sholáthraithe seirbhísí ábhair tráchtála nuachtáin a chur ar fáil don phobal agus ní mór fógra a thabhairt don Choimisiún ina leith.</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Meastar go bhfuil riail dírithe go sonrach ar ‘sheirbhísí na sochaí faisnéise’ má shaothraítear an cuspóir sin le forálacha áirithe, fiú mura í aidhm eisiach na rialach í. Féadfar an cuspóir sin a thuiscint ó na cúiseanna sonraithe a thugtar leis an riail, a d’fhéadfadh a bheith le feiceáil sna travaux préparatoires, fiú mura bhfuil siad soiléir go sainráite ó fhoclaíocht na rialach féin.</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I ndáil leis sin, ba cheart a thabhairt faoi deara, faoin gcéad fhleasc d’Airteagal 1(5) den Treoir sin, go measfar go bhfuil riail dírithe go sonrach ar sheirbhísí na sochaí faisnéise ag féachaint dá ráiteas ar chúiseanna agus dá cuid oibríochtúil araon. Ina theannta sin, ní cheanglaítear leis an bhforáil chéanna gurb é “aidhm agus cuspóir sonrach” na rialach uile atá i gceist seirbhísí na sochaí faisnéise a rialáil, ós rud é gur leor an aidhm nó an cuspóir sin a shaothrú i roinnt dá forálacha (breithiúnas an 20 Nollaig 2017, Falbert agus páirtithe eile, C-255/16, EU:C:2017:983, mír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Ina theannta sin, fiú i gcás nach léir ó fhoclaíocht rialach náisiúnta amháin go bhfuil sé d’aidhm aici, ar a laghad go páirteach, seirbhísí na sochaí faisnéise a rialáil go sonrach, d’fhéadfaí, mar sin féin, an cuspóir sin a tharraingt go réidh ó na cúiseanna a luaitear leis an riail, mar is léir, i gcomhréir leis na rialacha náisiúnta ábhartha maidir le léiriú i ndáil leis sin, go háirithe ó na travaux préparatoires le haghaidh na rialach sin (féach, chuige sin, breithiúnas an 20 Nollaig 2017, Falbert agus páirtithe eile, C-255/16, EU:C:2017:983, mír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Cé nach dtugann an chúirt a rinne an tarchur aon léiriú soiléir maidir le cuspóir agus cuspóir sonrach na reachtaíochta náisiúnta atá i gceist sna príomhimeachtaí, is léir, áfach, ó na barúlacha a chuir Rialtas na Gearmáine in iúl ag an éisteacht os comhair na Cúirte gur bhain leasú UrhG go sonrach le soláthraithe inneall cuardaigh idirlín ar dtús. Thairis sin, cuireann na páirtithe sna príomhimeachtaí agus an Coimisiún in iúl, ina mbarúlacha i scríbhinn, gurbh é cuspóir na reachtaíochta sin leasanna dlisteanacha fhoilsitheoirí nuachtán agus irisí sa saol digiteach a chosaint. Dealraíonn sé, dá bhrí sin, gurbh é príomhchuspóir agus príomhchuspóir na forála náisiúnta atá i gceist sna príomhimeachtaí na foilsitheoirí sin a chosaint ar sháruithe cóipchirt ag innill chuardaigh ar líne. Sa chomhthéacs sin, is cosúil nár measadh go raibh gá le cosaint ach amháin le haghaidh sáruithe córasacha ar shaothair foilsitheoirí ar líne ag soláthraithe seirbhíse na sochaí faisnéise.’</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Breithiúnas an 19 Nollaig 2019</w:t>
        </w:r>
      </w:hyperlink>
      <w:r>
        <w:t xml:space="preserve">, Airbnb Ireland, C</w:t>
        <w:noBreakHyphen/>
        <w:t xml:space="preserve">390/18, EU:C:2019:1112, míreanna 64 go 68 agus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Seirbhís idirghabhála a nascann custaiméirí le hóstaigh a thairgeann cóiríocht ghearrthéarmach trí ardán leictreonach, agus seirbhísí coimhdeacha á soláthar ag an am céanna, is ‘seirbhís sochaí faisnéise’ í toisc nach mbíonn tionchar suntasach ag na seirbhísí coimhdeacha ar sholáthar na seirbhísí cóiríochta.</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Chun go n-aicmeofar seirbhís mar ‘sheirbhís sochaí faisnéise’, ní mór ceithre choinníoll a chomhlíonadh go carnach: ní mór é a sholáthar ar luach saothair, go cianda, trí mheán leictreonach, agus ar iarraidh aonair ón bhfaighteoir.</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Fiú nuair a chuirtear le chéile iad, ní chaitheann na seirbhísí, ar bhonn roghnach nó ar shlí eile, a sholáthraíonn Airbnb Ireland agus dá dtagraítear i míreanna 59 go 63 den bhreithiúnas seo, amhras ar chineál leithleach na seirbhíse idirghabhála a sholáthraíonn an chuideachta sin agus, dá bhrí sin, ar a haicmiú mar ‘sheirbhís sochaí faisnéise’, ós rud é nach modhnaíonn siad saintréithe sonracha na seirbhíse sin go substaintiúil. I ndáil leis sin, tá sé paradacsach freisin go bhféadfadh cineál agus aicmiú dlíthiúil ghníomhaíocht an ardáin sin a bheith mar thoradh ar sheirbhísí coimhdeacha breisluacha den sórt sin arna soláthar ag ardán leictreonach dá chustaiméirí, go háirithe chun é féin a idirdhealú óna iomaitheoirí, in éagmais eilimintí breise, mar a thug an tAbhcóide Ginearálta faoi deara i mír 46 dá Thuairim.</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Thairis sin, agus murab ionann agus an méid a choinníonn AHTOP agus Rialtas na Fraince, ní féidir na rialacha maidir le feidhmiú seirbhíse idirghabhála amhail an ceann a sholáthraíonn Airbnb a bheith comhionann le rialacha na seirbhíse idirghabhála as ar eascair breithiúnais an 20 Nollaig 2017, Asociación Profesional Elite Taxi (C-434/15, EU:C:2017:981, mír 39), agus an 10 Aibreán 2018, Uber France (C-320/16, EU:C:2018:221, mír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Cé is moite den fhíoras gur tugadh na breithiúnais sin i gcomhthéacs sonrach an iompair uirbigh do phaisinéirí a bhfuil feidhm ag Airteagal 58(1) CFAE maidir leis agus nach bhfuil na seirbhísí a sholáthraíonn Airbnb Ireland inchomparáide leis na seirbhísí a bhí i gceist sna cásanna ba chúis leis na breithiúnais dá dtagraítear sa mhír roimhe seo, ní sholáthraíonn na seirbhísí coimhdeacha dá dtagraítear i míreanna 59 go 63 den bhreithiúnas seo fianaise ar an leibhéal céanna rialaithe arna chinneadh ag an gCúirt sna breithiúnais sin.</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Dá bhrí sin, luaigh an Chúirt sna breithiúnais sin go raibh tionchar cinntitheach ag Uber ar na coinníollacha faoinar sholáthair na tiománaithe neamhghairmiúla seirbhísí iompair trí úsáid a bhaint as an iarratas a chuir an chuideachta sin ar fáil dóibh (breithiúnais an 20 Nollaig 2017, Asociación Profesional Elite Taxi, C-434/15, EU:C:2017:981, mír 39, agus an 10 Aibreán 2018, Uber France, C-320/16, EU:C:2018:221, mír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Ní bhunaítear leis na hábhair a luaigh an chúirt a rinne an tarchur agus a meabhraíodh i mír 19 den bhreithiúnas seo go bhfuil tionchar chomh cinntitheach sin ag Airbnb Ireland ar na coinníollacha maidir le soláthar na seirbhísí cóiríochta lena mbaineann a sheirbhís idirghabhála, go háirithe ós rud é nach gcinneann Airbnb Ireland, go díreach ná go hindíreach, an praghas cíosa a ghearrtar, mar a bunaíodh i míreanna 56 agus 62 den bhreithiúnas seo, nach roghnaíonn sé na hóstaigh nó an chóiríocht a chuirtear ar cíos ar a ardán fós.”</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Agus é á chur san áireamh nár thug Poblacht na Fraince fógra maidir le Dlí Hoguet agus i bhfianaise chineál carnach na gcoinníollacha a leagtar síos in Airteagal 3(4) de Threoir 2000/31, dá dtagraítear i míreanna 84 agus 85 den bhreithiúnas seo, ní mór a mheas nach féidir an dlí sin a chur i bhfeidhm, ar aon chuma, ar dhuine aonair i gcás amhail Airbnb Ireland sna príomhimeachtaí, gan beann ar cé acu a chomhlíonann nó nach gcomhlíonann an dlí sin na coinníollacha eile a leagtar síos san fhoráil sin.’</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Breithiúnas an 22 Deireadh Fómhair 2020</w:t>
        </w:r>
      </w:hyperlink>
      <w:r>
        <w:t xml:space="preserve">, Sportingbet and Internet Opportunity Entertainment, C</w:t>
        <w:noBreakHyphen/>
        <w:t xml:space="preserve">275/19, EU:C:2020:856, míreanna 47 go 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Reachtaíocht lena dtugtar an ceart eisiach d’eintiteas poiblí cluichí áidh áirithe a oibriú, lena n-áirítear ar an idirlíon, tagann sí faoin sainmhíniú ar ‘rialacha maidir le seirbhísí’ a mhéid a bhaineann siad le seirbhís sochaí faisnéise.</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De réir Airteagal 1(5) den Treoir sin, is éard atá i ‘rialacha maidir le seirbhísí’ gach ceanglas de chineál ginearálta a bhaineann le dul i mbun na ngníomhaíochtaí seirbhíse dá dtagraítear in Airteagal 1(2) den Treoir sin agus iad a shaothrú, lena n-áirítear ‘aon seirbhís de chuid na Sochaí Faisnéise, is é sin le rá, aon seirbhís a sholáthraítear de ghnáth ar luach saothair, go cianda, go leictreonach agus ar iarraidh aonair ó fhaighteoir seirbhísí’.</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I ndáil leis sin, chinn an Chúirt cheana féin go bhféadfaí forálacha a bhaineann le toirmeasc ar chluichí áidh a thairiscint ar an idirlíon, na heisceachtaí ón toirmeasc sin, na srianta ar gheallta spóirt a thairiscint ar an idirlíon agus toirmeasc ar fhógraíocht a chraoladh le haghaidh cluichí áidh ar an idirlíon a aicmiú mar ‘rialacha maidir le seirbhísí’ de réir bhrí Airteagal 1(5) de Threoir 98/34, a mhéid a bhaineann siad le ‘Seirbhís Sochaí Faisnéise’ de réir bhrí Airteagal 1(2) den Treoir sin (féach, de réir analaí, breithiúnas an 4 Feabhra 2016, Ince, C-336/14, EU:C:2016:72, mír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Sa chás seo, tagraíonn na rialacha a leagtar síos in Airteagail 2 agus 3 de Dhlí Foraithne 282/2003 go sonrach do sheirbhísí na Sochaí Faisnéise. Ina theannta sin, mar thoradh ar an gceart eisiach chun cluichí áidh a oibriú ar an idirlíon a bhronnadh ar Santa Casa, cuirtear toirmeasc leis na forálacha sin ar gach oibreoir eacnamaíoch na seirbhísí sin a sholáthar, cé is moite de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Breithiúnas an 3 Nollaig 2020</w:t>
        </w:r>
      </w:hyperlink>
      <w:r>
        <w:t xml:space="preserve">, Star Taxi App, C</w:t>
        <w:noBreakHyphen/>
        <w:t xml:space="preserve">62/19, EU:C:2020:980, míreanna 52 go 54 agus 64 go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Maidir le seirbhís idirghabhála nach ndéanann ach custaiméirí a nascadh le tiománaithe tacsaí atá údaraithe cheana féin — gan an tseirbhís iompair féin a eagrú, tiománaithe a roghnú, táillí a shocrú, ná rialú a dhéanamh ar fheithiclí ná ar thiománaithe — tagann sí faoin gcatagóir ‘seirbhísí sochaí faisnéise’.</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Thairis sin, ní féidir reachtaíocht nach ndíríonn go sonrach ar sheirbhísí den sórt sin ach a bhfuil feidhm neamh-idirdhealaitheach aici maidir le gach cineál seolta, lena n-áirítear ar an teileafón nó trí fheidhmchlár, a aicmiú mar ‘riail maidir le seirbhísí’.</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Ar an gcéad dul síos, is léir ón ordú tarchuir, murab ionann agus an tseirbhís idirghabhála atá i gceist sa chás as ar eascair breithiúnas an 20 Nollaig 2017, Asociación Profesional Elite Taxi (C-434/15, EU:C:2017:981), a thairg agus a rinne seirbhísí iompair uirbeacha inrochtana arna n-oibriú ag tiománaithe neamhghairmiúla nach raibh sa mhargadh roimhe sin, go bhfuil an tseirbhís atá i gceist sna príomhimeachtaí teoranta, mar a thug an tAbhcóide Ginearálta faoi deara i mír 49 dá Thuairim, daoine ar mian leo turais uirbeacha a dhéanamh a chur i dteagmháil le tiománaithe tacsaí údaraithe atá ag gabháil don ghníomhaíocht sin cheana féin agus nach bhfuil sa tseirbhís idirghabhála ach ceann amháin de roinnt modhanna chun custaiméirí a fháil, agus ní custaiméir amháin, ina theannta sin, a bhfuil sé d’oibleagáid orthu a úsáid ar bhealach ar bith.</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Ar an dara dul síos, ní féidir a mheas go n-eagraíonn seirbhís idirghabhála den sórt sin oibríocht ghinearálta na seirbhíse iompair uirbigh a sholáthraítear ina dhiaidh sin, ós rud é nach roghnaíonn an soláthraí seirbhíse na tiománaithe tacsaí, ná nach gcinneann sé nó nach bhfaigheann sé an táille le haghaidh an turais, ná nach bhfeidhmíonn sé rialú ar cháilíocht na bhfeithiclí agus a dtiománaithe ná ar iompar na dtiománaithe.</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Dá bhrí sin, ní féidir seirbhís idirghabhála amhail an tseirbhís a sholáthraíonn Star Taxi App a mheas mar chuid lárnach de sheirbhís fhoriomlán ar seirbhís iompair í a príomh-chomhpháirt agus, dá réir sin, tá sí le haicmiú mar ‘sheirbhís sochaí faisnéise’ de réir bhrí Airteagal 2(a) de Threoir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Sa chás seo, is léir ón ordú tarchuir nach ndéantar aon tagairt do sheirbhísí na sochaí faisnéise i reachtaíocht na Rómáine atá i gceist sna príomhimeachtaí, cibé acu Dlí Uimh. 38/2003 nó Cinneadh Uimh. 178/2008 é. Thairis sin, baineann Airteagal 3, Airteagal 21(1) agus (31) agus Airteagal 41(21) d’Iarscríbhinn I a ghabhann le Cinneadh Uimh. 178/2008 go neamh-idirdhealaitheach le gach cineál seirbhíse seolta, bíodh siad á soláthar ar an teileafón nó ar aon mhodh eile, amhail feidhmchlár bogearraí.</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Ina theannta sin, mar a chuir an tAbhcóide Ginearálta in iúl i mír 108 dá Thuairim, ceanglaítear le Dlí Uimh. 38/2003 ar sholáthraithe seirbhísí seolta a oibríonn trí fheidhmchlár fóin chliste, díreach cosúil le gach soláthraí eile seirbhísí seolta, trealamh a shealbhú, sa chás seo raidió dhá threo, nach bhfuil aon chuspóir úsáideach leis, i bhfianaise na teicneolaíochta a úsáidtear chun an tseirbhís a sholáthar.</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Dá réir sin, ós rud é nach bhfuil sé dírithe go sonrach ar sheirbhísí na sochaí faisnéise, ní dhéanann rialacháin amhail iad siúd atá i gceist sna príomhimeachtaí difear do sheirbhísí den sórt sin ach ar bhealach intuigthe nó teagmhasach. Dá bhrí sin, ní féidir riail den sórt sin a mheas mar “riail maidir le seirbhísí” de réir bhrí Airteagal 1(1)(e) de Threoir 2015/1535, nó, dá bhrí sin, mar “rialachán teicniúil” de réir bhrí Airteagal 1(1)(f) den Treoir sin.”</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Breithiúnas an 29 Feabhra 2024</w:t>
        </w:r>
      </w:hyperlink>
      <w:r>
        <w:rPr>
          <w:rFonts w:ascii="Times New Roman" w:hAnsi="Times New Roman" w:cs="Times New Roman" w:eastAsia="Times New Roman"/>
          <w:b/>
          <w:i/>
          <w:szCs w:val="20"/>
        </w:rPr>
        <w:t xml:space="preserve">, Doctipharma SAS, C-606/21, EU:C:2024:179, míreanna 26 go 30 agus 34 go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Ní gá gurb iad na daoine is tairbhithe a íocfaidh luach saothair as seirbhís a sholáthraíonn soláthraí seirbhíse le linn gníomhaíocht eacnamaíoch. Tá feidhm aige sin maidir le seirbhís a sholáthraítear ar shuíomh gréasáin, arb é atá ann cógaiseoirí agus custaiméirí a nascadh chun táirgí íocshláinte a dhíol, i gcás ina bhfaigheann an tseirbhís luach saothair ó chógaiseoirí a shuibscríobh lena ardán ar bhonn táille seasta.</w:t>
      </w:r>
    </w:p>
    <w:p w14:paraId="60E238C1" w14:textId="77777777">
      <w:pPr>
        <w:pStyle w:val="P68B1DB1-BodyText22"/>
      </w:pPr>
    </w:p>
    <w:p w14:paraId="16BCA1E5" w14:textId="5221BD03">
      <w:pPr>
        <w:pStyle w:val="P68B1DB1-BodyText22"/>
      </w:pPr>
      <w:r>
        <w:t xml:space="preserve">Níl seirbhís den sórt sin ina cuid de sheirbhís fhoriomlán a bhfuil a príomhghné faoi réir aicmiú dlíthiúil eile seachas ‘seirbhís na sochaí faisnéise’.</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Sainmhínítear in Airteagal 1(2) de Threoir 98/34 agus in Airteagal 1(1)(b) de Threoir 2015/1535 an coincheap ‘seirbhís na sochaí faisnéise’ mar ‘aon seirbhís a sholáthraítear de ghnáth ar luach saothair, go cianda, trí mheán leictreonach agus ar iarraidh aonair ó fhaighteoir seirbhísí’.</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Sa chás seo, maidir leis an gcéad choinníoll a leagtar amach sna forálacha sin, ba cheart a mheabhrú, de réir cásdlí socair, nach gá do na daoine ar tairbhithe iad luach saothair a íoc as seirbhís arna soláthar ag soláthraí seirbhíse le linn gníomhaíocht eacnamaíoch (féach, chuige sin, breithiúnais an 15 Meán Fómhair 2016, Mc Fadden, C-484/14, EU:C:2016:689, mír 41, agus an 4 Bealtaine 2017, Vanderborght, C-339/15, EU:C:2017:335, mír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Dá bhrí sin, chun seirbhís amhail an tseirbhís atá i gceist sna príomhimeachtaí a aicmiú mar sheirbhís a thagann faoi choincheap ‘seirbhís na sochaí faisnéise’ de réir bhrí Airteagal 1(2) de Threoir 98/34 agus Airteagal 1(1)(b) de Threoir 2015/1535, ní bhaineann sé le hábhar an gcuirtear an tseirbhís sin ar fáil saor in aisce don duine a cheannaíonn an táirge íocshláinte nach bhfuil ar oideas, más rud é go dtugtar conradh lena mbaineann íocaíocht i gcrích idir soláthraí na seirbhíse sin agus gach cógaiseoir a úsáideann an tseirbhís sin.</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Ar an gcaoi chéanna, ní bhaineann sé le hábhar i ndáil leis sin, mar a thug Doctipharma le fios, go bhfuair sé, faoi na téarmaí agus coinníollacha ginearálta díolacháin, luach saothair ó chógaiseoirí a shuibscríobh lena ardán ar bhonn táille seasta nó, mar a thug Rialtas na Fraince le fios, go raibh an tseirbhís arna soláthar ag Doctipharma faoi réir síntiús míosúil a d’íoc cógaiseoirí cliant le Doctipharma agus céatadán de mhéid na ndíolachán a aisghéilleadh, arna asbhaint ag an ardán.</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Dá bhrí sin, faoi réir na bhfíoruithe atá le déanamh ag an gcúirt a rinne an tarchur, ní mór a mheas, in aon chás, gur soláthraíodh an tseirbhís atá i gceist sna príomhimeachtaí ar luach saothair.’</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Ní thugtar an chonclúid sin faoi cheist leis an gcásdlí a bhunaigh an Chúirt i mbreithiúnais an 20 Nollaig 2017, Asociación Profesional Elite Taxi (C-434/15, EU:C:2017:981), an 19 Nollaig 2019, Airbnb Ireland (C-390/18, EU:C:2019:1112), agus an 3 Nollaig 2020, Star Taxi App (C-62/19, EU:C:2020:980).</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Leanann sé ón gcásdlí sin nach mór seirbhís arb é is cuspóir di custaiméirí a nascadh le soláthraithe seirbhíse eile de chineál éagsúil agus a chomhlíonann na coinníollacha go léir a leagtar síos in Airteagal 1(2) de Threoir 98/34 agus in Airteagal 1(1)(b) de Threoir 2015/1535 a aicmiú mar ‘sheirbhís sochaí faisnéise’ i gcás ina bhfuil seirbhís den sórt sin éagsúil ó sheirbhís de chineál difriúil a sholáthraíonn na soláthraithe seirbhíse sin. Mar sin féin, ní mór an cás a bheith difriúil má dhealraíonn sé gur dlúthchuid de sheirbhís fhoriomlán í an tseirbhís sin a nascann díoltóirí le custaiméirí, a bhfuil a príomhghné faoi réir aicmiú dlíthiúil seachas ‘seirbhís na sochaí faisnéise’ (breithiúnas an 3 Nollaig 2020, Star Taxi App, C-62/19, EU:C:2020:980, mír 49 agus an cásdlí dá dtagraítear).</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Mar a chuir an tAbhcóide Ginearálta in iúl i míreanna 28 agus 29 dá Thuairim, ní féidir le seirbhís chun cógaiseoirí agus custaiméirí a nascadh chun críche táirgí íocshláinte nach bhfuil ar oideas a dhíol ó shuíomhanna gréasáin cógaslann a bhfuil síntiús acu leis an tseirbhís sin a bheith ina dlúthchuid de sheirbhís fhoriomlán, nach gcáilíonn a príomhghné mar ‘sheirbhís sochaí faisnéise’.’</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Breithiúnas an 13 Márta 2025</w:t>
        </w:r>
      </w:hyperlink>
      <w:r>
        <w:rPr>
          <w:rFonts w:ascii="Times New Roman" w:hAnsi="Times New Roman" w:cs="Times New Roman" w:eastAsia="Times New Roman"/>
          <w:b/>
          <w:i/>
          <w:szCs w:val="20"/>
        </w:rPr>
        <w:t xml:space="preserve">, Unigames UAB, C</w:t>
        <w:noBreakHyphen/>
        <w:t xml:space="preserve">120/24, EU:C:2025:174, míreanna 38 go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Ní bhaineann an toirmeasc ar chluichí áidh a fhógairt ar shuíomhanna cearrbhachais le seirbhís fógraíochta atá neamhspleách ar an tseirbhís cearrbhachais, ach le seirbhís atá doscartha ón tseirbhís cearrbhachais ar líne. Dá bhrí sin, chun a chinneadh an ionann é agus ‘riail maidir le seirbhísí’, is gá aicmiú seirbhísí cearrbhachais ar líne a mheas ar dtús mar ‘sheirbhísí na sochaí faisnéise’.</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Ní thugtar amhras ar na breithnithe a leagtar amach i míreanna 36 agus 37 den bhreithiúnas seo</w:t>
      </w:r>
      <w:r>
        <w:rPr>
          <w:i w:val="0"/>
        </w:rPr>
        <w:t xml:space="preserve"> [ar dá réir a mheasfar gur ‘seirbhísí na sochaí faisnéise’ iad seirbhísí cearrbhachais ar líne] </w:t>
      </w:r>
      <w:r>
        <w:t xml:space="preserve">toisc nach gá go soláthraítear an fhaisnéis maidir le cearrbhachas a fhoilsíonn an t-oibreoir cearrbhachais ar a shuíomh gréasáin ‘ar iarraidh aonair ó fhaighteoir seirbhísí’. Ní féidir foilsiú na faisnéise sin, in imthosca amhail iad siúd atá i gceist sna príomhimeachtaí, a mheas mar sheirbhís fógraíochta nó seirbhís eile a chuirtear ar fáil d’fhaighteoirí na seirbhísí cianchearrbhachais, ach is gníomhaíocht í atá coimhdeach agus doscartha ó na cianseirbhísí cearrbhachais lena mbaineann óna dtagann a bhrí eacnamaíoch go léir (féach, de réir analaí, breithiúnas an 1 Deireadh Fómhair 2020, A (Fógraíocht agus díol táirgí íocshláinte ar líne), C-649/18, EU:C:2020:764, mír 56). Dá bhrí sin, ní mór do na seirbhísí cearrbhachais iad féin na coinníollacha ábhartha a chomhlíonadh chun teacht faoin gcoincheap ‘seirbhís’, de réir bhrí Airteagal 1(1)(b) de Threoir 2015/1535, agus faoin toirmeasc atá i gceist sna príomhimeachtaí, a bhaineann le foilsiú faisnéise den sórt sin, nach mór dóibh, dá réir sin, na critéir shonracha a leagtar síos in Airteagal 1(1)(e) den Treoir sin a chomhlíonadh chun go measfar gur “riail maidir le” na seirbhísí sin iad, de réir bhrí na forála deiridh sin.</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I ndáil leis sin, cé go bhfuil comhthuiscint ann gurb ionann an toirmeasc atá i gceist sna príomhimeachtaí agus “ceanglas de chineál ginearálta” de réir bhrí Airteagal 1(1)(e) de Threoir 2015/1535, ní mór scrúdú a dhéanamh fós, ar an gcéad dul síos, an féidir é a mheas mar “ghníomhaíochtaí a bhaineann le gníomhaíochtaí seirbhíse a ghlacadh agus a shaothrú”, lena sonraítear gurb amhlaidh atá, go háirithe, maidir le forálacha a bhaineann leis an soláthraí seirbhíse, leis na seirbhísí agus le faighteoir na seirbhísí.</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I ndáil leis sin, ní mór a thabhairt faoi deara go bhféadfadh Airteagal 10(19) den Dlí maidir le Cearrbhachas teacht faoin gcoincheap “riail maidir le seirbhísí”, sa mhéid go leagtar síos leis toirmeasc ar rannpháirtíocht i gcearrbhachas cianda a spreagadh agus, go háirithe, ar fhaisnéis a bhaineann le cearrbhachas a fhoilsiú ar shuíomh gréasáin oibreora cearrbhachais nó ar ghníomhartha a dhéanamh lena spreagtar rannpháirtíocht sa chearrbhachas (féach, chuige sin, breithiúnas an 22 Deireadh Fómhair 2020, Sportingbet agus Internet Opportunity Entertainment, C-275/19, EU:C:2020:856, mír 48 agus an cásdlí dá dtagraítear).</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Ar an dara dul síos, mar is léir ó fhoclaíocht Airteagal 1(1)(e) de Threoir 2015/1535, d’fhonn a bheith aicmithe mar ‘riail maidir le seirbhísí’, ní mór an toirmeasc atá i gceist sna príomhimeachtaí a bheith ‘go sonrach’ dírithe ar sheirbhísí na Sochaí Faisnéise (féach, chuige sin, breithiúnas an 12 Meán Fómhair 2019, VG Media, C-299/17, EU:C:2019:716, mír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I ndáil leis sin, leanann sé ó phointe (i) den dara fomhír d’Airteagal 1(1)(e) de Threoir 2015/1535 nach mór an fíorú go bhfuil riail dírithe go sonrach ar sheirbhísí na Sochaí Faisnéise a chur i gcrích i bhfianaise fhoclaíocht na rialach sin agus na haidhme a shaothraítear léi araon. Thairis sin, faoin bhforáil sin, ní cheanglaítear gurb é “aidhm agus cuspóir sonrach” na rialach go léir atá i gceist seirbhísí na Sochaí Faisnéise a rialáil, ach is leor go saothraíonn sí an aidhm nó an cuspóir sin trí roinnt dá forálacha (féach, chuige sin, breithiúnas an 12 Meán Fómhair 2019, VG Media, C-299/17, EU:C:2019:716, mír 32 agus an cásdlí dá dtagraítear). Ar deireadh, i gcomhréir le pointe (ii) den dara fomhír d’Airteagal 1(1)(e) den Treoir sin, ní mheasfar riail a bheith dírithe go sonrach ar sheirbhísí na Sochaí Faisnéise mura ndéanann sí difear do sheirbhísí den sórt sin ach ar bhealach intuigthe nó teagmhasach.’</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Forálacha Toirmisc</w:t>
      </w:r>
      <w:bookmarkEnd w:id="98"/>
      <w:bookmarkEnd w:id="99"/>
    </w:p>
    <w:p w14:paraId="11A12362" w14:textId="77777777">
      <w:pPr>
        <w:pStyle w:val="BodyText"/>
      </w:pPr>
    </w:p>
    <w:p w14:paraId="6DD7108F" w14:textId="22E84863">
      <w:pPr>
        <w:pStyle w:val="P68B1DB1-BodyText11"/>
        <w:ind w:left="567"/>
        <w:rPr>
          <w:iCs/>
        </w:rPr>
      </w:pPr>
      <w:r>
        <w:t xml:space="preserve">“ciallaíonn ‘rialachán teicniúil’ [...] dlíthe, rialacháin nó forálacha riaracháin na mBallstát, seachas iad siúd dá bhforáiltear in Airteagal 7, lena dtoirmisctear monarú, allmhairiú, margú nó úsáid táirge nó lena dtoirmisctear soláthar nó úsáid seirbhíse nó bunaíochta mar sholáthraí seirbhíse.”</w:t>
      </w:r>
    </w:p>
    <w:p w14:paraId="6EA3335C" w14:textId="77777777">
      <w:pPr>
        <w:pStyle w:val="BodyText"/>
        <w:ind w:left="567"/>
        <w:rPr>
          <w:i/>
          <w:iCs/>
        </w:rPr>
      </w:pPr>
    </w:p>
    <w:p w14:paraId="05F6428B" w14:textId="3C27EE7A">
      <w:pPr>
        <w:pStyle w:val="BodyText"/>
        <w:ind w:left="1440"/>
        <w:jc w:val="right"/>
      </w:pPr>
      <w:r>
        <w:t xml:space="preserve">(an chéad abairt d’Airteagal 1(1)(f) de Threoir (AE)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Breithiúnas an 16 Meán Fómhair 1996</w:t>
        </w:r>
      </w:hyperlink>
      <w:r>
        <w:t xml:space="preserve">, An Coimisiún v An Iodáil, C-279/94, EU:C:1997:396, mír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Is ‘rialachán teicniúil’ infhógartha é an toirmeasc ar aispeist a chur ar an margadh agus a úsáid a bhfuil fógra le tabhairt ina leith toisc go dtoirmisctear leis margú agus úsáid táirge.</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A mhéid a bhaineann le hAirteagal 1(2) de Dhlí Uimh. 257/92, toirmisctear leis an bhforáil sin eastóscadh, allmhairiú, onnmhairiú, margú agus táirgeadh aispeiste, táirgí aispeiste agus táirgí ina bhfuil aispeist tar éis tréimhse bliana tar éis dháta theacht i bhfeidhm an Dlí. Is éard atá i bhforáil den sórt sin, agus toirmeasc á chur ar mhargú agus ar úsáid aispeiste, rialachán teicniúil ar cheart do Rialtas na hIodáile fógra a thabhairt ina leith i gcomhréir leis an gcéad fhomhír d’Airteagal 8(1) den Treoir.”</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Breithiúnas an 21 Aibreán 2005</w:t>
        </w:r>
      </w:hyperlink>
      <w:r>
        <w:t xml:space="preserve">, Lindberg, C-267/03, EU:C:2005:246, míreanna 75 go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Féadfar toirmeasc náisiúnta maidir le cluichí áidh áirithe a aicmiú mar fhoráil toirmisc mura bhfágann sé aon spás le haghaidh aon úsáid is féidir a bhaint go réasúnach as an táirge lena mbaineann seachas táirge imeallach amháin. Ar an taobh eile, ní bhraitheann aicmiú mar thoirmeasc ar éifeacht an toirmisc ar chomhdhéanamh, ar chineál nó ar mhargú na dtáirgí lena mbaineann.</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I ndáil leis sin, tá sé tábhachtach, murab ionann agus an dara catagóir ina bhfuil ceanglais eile de réir bhrí Airteagal 1(3), nach n-áirítear leis an tríú catagóir de rialáil theicniúil a shainmhínítear in Airteagal 1(9) de Threoir 83/189 an coinníoll nach mór don toirmeasc atá i gceist a bheith de chineál a d’fhéadfadh tionchar suntasach a imirt ar chomhdhéanamh nó ar chineál an táirge nó ar a mhargú.</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Chun teacht faoin tríú catagóir sin de rialachán teicniúil a bhaineann le toirmeasc inter alia ar úsáid na mbeart, ní mór raon feidhme a bheith aige a théann i bhfad níos faide ná teorainn a chur le húsáidí áirithe a d’fhéadfaí a bhaint as an táirge atá i gceist agus, dá bhrí sin, níor cheart é a theorannú do shrian a chur ar a úsáid amháin.</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Mar a chuir an tAbhcóide Ginearálta in iúl i mír 70 dá Thuairim, tá sé i gceist go háirithe leis an gcatagóir rialála teicniúla sin bearta náisiúnta a chumhdach lena bhfágtar nach féidir aon úsáid a bhaint as an táirge lena mbaineann go réasúnta seachas ceann imeallach amháin. Is faoin gcúirt náisiúnta atá sé a fháil amach an beart den sórt sin é an toirmeasc a ghabhann leis an bhforáil náisiúnta atá i gceist sna príomhimeachtaí.”</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Breithiúnas an 8 Meán Fómhair 2005</w:t>
        </w:r>
      </w:hyperlink>
      <w:r>
        <w:t xml:space="preserve">, Lidl Italia, C-303/04, EU:C:2005:528, míreanna 12 agus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Is ionann toirmeasc náisiúnta ar mhargú táirgí nach monaraítear as ábhair áirithe agus foráil lena dtoirmisctear monarú agus margú táirgí.</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faoi Airteagal 1(11) de Threoir 98/34, ní mór foráil náisiúnta de chuid Ballstáit lena dtoirmisctear monarú, allmhairiú, margú nó úsáid táirge a mheas mar chatagóir rialála teicniúla (féach Cás C-267/03 Lindberg [2005] ECR I-0000, mír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Sa chás seo, is leor a shonrú gur foráil den chineál sin é Airteagal 19(2) de Dhlí Uimh. 93/2001. Faoin bhforáil sin, is sáruithe a mheallann pionóis riaracháin iad monarú agus margú bachlóg cadáis nach bhfuil na gnéithe a luaitear orthu, eadhon na bachlóga sin nach monaraítear go hiomlán as ábhair in-bhithdhíghrádaithe i gcomhréir le caighdeáin UNI 10785.’</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Breithiúnas an 26 Deireadh Fómhair 2006</w:t>
        </w:r>
      </w:hyperlink>
      <w:r>
        <w:t xml:space="preserve">, an Coimisiún v an Ghréig, C-65/05, EU:C:2006:673, mír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Bearta lena dtoirmisctear suiteáil gach gléas cluiche leictreach nó leictreonach agus úsáid cluichí ríomhaireachta i ngnóthais a sholáthraíonn seirbhísí idirlín chomh maith le hoibriú gnóthas den sórt sin a chur faoi réir ceadúnas speisialta a eisiúint, ní mór iad a mheas mar rialacháin theicniúla.</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ní mór bearta amhail iad siúd dá bhforáiltear in Airteagail 2(1) agus 3 de Dhlí Uimh. 3037/2002, a mhéid a chuireann siad toirmeasc ar gach cluiche leictreach, leictrimheicniúil agus leictreonach, lena n-áirítear gach cluiche ríomhaireachta, a shuiteáil sa Ghréig ar gach áitreabh poiblí agus príobháideach seachas casaíní, agus úsáid cluichí ar ríomhairí i ngnóthais a sholáthraíonn seirbhísí idirlín, agus a chuireann oibriú gnóthas den sórt sin faoi réir údarú speisialta a eisiúint, a mheas mar rialacháin theicniúla de réir bhrí Airteagal 1(11) de Threoir 98/34 (féach, chuige sin, Cás C 267/03</w:t>
        <w:noBreakHyphen/>
        <w:t xml:space="preserve">Lindberg [2005] ECR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Breithiúnas an 19 Iúil 2012</w:t>
        </w:r>
      </w:hyperlink>
      <w:r>
        <w:t xml:space="preserve">, Fortuna agus Eile, C-213/11, C-214/11 agus C-217/11, EU:C:2012:495, míreanna 24 agus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Ní mór beart lena dtoirmisctear úsáid meaisíní cearrbhachais lasmuigh de chasaíne a aicmiú mar ‘rialachán teicniúil’.</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chinn an Chúirt cheana féin nach mór bearta lena gcuirtear toirmeasc ar gach cluiche leictreach, leictrimheicniúil agus leictreonach a úsáid ar gach áitreabh poiblí agus príobháideach seachas casaíní a mheas mar rialacháin theicniúla de réir bhrí Airteagal 1(11) de Threoir 98/34 (Cás C-65/05 An Coimisiún v An Ghréig [2006] ECR I-10341, mír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Dá bhrí sin, ní mór beart, amhail Airteagal 14(1) den Dlí maidir le cluichí áidh, nach gceadaíonn ach cearrbhachas cearrbhachais ar mheaisíní a aicmiú mar “rialachán teicniúil” de réir bhrí Airteagal 1(11) de Threoir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Breithiúnas an 27 Deireadh Fómhair 2016</w:t>
        </w:r>
      </w:hyperlink>
      <w:r>
        <w:t xml:space="preserve">, James Elliott Construction, C-613/14, EU:C:2016:821, mír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Ní forálacha toirmisc iad forálacha náisiúnta lena leagtar síos coinníollacha conarthacha intuigthe maidir le cáilíocht indíolta, oiriúnacht lena n-úsáid, nó cáilíocht ghinearálta táirgí a dhíoltar.</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ní thagann an reachtaíocht atá i gceist sna príomhimeachtaí faoi raon feidhme na rialachán teicniúil dá dtagraítear in Airteagal 1(11) de Threoir 98/34, a mhéid, trí cheanglais chonarthacha intuigthe a lua amháin, nach bhfuil aon toirmeasc inti, de réir bhrí na Treorach sin, ar mhonarú, allmhairiú, margú nó úsáid táirge, ar sholáthar nó ar úsáid seirbhíse, nó ar bhunaíocht mar sholáthraí seirbhíse.”</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Breithiúnas an 28 Bealtaine 2020</w:t>
        </w:r>
      </w:hyperlink>
      <w:r>
        <w:t xml:space="preserve">, ECO-WIND Construction, C-727/17, EU:C:2020:393, míreanna 45 go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Ní hionann reachtaíocht lena bhforchuirtear achar íosta chun tuirbíní gaoithe a shuiteáil agus toirmeasc ar tháirge a mhonarú, a allmhairiú, a mhargú nó a úsáid, ach amháin má tá toirmeasc de facto ar thuirbíní gaoithe a mhargú i gceist léi, rud a fhágann nach féidir tuirbíní gaoithe a úsáid seachas tuirbíní gaoithe imeallacha amháin.</w:t>
      </w:r>
    </w:p>
    <w:p w14:paraId="57350EE4" w14:textId="77777777">
      <w:pPr>
        <w:pStyle w:val="BodyText"/>
        <w:jc w:val="left"/>
      </w:pPr>
    </w:p>
    <w:p w14:paraId="671DACC6" w14:textId="1CB89713">
      <w:pPr>
        <w:pStyle w:val="P68B1DB1-BodyText19"/>
        <w:ind w:left="567"/>
        <w:rPr>
          <w:iCs/>
        </w:rPr>
      </w:pPr>
      <w:r>
        <w:t xml:space="preserve">“45. Glactar leis sa chatagóir sin go bhfuil raon feidhme ag an mbeart atá i gceist a théann thar theorainn ar úsáidí áirithe an táirge atá i gceist agus nach bhfuil sé teoranta do shrian ar a úsáid amháin (breithiúnais an 21 Aibreán 2005, Lindberg, C-267/03, EU:C:2005:246, mír 76, agus an 19 Iúil 2012, Fortuna agus páirtithe eile, C-213/11, C-214/11 agus C-217/11, EU:C:2012:495, mír 31).</w:t>
      </w:r>
    </w:p>
    <w:p w14:paraId="787A0A4F" w14:textId="77777777">
      <w:pPr>
        <w:pStyle w:val="P68B1DB1-BodyText19"/>
        <w:ind w:left="567"/>
        <w:rPr>
          <w:iCs/>
        </w:rPr>
      </w:pPr>
    </w:p>
    <w:p w14:paraId="7CEA657E" w14:textId="35F61E5B">
      <w:pPr>
        <w:pStyle w:val="P68B1DB1-BodyText19"/>
        <w:ind w:left="567"/>
        <w:rPr>
          <w:iCs/>
        </w:rPr>
      </w:pPr>
      <w:r>
        <w:t xml:space="preserve">46. Is é is aidhm don chatagóir sin, go háirithe, bearta náisiúnta a chumhdach lena bhfágtar nach bhféadfaí aon úsáid a bhaint as an táirge lena mbaineann seachas táirge imeallach amháin (breithiúnais an 21 Aibreán 2005, Lindberg, C-267/03, EU:C:2005:246, mír 77, agus an 19 Iúil 2012, Fortuna agus páirtithe eile, C-213/11, C-214/11 agus C-217/11, EU:C:2012:495, mír 32).</w:t>
      </w:r>
    </w:p>
    <w:p w14:paraId="47448916" w14:textId="77777777">
      <w:pPr>
        <w:pStyle w:val="P68B1DB1-BodyText19"/>
        <w:ind w:left="567"/>
        <w:rPr>
          <w:iCs/>
        </w:rPr>
      </w:pPr>
    </w:p>
    <w:p w14:paraId="6508CA59" w14:textId="00D7F268">
      <w:pPr>
        <w:pStyle w:val="P68B1DB1-BodyText19"/>
        <w:ind w:left="567"/>
        <w:rPr>
          <w:iCs/>
        </w:rPr>
      </w:pPr>
      <w:r>
        <w:t xml:space="preserve">47. Sa chás seo, cé go n-áirítear leis an gceanglas go bhfuil suiteáil tuirbín gaoithe faoi réir chomhlíonadh an choinníll maidir le hachar íosta idir an tuirbín gaoithe sin agus foirgnimh a bhfuil feidhm chónaithe acu, arna fhorchur leis an reachtaíocht náisiúnta atá i gceist sna príomhimeachtaí, toirmeasc ar thuirbín gaoithe a shuiteáil ag achar íosta níos lú ná 10 n-oiread airde iomlán na suiteála atá beartaithe ó aon fhoirgneamh a bhfuil feidhm chónaithe aige, ba cheart a thabhairt faoi deara nach gcuirtear toirmeasc leis an reachtaíocht sin, áfach, ar oibreoirí eacnamaíocha leanúint de thuirbíní gaoithe a shuiteáil agus, dá bhrí sin, gineadóirí gaoithe a úsáid agus a mhargú.’</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Rialacháin Theicniúla de Facto</w:t>
      </w:r>
      <w:bookmarkEnd w:id="109"/>
      <w:bookmarkEnd w:id="110"/>
    </w:p>
    <w:p w14:paraId="297F85EC" w14:textId="77777777">
      <w:pPr>
        <w:pStyle w:val="BodyText"/>
      </w:pPr>
    </w:p>
    <w:p w14:paraId="6C908457" w14:textId="3B825828">
      <w:pPr>
        <w:pStyle w:val="P68B1DB1-BodyText11"/>
        <w:ind w:left="567"/>
        <w:rPr>
          <w:i/>
        </w:rPr>
      </w:pPr>
      <w:r>
        <w:t xml:space="preserve">“Áireofar an méid seo a leanas i rialacháin theicniúla de facto: </w:t>
      </w:r>
    </w:p>
    <w:p w14:paraId="277715A6" w14:textId="77777777">
      <w:pPr>
        <w:pStyle w:val="BodyText"/>
        <w:ind w:left="567"/>
        <w:rPr>
          <w:i/>
        </w:rPr>
      </w:pPr>
    </w:p>
    <w:p w14:paraId="28BCD2BD" w14:textId="757EEC79">
      <w:pPr>
        <w:pStyle w:val="P68B1DB1-BodyText11"/>
        <w:numPr>
          <w:ilvl w:val="0"/>
          <w:numId w:val="31"/>
        </w:numPr>
        <w:rPr>
          <w:i/>
        </w:rPr>
      </w:pPr>
      <w:r>
        <w:t xml:space="preserve">dlíthe, rialacháin nó forálacha riaracháin Ballstáit ina dtagraítear do shonraíochtaí teicniúla nó do cheanglais eile nó do rialacha maidir le seirbhísí, nó do chóid ghairmiúla nó cóid chleachtais ina dtagraítear ar a seal do shonraíochtaí teicniúla nó do cheanglais eile nó do rialacha maidir le seirbhísí, a bhfágann a gcomhlíonadh gurb ann do thoimhde chomhréireachta leis na hoibleagáidí a fhorchuirtear leis na dlíthe, na rialacháin nó na forálacha riaracháin thuasluaite; </w:t>
      </w:r>
    </w:p>
    <w:p w14:paraId="32E4257D" w14:textId="77777777">
      <w:pPr>
        <w:pStyle w:val="BodyText"/>
        <w:ind w:left="1287"/>
        <w:rPr>
          <w:i/>
        </w:rPr>
      </w:pPr>
    </w:p>
    <w:p w14:paraId="5E0B6B62" w14:textId="2D5EF06C">
      <w:pPr>
        <w:pStyle w:val="P68B1DB1-BodyText11"/>
        <w:numPr>
          <w:ilvl w:val="0"/>
          <w:numId w:val="31"/>
        </w:numPr>
        <w:rPr>
          <w:i/>
        </w:rPr>
      </w:pPr>
      <w:r>
        <w:t xml:space="preserve">comhaontuithe deonacha dá bhfuil údarás poiblí ina pháirtí conarthach agus lena ndéantar foráil, ar mhaithe leis an leas coiteann, maidir le comhlíonadh sonraíochtaí teicniúla nó ceanglas eile nó rialacha maidir le seirbhísí, seachas sonraíochtaí i leith tairiscintí soláthair phoiblí; </w:t>
      </w:r>
    </w:p>
    <w:p w14:paraId="4BEF10A9" w14:textId="77777777">
      <w:pPr>
        <w:pStyle w:val="BodyText"/>
        <w:rPr>
          <w:i/>
        </w:rPr>
      </w:pPr>
    </w:p>
    <w:p w14:paraId="5C79F6B1" w14:textId="7967F579">
      <w:pPr>
        <w:pStyle w:val="P68B1DB1-BodyText11"/>
        <w:numPr>
          <w:ilvl w:val="0"/>
          <w:numId w:val="31"/>
        </w:numPr>
        <w:rPr>
          <w:i/>
        </w:rPr>
      </w:pPr>
      <w:r>
        <w:t xml:space="preserve">sonraíochtaí teicniúla nó ceanglais eile nó rialacha maidir le seirbhísí atá nasctha le bearta fioscacha nó bearta airgeadais a dhéanann difear do thomhaltas táirgí nó seirbhísí trína spreagadh go gcomhlíonfar na sonraíochtaí teicniúla sin nó na ceanglais eile sin nó na rialacha sin maidir le seirbhísí; ní áirítear sonraíochtaí teicniúla ná ceanglais eile ná rialacha maidir le seirbhísí atá nasctha le córais slándála sóisialta náisiúnta. </w:t>
      </w:r>
    </w:p>
    <w:p w14:paraId="712A28B1" w14:textId="77777777">
      <w:pPr>
        <w:pStyle w:val="BodyText"/>
        <w:rPr>
          <w:i/>
        </w:rPr>
      </w:pPr>
    </w:p>
    <w:p w14:paraId="24545D3F" w14:textId="615DFC82">
      <w:pPr>
        <w:pStyle w:val="P68B1DB1-BodyText11"/>
        <w:ind w:left="567"/>
        <w:rPr>
          <w:i/>
        </w:rPr>
      </w:pPr>
      <w:r>
        <w:t xml:space="preserve">Cuimsítear leis sin rialacháin theicniúla arna bhforchur ag na húdaráis arna n-ainmniú ag na Ballstáit agus atá ar liosta arna tharraingt suas agus arna nuashonrú, i gcás inarb iomchuí, ag an gCoimisiún, faoi chuimsiú an Choiste dá dtagraítear in Airteagal 2.”</w:t>
      </w:r>
    </w:p>
    <w:p w14:paraId="5E87FB40" w14:textId="77777777">
      <w:pPr>
        <w:pStyle w:val="BodyText"/>
        <w:ind w:left="567"/>
        <w:rPr>
          <w:i/>
        </w:rPr>
      </w:pPr>
    </w:p>
    <w:p w14:paraId="5389ED96" w14:textId="0CBC1966">
      <w:pPr>
        <w:pStyle w:val="BodyText"/>
        <w:jc w:val="right"/>
      </w:pPr>
      <w:r>
        <w:t xml:space="preserve">(an dara habairt agus an tríú habairt d’Airteagal 1(1)(f) de Threoir (AE)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Breithiúnas an 20 Márta 1997</w:t>
        </w:r>
      </w:hyperlink>
      <w:r>
        <w:t xml:space="preserve">, Bic Benelux, C-13/96, EU:C:1997:173, míreanna 23 go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Ceanglas marcála atá beartaithe chun an tomhaltóir a chur ar an eolas faoi lorg comhshaoil táirgí áirithe agus atá nasctha le cáin ach is sonraíocht theicniúil é. Ní féidir a mheas go bhfuil sé ‘nasctha le beart fioscach’ amháin agus, dá bhrí sin, ní thagann sé faoin sainmhíniú ar ‘rialacháin theicniúla de facto’.</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ar an gcéad dul síos, is éard atá sa cheanglas marcála atá i gceist sna príomhimeachtaí, de réir an tsainmhínithe a thugtar in Airteagal 1 (5) de Threoir 83/189, rialachán teicniúil de jure sa mhéid is go bhfuil ‘comhlíonadh... éigeantach... i gcás mhargú’ an táirge lena mbaineann agus, de réir an tsainmhínithe a thugtar in Airteagal 1(1), is sonraíocht theicniúil é, ós rud é go sainmhínítear san achtachán ‘saintréithe táirge amhail... na ceanglais is infheidhme maidir leis an táirge a mhéid a bhaineann le... marcáil nó lipéadú’.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Ar an dara dul síos, tá sé beartaithe leis an marcáil atá i gceist an pobal a chur ar an eolas faoi, inter alia, éifeachtaí na dtáirgí ar an gcomhshaol, agus dhearbhaigh Rialtas na Beilge a thábhachtaí atá sé é a chur i gceangal leis an ngné sin de na rialacha lena rialaítear marcáil. Dá bhrí sin, treisítear aidhm na cánach comhshaoil, is é sin an comhshaol a chosaint, leis an marcáil, amhail lipéadú comhshaoil eile, bíodh sé nasctha le cáin chomhshaoil nó ná bíodh, lena meabhraítear do thomhaltóirí éifeachtaí díobhálacha na dtáirgí atá i gceist ar an gcomhshaol.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Ós rud é nach féidir an ceanglas marcála atá i gceist a mheas ar bhealach ar bith mar bheart tionlacain fioscach amháin, ní hionann é, dá bhrí sin, agus ceanglas atá nasctha le beart fioscach chun críocha an tríú fleasc den dara fomhír d’Airteagal 1(9) de Threoir 83/189, arna leasú le Treoir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Breithiúnas an 10 Iúil 2014,</w:t>
        </w:r>
      </w:hyperlink>
      <w:r>
        <w:rPr>
          <w:b/>
          <w:i/>
        </w:rPr>
        <w:t xml:space="preserve"> Ivansson agus Eile</w:t>
      </w:r>
      <w:r>
        <w:rPr>
          <w:sz w:val="25"/>
        </w:rPr>
        <w:t>,</w:t>
      </w:r>
      <w:r>
        <w:rPr>
          <w:b/>
          <w:i/>
        </w:rPr>
        <w:t xml:space="preserve"> C-307/13, EU:C:2014:2058, míreanna 30 agus 31</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Féadfaidh tagairt do rialacha mionsonraithe riaracháin ina bhfuil ‘sonraíochtaí teicniúla’ nó ‘ceanglais eile’ stádas ‘rialacháin theicniúil de facto’ a thabhairt do dhréachtdlí.</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ní mór a mheas, cé nach rialachán teicniúil í </w:t>
      </w:r>
      <w:r>
        <w:rPr>
          <w:i w:val="0"/>
        </w:rPr>
        <w:t xml:space="preserve">an mhír [den dlí náisiúnta]</w:t>
      </w:r>
      <w:r>
        <w:t xml:space="preserve"> sin í féin, go dtagraíonn sí, ina dara fomhír, d’fhorálacha breise a bhaineann le tógáil cearca a chuirfeadh an Bord Talmhaíochta in iúl tráth níos déanaí.</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Le tagairt den sórt sin do rialacha riaracháin níos mionsonraithe, ar choinníoll gur féidir a mheas gurb ionann na rialacha sin agus ‘sonraíochtaí teicniúla’ nó ‘ceanglais eile’, is dócha go mbronnfaí stádas “rialachán teicniúil de facto” ar Mhír 9 de DSF i gcomhréir leis an gcéad fhleasc d’Airteagal 1(11) de Threoir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Breithiúnas an 11 Meitheamh 2015</w:t>
        </w:r>
      </w:hyperlink>
      <w:r>
        <w:t xml:space="preserve">, Berlington Hungary and Others, C-98/14, EU:C:2015:386, míreanna 95 go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Maidir le forálacha náisiúnta lena n-iolraítear faoi chúig an cháin is iníoctha ar mheaisíní sliotán a oibrítear in árais siamsaíochta agus lena dtugtar isteach cáin chomhréireach ar an ngníomhaíocht sin freisin, ní ‘rialacháin theicniúla de facto’ iad, ós rud é gur forálacha fioscacha iad seachas ‘sonraíochtaí teicniúla atá nasctha le riail fhioscach’ de réir bhrí na Treorach.</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Faoin tríú fleasc d’Airteagal 1(11) den Treoir sin, is éard atá sna ‘rialacháin theicniúla de facto’ de réir bhrí na forála sin ‘sonraíochtaí teicniúla nó ceanglais nó rialacha eile maidir le seirbhísí atá nasctha le bearta fioscacha nó airgeadais a dhéanann difear do thomhaltas táirgí nó seirbhísí trí chomhlíonadh na sonraíochtaí teicniúla sin nó ceanglais nó rialacha eile maidir le seirbhísí a spreagadh’.</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Is léir ón bhfoclaíocht sin go gciallaíonn an coincheap ‘rialacháin theicniúla de facto’, ní na bearta cánach iad féin, ach na sonraíochtaí teicniúla nó ceanglais eile a bhaineann leis.</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Dá bhrí sin, ní féidir cur síos a dhéanamh ar reachtaíocht chánach amhail an reachtaíocht atá i gceist sna príomhimeachtaí, nach bhfuil aon sonraíocht theicniúil ná aon cheanglas eile ag gabháil léi a bhfuil sé beartaithe leis comhlíonadh a áirithiú, mar ‘rialachán teicniúil de facto’.</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Breithiúnas an 8 Deireadh Fómhair 2020</w:t>
        </w:r>
      </w:hyperlink>
      <w:r>
        <w:t xml:space="preserve">, Admiral Sportwetten agus Eile, EU:C:2020:812, míreanna 38 agus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Ní féidir reachtaíocht chánach, nach bhfuil aon ‘sonraíocht theicniúil’ ná aon cheanglas eile lena mbeartaítear comhlíonadh a áirithiú ag gabháil léi, a aicmiú mar ‘rialachán teicniúil de facto’. Dá bhrí sin, ní hionann reachtaíocht chánach náisiúnta lena bhforáiltear do chánachas ar oibriú meaisíní gealltóireachta spóirt agus ‘rialachán teicniúil’.</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maidir le rialacháin theicniúla de facto de réir bhrí Airteagal 1(1)(f)(iii) de Threoir 2015/1535, chinn an Chúirt roimhe seo nach féidir cur síos a dhéanamh ar reachtaíocht chánach, nach bhfuil aon sonraíocht theicniúil ná aon cheanglas eile ag gabháil léi a bhfuil sé beartaithe leis comhlíonadh a áirithiú, mar ‘rialachán teicniúil de facto’ (féach, chuige sin, breithiúnas an 11 Meitheamh 2015, Berlington Hungary agus páirtithe eile, C 98/14</w:t>
        <w:noBreakHyphen/>
        <w:t xml:space="preserve">, EU:C:2015:386, mír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Dá bhrí sin, i bhfianaise na mbreithnithe go léir roimhe seo, is é an freagra ar an gcéad cheist nach mór Airteagal 1 de Threoir 2015/1535 a léiriú sa chaoi nach ionann riail chánach náisiúnta lena bhforáiltear do chánachas ar oibriú críochfort gealltóireachta agus ‘rialachán teicniúil’ de réir bhrí an Airteagail sin.’</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Breithiúnas an 22 Nollaig 2022</w:t>
        </w:r>
      </w:hyperlink>
      <w:r>
        <w:rPr>
          <w:rFonts w:ascii="Times New Roman" w:hAnsi="Times New Roman" w:cs="Times New Roman" w:eastAsia="Times New Roman"/>
          <w:b/>
          <w:i/>
          <w:szCs w:val="20"/>
        </w:rPr>
        <w:t xml:space="preserve">, Airbnb Ireland agus Airbnb Payments UK, C</w:t>
        <w:noBreakHyphen/>
        <w:t xml:space="preserve">83/21, EU:C:2022:1018, míreanna 29 agus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Ní féidir reachtaíocht de chineál fioscach, dá réir sin, a aicmiú mar ‘rialachán teicniúil de facto’.</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Ar an tríú dul síos, maidir le Treoir 2015/1535, ba cheart a thabhairt faoi deara go dtagraítear sa Treoir sin do “Chonradh [FAE], agus go háirithe Airteagail 114, 337 agus 43 di”. Dá bhrí sin, ba cheart a thabhairt faoi deara ag an tús go bhfuil feidhm freisin ag an eisiamh a leagtar síos in Airteagal 114(2) CFAE maidir le “forálacha fioscacha” maidir leis an Treoir sin, ar na cúiseanna a leagtar amach i mír 25 den bhreithiúnas seo.</w:t>
      </w:r>
    </w:p>
    <w:p w14:paraId="5619063A" w14:textId="77777777">
      <w:pPr>
        <w:pStyle w:val="P68B1DB1-BodyText19"/>
        <w:ind w:left="567"/>
      </w:pPr>
    </w:p>
    <w:p w14:paraId="43BD732D" w14:textId="6B6E6B11">
      <w:pPr>
        <w:pStyle w:val="P68B1DB1-BodyText19"/>
        <w:ind w:left="567"/>
        <w:rPr>
          <w:iCs/>
        </w:rPr>
      </w:pPr>
      <w:r>
        <w:t xml:space="preserve">30. Thairis sin, deimhnítear go hindíreach le hinneachar Threoir 2015/1535 go n-eisiatar ‘forálacha fioscacha’ óna raon feidhme, ós rud é go dtagraíonn foclaíocht Airteagal 1(1)(f)(iii) den Treoir sin, i measc rialacháin theicniúla de facto, do shonraíochtaí teicniúla nó do cheanglais nó rialacha eile maidir le seirbhísí atá ‘nasctha le bearta fioscacha nó airgeadais’. Dá bhrí sin, ní bearta cánach iarbhír iad, ach bearta a bhaineann le bearta cánach amháin (féach, chuige sin, breithiúnas an 8 Deireadh Fómhair 2020, Admiral Sportwetten agus páirtithe eile, C-711/19, EU:C:2020:812, mír 38); dá bhrí sin, tá an dara ceann lasmuigh de raon feidhme na Treorach sin.’</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Nithe Eisiailte</w:t>
      </w:r>
      <w:bookmarkEnd w:id="117"/>
      <w:bookmarkEnd w:id="118"/>
      <w:bookmarkEnd w:id="119"/>
    </w:p>
    <w:p w14:paraId="1278603B" w14:textId="77777777">
      <w:pPr>
        <w:pStyle w:val="BodyText"/>
        <w:rPr>
          <w:b/>
          <w:bCs/>
        </w:rPr>
      </w:pPr>
    </w:p>
    <w:p w14:paraId="1B32B976" w14:textId="77777777">
      <w:pPr>
        <w:pStyle w:val="P68B1DB1-BodyText11"/>
        <w:ind w:left="567"/>
      </w:pPr>
      <w:r>
        <w:t xml:space="preserve">“2. Ní bheidh feidhm ag an Treoir seo maidir le: </w:t>
      </w:r>
    </w:p>
    <w:p w14:paraId="04019AF2" w14:textId="77777777">
      <w:pPr>
        <w:pStyle w:val="P68B1DB1-BodyText11"/>
        <w:ind w:left="1287" w:firstLine="153"/>
      </w:pPr>
      <w:r>
        <w:t xml:space="preserve">seirbhísí craoltóireachta raidió; </w:t>
      </w:r>
    </w:p>
    <w:p w14:paraId="1EADA741" w14:textId="108B47F0">
      <w:pPr>
        <w:pStyle w:val="P68B1DB1-BodyText11"/>
        <w:ind w:left="1440"/>
      </w:pPr>
      <w:r>
        <w:t xml:space="preserve">(b) seirbhísí craoltóireachta teilifíse a chumhdaítear le pointe (e) d’Airteagal 1(1) de Threoir 2010/13/AE ó Pharlaimint na hEorpa agus ón gComhairle (1). </w:t>
      </w:r>
    </w:p>
    <w:p w14:paraId="7DD31811" w14:textId="77777777">
      <w:pPr>
        <w:pStyle w:val="P68B1DB1-BodyText11"/>
        <w:ind w:left="567"/>
      </w:pPr>
    </w:p>
    <w:p w14:paraId="21C04911" w14:textId="0885ED27">
      <w:pPr>
        <w:pStyle w:val="P68B1DB1-BodyText11"/>
        <w:ind w:left="567"/>
      </w:pPr>
      <w:r>
        <w:t xml:space="preserve">3. Ní bheidh feidhm ag an Treoir seo maidir le rialacha a bhaineann le hábhair a chumhdaítear le reachtaíocht an Aontais i réimse na seirbhísí teileachumarsáide, mar a chumhdaítear le Treoir 2002/21/CE ó Pharlaimint na hEorpa agus ón gComhairle (2). </w:t>
      </w:r>
    </w:p>
    <w:p w14:paraId="14E66827" w14:textId="77777777">
      <w:pPr>
        <w:pStyle w:val="P68B1DB1-BodyText11"/>
        <w:ind w:left="567"/>
      </w:pPr>
    </w:p>
    <w:p w14:paraId="21D3AD3B" w14:textId="663656A4">
      <w:pPr>
        <w:pStyle w:val="P68B1DB1-BodyText11"/>
        <w:ind w:left="567"/>
      </w:pPr>
      <w:r>
        <w:t xml:space="preserve">4. Ní bheidh feidhm ag an Treoir seo maidir le rialacha a bhaineann le hábhair a chumhdaítear le reachtaíocht an Aontais i réimse na seirbhísí airgeadais, mar a liostaítear go neamh-uileghabhálach in Iarscríbhinn II a ghabhann leis an Treoir seo. </w:t>
      </w:r>
    </w:p>
    <w:p w14:paraId="0E58960E" w14:textId="77777777">
      <w:pPr>
        <w:pStyle w:val="P68B1DB1-BodyText11"/>
        <w:ind w:left="567"/>
      </w:pPr>
    </w:p>
    <w:p w14:paraId="66AEA247" w14:textId="77777777">
      <w:pPr>
        <w:pStyle w:val="P68B1DB1-BodyText11"/>
        <w:ind w:left="567"/>
      </w:pPr>
      <w:r>
        <w:t xml:space="preserve">5. Cé is moite d’Airteagal 5(3), ní bheidh feidhm ag an Treoir seo maidir le rialacha arna n-achtú ag margaí rialáilte nó lena n-aghaidh de réir bhrí Threoir 2004/39/CE ó Pharlaimint na hEorpa agus ón gComhairle (3) nó ag margaí nó comhlachtaí eile a dhéanann feidhmeanna imréitigh nó socraíochta do na margaí sin nó le haghaidh na margaí sin.</w:t>
      </w:r>
    </w:p>
    <w:p w14:paraId="5D510CB9" w14:textId="77777777">
      <w:pPr>
        <w:pStyle w:val="P68B1DB1-BodyText11"/>
        <w:ind w:left="567"/>
      </w:pPr>
    </w:p>
    <w:p w14:paraId="70E3F74F" w14:textId="117D7E99">
      <w:pPr>
        <w:pStyle w:val="P68B1DB1-BodyText11"/>
        <w:ind w:left="567"/>
      </w:pPr>
      <w:r>
        <w:t xml:space="preserve">6. Ní bheidh feidhm ag an Treoir seo maidir leis na bearta sin is gá, dar leis na Ballstáit faoi na Conarthaí chun daoine a chosaint, go háirithe oibrithe, nuair a úsáidtear táirgí, ar choinníoll nach ndéanann na bearta sin difear do na táirgí.</w:t>
      </w:r>
    </w:p>
    <w:p w14:paraId="24FE75EA" w14:textId="77777777">
      <w:pPr>
        <w:pStyle w:val="P68B1DB1-BodyText11"/>
        <w:ind w:left="567"/>
      </w:pPr>
    </w:p>
    <w:p w14:paraId="74938EC0" w14:textId="5965F3C9">
      <w:pPr>
        <w:pStyle w:val="BodyText"/>
        <w:ind w:left="1080"/>
        <w:jc w:val="right"/>
      </w:pPr>
      <w:r>
        <w:t xml:space="preserve">(Airteagal 1(2) go (6) de Threoir (AE) 2015/1535)</w:t>
      </w:r>
    </w:p>
    <w:p w14:paraId="2BAD670C" w14:textId="77777777">
      <w:pPr>
        <w:pStyle w:val="BodyText"/>
        <w:rPr>
          <w:i/>
          <w:iCs/>
          <w:sz w:val="20"/>
        </w:rPr>
      </w:pPr>
    </w:p>
    <w:p w14:paraId="0C974BBF" w14:textId="3B58908A">
      <w:pPr>
        <w:pStyle w:val="P68B1DB1-BodyText23"/>
        <w:ind w:left="567"/>
        <w:rPr>
          <w:iCs/>
        </w:rPr>
      </w:pPr>
      <w:r>
        <w:t xml:space="preserve">“ciallaíonn ‘craoltóireacht teilifíse’ nó ‘craoladh teilifíse’ (i.e. seirbhís líneach meán closamhairc) seirbhís meán closamhairc arna soláthar ag soláthraí seirbhíse meán chun breathnú comhuaineach ar chláir ar bhonn sceideal cláir;”</w:t>
      </w:r>
    </w:p>
    <w:p w14:paraId="68D48BC5" w14:textId="77777777">
      <w:pPr>
        <w:pStyle w:val="BodyText"/>
        <w:ind w:left="567"/>
        <w:rPr>
          <w:i/>
          <w:iCs/>
          <w:szCs w:val="24"/>
        </w:rPr>
      </w:pPr>
    </w:p>
    <w:p w14:paraId="1E9F9AD6" w14:textId="648E8643">
      <w:pPr>
        <w:pStyle w:val="BodyText"/>
        <w:ind w:left="1080"/>
        <w:jc w:val="right"/>
      </w:pPr>
      <w:r>
        <w:t xml:space="preserve">(Airteagal 1(1)(e) de Threoir 2010/13/AE)</w:t>
      </w:r>
    </w:p>
    <w:p w14:paraId="13E3D11F" w14:textId="77777777">
      <w:pPr>
        <w:pStyle w:val="BodyText"/>
        <w:ind w:left="1080"/>
        <w:jc w:val="right"/>
      </w:pPr>
    </w:p>
    <w:p w14:paraId="6E0ADBB8" w14:textId="55100584">
      <w:pPr>
        <w:pStyle w:val="P68B1DB1-BodyText11"/>
        <w:jc w:val="center"/>
        <w:rPr>
          <w:i/>
        </w:rPr>
      </w:pPr>
      <w:r>
        <w:t xml:space="preserve">Liosta táscach de na seirbhísí airgeadais a chumhdaítear le hAirteagal 1(4)</w:t>
      </w:r>
    </w:p>
    <w:p w14:paraId="25F72A02" w14:textId="77777777">
      <w:pPr>
        <w:pStyle w:val="BodyText"/>
        <w:jc w:val="center"/>
        <w:rPr>
          <w:i/>
        </w:rPr>
      </w:pPr>
    </w:p>
    <w:p w14:paraId="319C26B1" w14:textId="77777777">
      <w:pPr>
        <w:pStyle w:val="P68B1DB1-BodyText11"/>
        <w:ind w:left="567"/>
        <w:rPr>
          <w:i/>
        </w:rPr>
      </w:pPr>
      <w:r>
        <w:t xml:space="preserve">— Seirbhísí infheistíochta, </w:t>
      </w:r>
    </w:p>
    <w:p w14:paraId="4E853016" w14:textId="77777777">
      <w:pPr>
        <w:pStyle w:val="P68B1DB1-BodyText11"/>
        <w:ind w:left="567"/>
        <w:rPr>
          <w:i/>
        </w:rPr>
      </w:pPr>
      <w:r>
        <w:t xml:space="preserve">— oibríochtaí árachais agus athárachais, </w:t>
      </w:r>
    </w:p>
    <w:p w14:paraId="6692A963" w14:textId="77777777">
      <w:pPr>
        <w:pStyle w:val="P68B1DB1-BodyText11"/>
        <w:ind w:left="567"/>
        <w:rPr>
          <w:i/>
        </w:rPr>
      </w:pPr>
      <w:r>
        <w:t xml:space="preserve">— seirbhísí baincéireachta, </w:t>
      </w:r>
    </w:p>
    <w:p w14:paraId="23791C4C" w14:textId="77777777">
      <w:pPr>
        <w:pStyle w:val="P68B1DB1-BodyText11"/>
        <w:ind w:left="567"/>
        <w:rPr>
          <w:i/>
        </w:rPr>
      </w:pPr>
      <w:r>
        <w:t xml:space="preserve">— oibríochtaí a bhaineann le cistí pinsean, </w:t>
      </w:r>
    </w:p>
    <w:p w14:paraId="783F6792" w14:textId="77777777">
      <w:pPr>
        <w:pStyle w:val="P68B1DB1-BodyText11"/>
        <w:ind w:left="567"/>
        <w:rPr>
          <w:i/>
        </w:rPr>
      </w:pPr>
      <w:r>
        <w:t xml:space="preserve">— seirbhísí a bhaineann le déileáil i dtodhchaíochtaí nó i roghanna. </w:t>
      </w:r>
    </w:p>
    <w:p w14:paraId="2DCD1B55" w14:textId="77777777">
      <w:pPr>
        <w:pStyle w:val="BodyText"/>
        <w:ind w:left="567"/>
        <w:rPr>
          <w:i/>
        </w:rPr>
      </w:pPr>
    </w:p>
    <w:p w14:paraId="337555AF" w14:textId="77777777">
      <w:pPr>
        <w:pStyle w:val="P68B1DB1-BodyText11"/>
        <w:ind w:left="567"/>
        <w:rPr>
          <w:i/>
        </w:rPr>
      </w:pPr>
      <w:r>
        <w:t xml:space="preserve">Áirítear an méid seo a leanas go háirithe ar na seirbhísí sin: </w:t>
      </w:r>
    </w:p>
    <w:p w14:paraId="3764E7FA" w14:textId="7CA8CD82">
      <w:pPr>
        <w:pStyle w:val="P68B1DB1-BodyText11"/>
        <w:ind w:left="567"/>
        <w:rPr>
          <w:i/>
        </w:rPr>
      </w:pPr>
      <w:r>
        <w:t xml:space="preserve">(a) seirbhísí infheistíochta dá dtagraítear san Iarscríbhinn a ghabhann le Treoir 2004/39/CE; seirbhísí de chuid gnóthais chomhinfheistíochta; </w:t>
      </w:r>
    </w:p>
    <w:p w14:paraId="5E0AD7FB" w14:textId="67C20460">
      <w:pPr>
        <w:pStyle w:val="P68B1DB1-BodyText11"/>
        <w:ind w:left="567"/>
        <w:rPr>
          <w:i/>
        </w:rPr>
      </w:pPr>
      <w:r>
        <w:t xml:space="preserve">(b) seirbhísí a chumhdaítear leis na gníomhaíochtaí atá faoi réir an aitheantais fhrithpháirtigh dá dtagraítear in Iarscríbhinn I a ghabhann le Treoir 2013/36/AE ó Pharlaimint na hEorpa agus ón gComhairle (1); </w:t>
      </w:r>
    </w:p>
    <w:p w14:paraId="48C2F22B" w14:textId="3B1B8A48">
      <w:pPr>
        <w:pStyle w:val="P68B1DB1-BodyText11"/>
        <w:ind w:left="567"/>
        <w:rPr>
          <w:i/>
        </w:rPr>
      </w:pPr>
      <w:r>
        <w:t xml:space="preserve">oibríochtaí a chumhdaítear leis na gníomhaíochtaí árachais agus athárachais dá dtagraítear i dTreoir 2009/138/CE ó Pharlaimint na hEorpa agus ón gComhairle (2).</w:t>
      </w:r>
    </w:p>
    <w:p w14:paraId="29E9A8E3" w14:textId="77777777">
      <w:pPr>
        <w:pStyle w:val="BodyText"/>
        <w:ind w:left="720"/>
        <w:rPr>
          <w:i/>
        </w:rPr>
      </w:pPr>
    </w:p>
    <w:p w14:paraId="79D13F1F" w14:textId="142C9AC5">
      <w:pPr>
        <w:pStyle w:val="BodyText"/>
        <w:ind w:left="1080"/>
        <w:jc w:val="right"/>
      </w:pPr>
      <w:r>
        <w:t xml:space="preserve">(Iarscríbhinn II a ghabhann le Treoir (AE) 2015/1535)</w:t>
      </w:r>
    </w:p>
    <w:p w14:paraId="0C95D790" w14:textId="77777777">
      <w:pPr>
        <w:pStyle w:val="BodyText"/>
        <w:ind w:left="567"/>
        <w:rPr>
          <w:i/>
          <w:iCs/>
          <w:szCs w:val="24"/>
        </w:rPr>
      </w:pPr>
    </w:p>
    <w:p w14:paraId="7A47117F" w14:textId="7E196DE2">
      <w:pPr>
        <w:pStyle w:val="P68B1DB1-BodyText23"/>
        <w:ind w:left="567"/>
        <w:rPr>
          <w:iCs/>
        </w:rPr>
      </w:pPr>
      <w:r>
        <w:t xml:space="preserve">“ciallaíonn ‘margadh rialáilte’ córas iltaobhach arna oibriú agus/nó arna bhainistiú ag oibreoir margaidh, a thugann le chéile nó a éascaíonn tabhairt le chéile iliomad leasanna ceannaigh agus díola tríú páirtithe in ionstraimí airgeadais — sa chóras agus i gcomhréir lena rialacha neamhroghnacha — ar bhealach as a n-eascraíonn conradh, i leith na n-ionstraimí airgeadais a ligtear isteach chun a dtrádála faoina rialacha agus/nó faoina chórais, agus atá údaraithe agus a fheidhmíonn go rialta agus i gcomhréir le Teideal III den Treoir seo;”</w:t>
      </w:r>
    </w:p>
    <w:p w14:paraId="326B89D5" w14:textId="77777777">
      <w:pPr>
        <w:pStyle w:val="BodyText"/>
        <w:ind w:left="567"/>
        <w:rPr>
          <w:i/>
          <w:iCs/>
          <w:szCs w:val="24"/>
        </w:rPr>
      </w:pPr>
    </w:p>
    <w:p w14:paraId="2EE59DAD" w14:textId="7FE2F68F">
      <w:pPr>
        <w:pStyle w:val="P68B1DB1-BodyText24"/>
        <w:ind w:left="567"/>
        <w:jc w:val="right"/>
      </w:pPr>
      <w:r>
        <w:t xml:space="preserve">(Airteagal 4(21) de Threoir (AE) 2014/65, </w:t>
      </w:r>
    </w:p>
    <w:p w14:paraId="510D994F" w14:textId="6EE676DC">
      <w:pPr>
        <w:pStyle w:val="P68B1DB1-BodyText24"/>
        <w:ind w:left="567"/>
        <w:jc w:val="right"/>
      </w:pPr>
      <w:r>
        <w:t xml:space="preserve">athmhúnlú Threoir 2004/39/CE)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Breithiúnas an 2 Meitheamh 2005</w:t>
        </w:r>
      </w:hyperlink>
      <w:r>
        <w:rPr>
          <w:rFonts w:ascii="Times New Roman" w:hAnsi="Times New Roman" w:cs="Times New Roman" w:eastAsia="Times New Roman"/>
          <w:b/>
          <w:i/>
          <w:szCs w:val="20"/>
        </w:rPr>
        <w:t xml:space="preserve">, Mediakabel BV, C-89/04, EU:C:2005:348, míreanna 22 agus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Seirbhís craolacháin teilifíse atá ar fáil ar éileamh ón síntiúsóir, arb é atá inti scannáin a gcinneann an soláthraí a minicíocht agus a n-uainiú, is ionann í agus seirbhís ‘neas-físeáin ar éileamh’ a thagann faoin gcoincheap ‘seirbhísí craolacháin teilifíse’. Sainmhínítear an coincheap sin go huathrialach le Treoir 2010/13/AE (Treoir 89/552/CEE roimhe seo), neamhspleách ar an gcoincheap ‘seirbhís na sochaí faisnéise’.</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is cinnte nach féidir raon feidhme an choincheapa ‘craoltóireacht teilifíse’ a thuiscint trí eisiamh ón gcoincheap ‘seirbhís na sochaí faisnéise’. Tagraítear i dTreoir 98/34, in Airteagal 1(2) agus in Iarscríbhinn V araon, do sheirbhísí nach gcumhdaítear leis an gcoincheap ‘seirbhís na sochaí faisnéise’ agus nach seirbhísí craoltóireachta teilifíse iad iontu féin. Is amhlaidh atá, inter alia, i gcás seirbhísí craoltóireachta raidió. Ar an gcaoi chéanna, ní féidir seirbhísí craoltóireachta teilifíse a theorannú do sheirbhísí ‘a sholáthraítear trí shonraí a tharchur gan éileamh aonair ar ghlacadh comhuaineach ag líon neamhtheoranta glacadóirí aonair’, dá dtagraítear i bpointe 3 d’Iarscríbhinn V a ghabhann le Treoir 98/34. Dá leanfaí an léirmhíniú sin, dhéanfaí seirbhísí amhail teilifís atá ar fáil trí shíntiús, a tharchuirtear chuig líon teoranta faighteoirí, a eisiamh ón gcoincheap ‘seirbhís craolacháin teilifíse’, cé go dtagann siad faoin gcoincheap sin, de bhua na gcritéar a leagtar síos in Airteagal 1(a) de Threoir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Ar deireadh, ní raibh sé de rún ag reachtas an Chomhphobail, nuair a glacadh Treoir 98/34 agus Treoir 98/48, Treoir 89/552, a leasaíodh é féin níos lú ná bliain roimhe sin le Treoir 97/36, a leasú. Dá bhrí sin, luaitear in aithris 20 de Threoir 98/48, lenar leasaíodh Treoir 98/34, go bhfuil Treoir 98/48 ‘gan dochar do raon feidhme Threoir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Breithiúnas an 12 Meán Fómhair 2019</w:t>
        </w:r>
      </w:hyperlink>
      <w:r>
        <w:t xml:space="preserve">, VG Media, C-299/17, EU:C:2019:716, mír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Ní eisiatar ‘rialacha teicniúla’ i réimse na maoine intleachtúla ó raon feidhme na Treorach, murab ionann agus na rialacha sin a bhaineann le teileachumarsáid nó seirbhísí airgeadais.</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cé go bhfuil Airteagal 87 g(4) de UrhG mar chuid den reachtaíocht náisiúnta maidir le cóipcheart nó cearta a bhaineann le cóipcheart, ní thugtar an measúnú sin faoi cheist. Ní eisiatar rialacha teicniúla maidir le maoin intleachtúil go sainráite ó raon feidhme Airteagal 1(5) de Threoir 98/34, murab ionann agus na rialacha sin atá ina n-ábhar do reachtaíocht Eorpach i réimse na seirbhísí teileachumarsáide nó na seirbhísí airgeadais. Ina theannta sin, is léir ó bhreithiúnas an 8 Samhain 2007, Schwibbert (C 20/05,</w:t>
        <w:noBreakHyphen/>
        <w:t xml:space="preserve">EU:C:2007:652) go bhféadfadh forálacha na reachtaíochta náisiúnta maidir le maoin intleachtúil a bheith ina “rialachán teicniúil” faoi réir fógra a thabhairt de bhun Airteagal 8(1) den Treoir sin.”</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Oibleagáid maidir le Fógra a thabhairt</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Fógra ag an Dréachtchéim</w:t>
      </w:r>
      <w:bookmarkEnd w:id="123"/>
      <w:bookmarkEnd w:id="124"/>
    </w:p>
    <w:p w14:paraId="27EBED2C" w14:textId="3CCBF668">
      <w:pPr>
        <w:pStyle w:val="BodyText"/>
        <w:rPr>
          <w:b/>
          <w:bCs/>
        </w:rPr>
      </w:pPr>
    </w:p>
    <w:p w14:paraId="58135D0C" w14:textId="021350D1">
      <w:pPr>
        <w:pStyle w:val="P68B1DB1-BodyText11"/>
        <w:ind w:left="567"/>
        <w:rPr>
          <w:iCs/>
        </w:rPr>
      </w:pPr>
      <w:r>
        <w:t xml:space="preserve">“Faoi réir Airteagal 7, cuirfidh na Ballstáit aon dréachtrialachán teicniúil in iúl don Choimisiún láithreach, ach amháin i gcás nach ndéanann sé ach téacs iomlán caighdeáin idirnáisiúnta nó Eorpaigh a thrasuí, agus sa chás sin is leor faisnéis maidir leis an gcaighdeán ábhartha; ligfidh siad don Choimisiún freisin ráiteas a bheith acu ar na forais a fhágann gur gá rialachán teicniúil den sórt sin a achtú, i gcás nach bhfuil na forais sin soiléir cheana féin sa dréacht.”</w:t>
      </w:r>
    </w:p>
    <w:p w14:paraId="79E57C28" w14:textId="77777777">
      <w:pPr>
        <w:pStyle w:val="BodyText"/>
        <w:ind w:left="567"/>
        <w:rPr>
          <w:i/>
          <w:iCs/>
        </w:rPr>
      </w:pPr>
    </w:p>
    <w:p w14:paraId="4348B9F9" w14:textId="1F348A6E">
      <w:pPr>
        <w:pStyle w:val="BodyText"/>
        <w:jc w:val="right"/>
      </w:pPr>
      <w:r>
        <w:t xml:space="preserve">(an chéad abairt d’Airteagal 5(1) de Threoir (AE)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Breithiúnas an 2 Lúnasa 1993</w:t>
        </w:r>
      </w:hyperlink>
      <w:r>
        <w:t xml:space="preserve">, An Coimisiún v An Iodáil, C-139/92, EU:C:1993:346, míreanna 8 agus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Ós rud é nár thug an Iodáil fógra, ag an gcéim dréachta, faoi fhoraithne aireachta maidir le cumhacht uasta a shainiú agus a fhíorú, chomh maith le hinnill a thógáil agus a shuiteáil le haghaidh árthaí pléisiúir, níor chomhlíon sí a hoibleagáidí maidir le fógra a thabhairt faoi dhréachtrialacháin theicniúla.</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Ní shéanann Rialtas na hIodáile nár chuir sé an fhoraithne aireachta atá i gceist in iúl don Choimisiún ag an gcéim dréachta.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Ós rud é go suitear gur sáraíodh Airteagail 8 agus 9 den Treoir, ní mór dearbhú a thabhairt sna téarmaí atá á lorg ag an gCoimisiún gur tharla mainneachtain oibleagáidí a chomhlíonadh.”</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Breithiúnas an 14 Iúil 1994</w:t>
        </w:r>
      </w:hyperlink>
      <w:r>
        <w:t xml:space="preserve">, An Coimisiún v An Ísiltír, C-61/93, EU:C:1994:302, míreanna 6 agus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Trí fhoraitheanta a ghlacadh maidir leis na ceanglais frithsheasmhachta do bhuidéil deochanna boga agus maidir le comhdhéanamh, aicmiú, pacáistiú agus lipéadú lotnaidicídí, gan fógra a thabhairt don Choimisiún ina leith ag an gcéim dréachta, níor chomhlíon an Ísiltír a hoibleagáidí maidir le fógra a thabhairt faoi dhréachtrialacháin theicniúla.</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I litir dar dáta an 17 Samhain 1989, d’admhaigh údaráis na hÍsiltíre go raibh caighdeáin theicniúla a chumhdaítear le Treoir 83/189 i bhforaithne an 16 Eanáir 1989 agus nár thug siad fógra don Choimisiún faoin dréachtleasú. Chuir siad in iúl, áfach, gur seoladh an fhoraithne chuig an gCoimisiún, atá i gceangal le litir an 22 Bealtaine 1989 inar tugadh faisnéis don institiúid sin maidir le príobháidiú na n-údarás meáchain agus tomhais.’</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Ní chonspóidtear gur chóir, i gcomhréir le hAirteagal 8 den treoir, dréacht-fhoraitheanta an 16 Eanáir 1989, an 24 Lúnasa 1988 agus an 21 Deireadh Fómhair 1988 a chur in iúl láithreach don Choimisiún ag céim an dréachtaithe agus nár tugadh an fógra sin.”</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Breithiúnas an 14 Iúil 1994</w:t>
        </w:r>
      </w:hyperlink>
      <w:r>
        <w:t xml:space="preserve">, An Coimisiún v An Ísiltír, C-52/93, EU:C:1994:301, míreanna 6 agus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Tríd an rialachán maidir le caighdeáin cháilíochta le haghaidh bleibeanna bláthanna a leasú gan fógra a thabhairt don Choimisiún ag an gcéim dréachta, níor chomhlíon an Ísiltír a hoibleagáidí maidir le fógra a thabhairt faoi dhréachtrialacháin theicniúla.</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I litir dar dáta an 4 Samhain 1991, d’admhaigh údaráis na hÍsiltíre gur rialachán teicniúil é an rialachán atá i gceist chun críocha Threoir 83/189 agus nár thug siad fógra don Choimisiún faoin dréachtleasú.”</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I gcomhréir le hAirteagal 8 den Treoir sin, ní chuirtear dréachtleasú XIII ar Rialachán PVS in iúl don Choimisiún láithreach agus nár tugadh fógra den sórt sin.”</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Breithiúnas an 8 Meán Fómhair 2005</w:t>
        </w:r>
      </w:hyperlink>
      <w:r>
        <w:t xml:space="preserve">, an Coimisiún v an Phortaingéil, C-500/03, EU:C:2005:515, míreanna 39 go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Leis an Treoir, ceanglaítear ar na Ballstáit fógra a thabhairt don Choimisiún láithreach faoi aon dréachtrialachán teicniúil. Trí rialachán teicniúil a ghlacadh gan fógra a thabhairt don Choimisiún ina leith, níor chomhlíon an Phortaingéil a hoibleagáidí maidir le fógra a thabhairt faoi dhréachtrialacháin theicniúla.</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(Ós rud é gur i bhFraincis agus i bPortaingéilis amháin atá an breithiúnas ar fáil, is aistriúchán é an téacs seo a leanas.)</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Ós rud é go bhfuil an chaingean seo mar gheall ar mhainneachtain oibleagáidí a chomhlíonadh teoranta d’iarratas ar dhearbhú maidir le mainneachtain an nós imeachta foirmiúil um réamhfhógra a chomhlíonadh, is leor a chur in iúl, gan é a bheith riachtanach freagra a thabhairt ar argóintí eile na bpáirtithe, gur chinn an Chúirt cheana féin go gceanglaítear le hAirteagal 8(1) de Threoir 98/34 ar na Ballstáit aon dréachtrialachán teicniúil a chur in iúl láithreach don Choimisiún (féach, go háirithe, chuige sin, maidir le forálacha atá cosúil leo siúd sa Treoir sin, breithiúnais an 2 Lúnasa 1993 i gCás 139/92 an Coimisiún v an Iodáil [4707] ECR</w:t>
        <w:noBreakHyphen/>
        <w:t xml:space="preserve">I 3, mír</w:t>
        <w:noBreakHyphen/>
        <w:t xml:space="preserve">31, agus an 11 Eanáir 1996 i gCás 273/94 An Coimisiún v An Ísiltír [15] ECR I-</w:t>
        <w:noBreakHyphen/>
        <w:t xml:space="preserve">, mír).</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Ós rud é gur rialacháin theicniúla de réir bhrí Threoir 98/34 iad forálacha ábhartha Fhoraithne Uimh. 783/98, mar a luaitear i mír 31 den bhreithiúnas seo, ceanglaíodh ar Phoblacht na Portaingéile fógra a thabhairt dóibh i ndréachtfhoirm de bhun Airteagal 8(1) de Threoir 98/34 (féach, inter alia, maidir le forálacha atá comhchosúil le forálacha Threoir 98/34, breithiúnais an 7 Bealtaine 1998, an Coimisiún v an Bheilg [2643]</w:t>
        <w:noBreakHyphen/>
        <w:t>ECR</w:t>
        <w:noBreakHyphen/>
        <w:t xml:space="preserve">I-13, mír 43, agus an 21 Aibreán 2005 i gCás 267/03 Lindberg </w:t>
        <w:noBreakHyphen/>
        <w:t xml:space="preserve">ECR I-, mír).</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Dá bhrí sin, ní mór a mheas, trí Ordú Uimh. 783/98 a ghlacadh gan fógra a thabhairt don Choimisiún ag an gcéim dréachta, nár chomhlíon Poblacht na Portaingéile a hoibleagáidí faoi Airteagal 8 de Threoir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Breithiúnas an 26 Deireadh Fómhair 2006</w:t>
        </w:r>
      </w:hyperlink>
      <w:r>
        <w:t xml:space="preserve">, an Coimisiún v an Ghréig, C-65/05, EU:C:2006:673, míreanna 60 go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Leis an Treoir, ceanglaítear ar na Ballstáit fógra a thabhairt don Choimisiún láithreach faoi aon dréachtrialachán teicniúil. Ós rud é nár thug an Ghréig fógra den sórt sin sular glacadh rialachán teicniúil, níor chomhlíon sí a hoibleagáidí faoin Treoir seo.</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níl aon rud i Rialachán Uimh. 1367/2006 chun tacú leis an tuairim nach mór an coincheap ‘astaíochtaí isteach sa chomhshaol’ de réir bhrí na chéad abairte d’Airteagal 6(1) den Rialachán sin a theorannú d’astaíochtaí a thagann ó shuiteálacha tionsclaíocha áirithe, amhail monarchana agus stáisiúin chumhachta.</w:t>
      </w:r>
    </w:p>
    <w:p w14:paraId="4BFB9A72" w14:textId="77777777">
      <w:pPr>
        <w:pStyle w:val="P68B1DB1-BodyText25"/>
        <w:ind w:left="510"/>
      </w:pPr>
    </w:p>
    <w:p w14:paraId="0E60EA19" w14:textId="5C6F09B6">
      <w:pPr>
        <w:pStyle w:val="P68B1DB1-BodyText25"/>
        <w:ind w:left="510"/>
      </w:pPr>
      <w:r>
        <w:t xml:space="preserve">61. Ní féidir an srian sin a thuiscint ach oiread ó Choinbhinsiún Aarhus, nach mór a chur san áireamh agus Rialachán Uimh. 1367/2006 á léiriú, ós rud é, mar a fhoráiltear le hAirteagal 1 de, gurb é cuspóir an Rialacháin sin rannchuidiú le cur chun feidhme na n-oibleagáidí a eascraíonn as an gCoinbhinsiún sin, trí rialacha a leagan síos chun forálacha an Choinbhinsiúin sin a chur i bhfeidhm maidir le hinstitiúidí agus comhlachtaí an Aontais.</w:t>
      </w:r>
    </w:p>
    <w:p w14:paraId="37017D07" w14:textId="77777777">
      <w:pPr>
        <w:pStyle w:val="P68B1DB1-BodyText25"/>
        <w:ind w:left="510"/>
      </w:pPr>
    </w:p>
    <w:p w14:paraId="36CD38D8" w14:textId="043FC15A">
      <w:pPr>
        <w:pStyle w:val="P68B1DB1-BodyText25"/>
        <w:ind w:left="510"/>
        <w:rPr>
          <w:iCs/>
        </w:rPr>
      </w:pPr>
      <w:r>
        <w:t xml:space="preserve">62. Os a choinne sin, mar a thug an Chúirt dá haire i mír 72 den bhreithiúnas a tugadh inniu, Bayer CropScience agus Stichting De Bijenstichting (C-442/14), bheadh srian den sórt sin contrártha le foclaíocht shainráite phointe (d) den chéad fhomhír d’Airteagal 4(4) de Choinbhinsiún Aarhus. Luaitear san fhoráil sin nach mór faisnéis maidir le hastaíochtaí atá ábhartha do chosaint an chomhshaoil a nochtadh. Tá faisnéis maidir le hastaíochtaí a thagann ó fhoinsí seachas suiteálacha tionsclaíocha, amhail iad siúd a eascraíonn as úsáid táirgí cosanta plandaí ar phlandaí nó ar ithir, chomh hábhartha céanna maidir le cosaint an chomhshaoil agus atá faisnéis a bhaineann le hastaíochtaí de thionscnamh tionsclaíoch.”</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Fógraí maidir le Rialacháin Theicniúla Nua</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Breithiúnas an 1 Meitheamh 1994</w:t>
        </w:r>
      </w:hyperlink>
      <w:r>
        <w:t xml:space="preserve">, an Coimisiún v an Ghearmáin, C-317/92, EU:C:1994:212, míreanna 25 agus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Cumhdaítear leathnú an ‘rialacháin theicniúil’ atá ann cheana chun táirgí nua a chumhdach leis an oibleagáid fógra a thabhairt, cé go bhfuil fógra tugtha cheana féin don Choimisiún faoin rialachán teicniúil tosaigh a bhfuil a raon feidhme á leathnú.</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Ní féidir seasamh leis an argóint sin. Is éard atá i rialachán na Gearmáine atá i gceist sonraíocht theicniúil nua de réir bhrí Airteagal 1, a luaitear thuas, ós rud é nach féidir ionstraimí leighis steiriúla neamh-in-athúsáidte a mhargú ná a úsáid sa Ghearmáin feasta ach amháin má chomhlíontar oibleagáidí áirithe a raibh a gcur i bhfeidhm teoranta do lipéadú táirgí íocshláinte roimhe sin. Maidir le rialacha a chur i bhfeidhm, maidir le táirgí ar leith, nach ndearna ach difear do tháirgí eile roimhe sin, is rialachán nua é, maidir leis an gcéad cheann, agus ní mór, dá bhrí sin, fógra a thabhairt ina leith i gcomhréir leis an treoir.</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Ní chuirtear an cinneadh sin faoi cheist toisc, mar a d’áitigh Rialtas na Gearmáine, go bhfuil leathnú raon feidhme na rialach bunaithe ar fhoráil chumasúcháin a cuireadh in iúl don Choimisiún roimhe sin. Ní gá fógra a thabhairt faoin mbeart cumasúcháin sin, arna dhéanamh amhlaidh, ar bhonn Airteagal 8 a dúradh ós rud é nach sonraíocht nua é. Tá an staid éagsúil maidir le cur chun feidhme an bhirt sin, arb ionann é agus sonraíocht nua nach mór fógra a thabhairt ina leith.’</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Breithiúnas an 3 Meitheamh 1999</w:t>
        </w:r>
      </w:hyperlink>
      <w:r>
        <w:rPr>
          <w:b/>
          <w:i/>
          <w:sz w:val="22"/>
          <w:szCs w:val="22"/>
        </w:rPr>
        <w:t xml:space="preserve">, Colim NV, C-33/189, EU:C:1999:274, mír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Ní hionann beart náisiúnta lena ndéantar ‘rialacháin theicniúla’ atá ann cheana a atáirgeadh nó a ionadú, ar tugadh fógra ina leith cheana don Choimisiún, gan sonraíochtaí nua a chur isteach, agus ‘dréachtrialachán teicniúil’.</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is é is aidhm do Threoir 83/189 saorghluaiseacht earraí a chosaint, trí fhaireachán coisctheach, atá ar cheann de bhunchlocha an Chomhphobail (Cás C-13/96 Bic Benelux ν Stát na Beilge [1997] ECR I-1753, mír 19). Tá an faireachán sin ceaptha chun deireadh a chur le bacainní ar shaorghluaiseacht earraí a d’fhéadfadh teacht as rialacháin theicniúla atá beartaithe ag na Ballstáit a ghlacadh nó chun na bacainní sin a laghdú. Beart náisiúnta lena n-atáirgtear nó lena n-ionadaítear rialacháin theicniúla atá ann cheana, gan sonraíochtaí nua nó breise a chur leo, a bhfuil fógra cuí tugtha don Choimisiún ina leith má ghlactar iad tar éis theacht i bhfeidhm Threoir 83/189, ní féidir a mheas gur ‘dréacht-rialachán teicniúil’ é de réir bhrí Airteagal 1(6) de Threoir 83/189 nó, dá bhrí sin, go bhfuil sé faoi réir na hoibleagáide fógra a thabhairt.”</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Breithiúnas an 21 Aibreán 2005</w:t>
        </w:r>
      </w:hyperlink>
      <w:r>
        <w:t xml:space="preserve">, Lindberg, C-267/03, EU:C:2005:246, míreanna 82 agus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Ní gá fógra a thabhairt faoi riail nach ndéanann ach rialacha a fógraíodh cheana a atáirgeadh nó a ionadú gan ‘rialacháin theicniúla’ nua a chur isteach.</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ní mór a thabhairt faoi deara ar dtús nach féidir beart náisiúnta lena n-atáirgtear nó lena n-ionadaítear, gan sonraíochtaí nua nó breise, rialacháin theicniúla atá ann cheana, a glacadh tar éis theacht i bhfeidhm Threoir 83/189, a mheas mar ‘dréachtrialachán’ teicniúil de réir bhrí Airteagal 1(9) de Threoir 83/189 nó, dá bhrí sin, faoi réir na hoibleagáide fógra a thabhairt (féach Colim, a luaitear thuas, mír 22). Sa chás seo, ba cheart dáta theacht i bhfeidhm Threoir 83/189 maidir le Ríocht na Sualainne a chur san áireamh.’</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I bhfianaise an mhéid sin roimhe seo, is é an freagra ar an tríú ceist ná go bhféadfaí seirbhís a bhaineann le dearadh táirge a athshainiú sa reachtaíocht náisiúnta, go háirithe an tseirbhís a bhaineann le meaisíní cearrbhachais áirithe a oibriú, mar a rinneadh i ndlí 1996, agus nach mór fógra a thabhairt ina leith faoi Threoir 83/189, mura ndéantar leis an reachtaíocht nua sin ach rialacháin theicniúla atá ann cheana a atáirgeadh nó a ionadú, gan sonraíochtaí nua nó breise a chur isteach, ar rialacháin iad a cuireadh in iúl go cuí don Choimisiún, má ghlactar iad tar éis theacht i bhfeidhm Threoir 83/189 sa Bhallstát lena mbaineann.”</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Breithiúnas an 13 Márta 2025</w:t>
        </w:r>
      </w:hyperlink>
      <w:r>
        <w:rPr>
          <w:rFonts w:ascii="Times New Roman" w:hAnsi="Times New Roman" w:cs="Times New Roman" w:eastAsia="Times New Roman"/>
          <w:b/>
          <w:i/>
          <w:szCs w:val="20"/>
        </w:rPr>
        <w:t xml:space="preserve">, Unigames UAB, C-120/24, EU:C:2025:174, míreanna 57 agus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Ní mór fógra a thabhairt faoi leasú ar dhréachtrialachán teicniúil lena leathnaítear a raon feidhme go substaintiúil. Ní mór leasú lena dtugtar isteach smachtbhannaí le haghaidh iompar nua a mheas mar athbhreithniú substaintiúil ar rialachán teicniúil.</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Is léir ón iarraidh ar réamhrialú go ndearnadh ‘athbhreithniú substaintiúil’ ar an toirmeasc ar rannpháirtíocht sa chearrbhachas a spreagadh le hAirteagal 10(19) den Dlí maidir le cearrbhachas. Go háirithe, sonraíonn an chúirt a rinne an tarchur nach bhféadfaí pionós a ghearradh ar iompar Unigames ar bhonn an dlí atá i bhfeidhm faoi láthair, arb é atá ann faisnéis a fhoilsiú, ar shuíomh gréasáin na cuideachta sin, maidir leis na gníomhaíochtaí cearrbhachais a thairgeann sí, faoin dlí a bhí ann roimhe seo maidir le cearrbhachas. Dá bhrí sin, de réir na cúirte a rinne an tarchur, leathnaíodh raon feidhme an toirmisc sin le hAirteagal 10(19).</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Dá bhrí sin, is léir ón bhfaisnéis a leagtar amach san iarraidh ar réamhrialú gur cuireadh ceanglais nua nó bhreise leis le hAirteagal 10(19) den Dlí maidir le Cearrbhachas, de réir bhrí an chásdlí dá dtagraítear i mír 52 den bhreithiúnas seo, i gcomparáid le hAirteagal 10(19) den Dlí maidir le Cearrbhachas roimhe seo. Dá bhrí sin, faoi réir aon fhíorú atá le déanamh ag an gcúirt a rinne an tarchur, ba cheart fógra a thabhairt faoin gcéad fhomhír d’Airteagal 5(1) de Threoir 2015/1535 maidir leis an leasú ba bhun leis an dlí atá i bhfeidhm faoi láthair.”</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Fógra maidir leis an Téacs Iomlán</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Breithiúnas an 16 Meán Fómhair 1997</w:t>
        </w:r>
      </w:hyperlink>
      <w:r>
        <w:t xml:space="preserve">, C-279/94, An Coimisiún v An Iodáil, EU:C:1997:396, míreanna 38 agus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Ní mór fógra a thabhairt faoi théacs ina bhfuil ‘rialacháin theicniúla’ ina iomláine, lena n-áirítear bearta nach ‘rialacháin theicniúla’ iad, fiú mura bhfuil ach ‘rialacháin theicniúla’ faoi réir na tréimhse neamhghníomhaíochta.</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Maidir leis an oibleagáid atá ar Rialtas na hIodáile téacs iomlán Dhlí Uimh. 257/92 a chur in iúl, lena n-áirítear na forálacha nach rialacháin theicniúla iad, ní mór a thabhairt faoi deara, de réir na habairte deiridh den chéad fhomhír d’Airteagal 8(1) den Treoir, nach mór do na Ballstáit téacs na bhforálacha reachtacha nó rialála lena mbaineann go príomha agus go díreach a chur in iúl don Choimisiún freisin, más gá eolas a bheith acu ar théacs den sórt sin chun impleachtaí an dréachtrialacháin theicniúil a mheas.”</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Mar sin féin, ós rud é go dtugtar fógra don Choimisiún faoi fhorálacha uile Dhlí Uimh. 257/92, ní chuirtear cosc ar Phoblacht na hIodáile na forálacha nach rialacháin theicniúla iad a thabhairt i bhfeidhm láithreach, agus dá bhrí sin gan fanacht le torthaí an nós imeachta scrúdúcháin dá bhforáiltear sa Treoir.’</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Fógra faoi </w:t>
      </w:r>
      <w:bookmarkEnd w:id="139"/>
      <w:r>
        <w:t xml:space="preserve">Fhorálacha Bunúsacha lena mBaineann</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“I gcás inarb iomchuí, agus mura rud é gur seoladh cheana é le teachtaireacht roimh ré, cuirfidh na Ballstáit téacs na bhforálacha bunúsacha reachtacha nó rialúcháin a bhaineann go príomha agus go díreach leis an gCoimisiún go comhuaineach, más gá eolas a bheith acu ar an téacs sin chun impleachtaí an dréachtrialacháin theicniúil a mheas.”</w:t>
      </w:r>
    </w:p>
    <w:p w14:paraId="3C018828" w14:textId="77777777">
      <w:pPr>
        <w:pStyle w:val="BodyText"/>
        <w:ind w:left="1440"/>
        <w:jc w:val="right"/>
        <w:rPr>
          <w:i/>
          <w:iCs/>
        </w:rPr>
      </w:pPr>
    </w:p>
    <w:p w14:paraId="21D14611" w14:textId="15758967">
      <w:pPr>
        <w:pStyle w:val="BodyText"/>
        <w:ind w:left="1440"/>
        <w:jc w:val="right"/>
      </w:pPr>
      <w:r>
        <w:t xml:space="preserve">(an dara habairt d’Airteagal 5(1) de Threoir (AE)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Breithiúnas an 7 Bealtaine 1998</w:t>
        </w:r>
      </w:hyperlink>
      <w:r>
        <w:t xml:space="preserve">, an Coimisiún v an Bheilg, C-145/97, EU:C:1998:212, míreanna 11 agus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Ní mór do na Ballstáit ní hamháin an dréacht-téacs ina bhfuil na “rialacháin theicniúla” a chur in iúl, ach téacs na bhforálacha bunúsacha reachtacha nó rialúcháin a bhaineann go príomha agus go díreach leo a chur in iúl freisin. Is é is cuspóir don oibleagáid sin a chur ar chumas an Choimisiúin an oiread faisnéise agus is féidir a bheith aige agus, ar an gcaoi sin, na cumhachtaí a thugtar dó leis an Treoir a fheidhmiú go héifeachtach.</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Ar an dara dul síos, a mhéid a bhaineann le raon feidhme beacht na hoibleagáide cumarsáid a dhéanamh, foráiltear le pianbhreith dheireanach na chéad fhomhíre d’Airteagal 8(1) den Treoir go bhfuil ar na Ballstáit téacs na mbunfhorálacha reachtacha nó rialála lena mbaineann go príomha agus go díreach a chur in iúl freisin, i gcás ina mbeadh gá le heolas ar an téacs sin chun measúnú a dhéanamh ar impleachtaí an dréachtrialacháin theicniúil.</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Mar a chuir an Chúirt in iúl go soiléir ina breithiúnas i gCás C-279/94, an Coimisiún v an Iodáil[1997] ECR I-4743, mír 40, is é is aidhm don fhoráil sin a chur ar chumas an Choimisiúin an oiread faisnéise agus is féidir a bheith aige maidir le haon dréacht-rialachán teicniúil i ndáil lena hinneachar, lena raon feidhme agus lena comhthéacs ginearálta chun gur féidir na cumhachtaí a thugtar dó leis an Treoir a fheidhmiú ar an mbealach is éifeachtaí is féidir.”</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AthFhógra le</w:t>
      </w:r>
      <w:bookmarkEnd w:id="143"/>
      <w:r>
        <w:t xml:space="preserve"> linn na Tréimhse Neamhghníomhaíochta</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‘Cuirfidh na Ballstáit an dréachtrialachán teicniúil in iúl don Choimisiún arís faoi na coinníollacha a leagtar amach sa chéad fhomhír agus sa dara fomhír den mhír seo má dhéanann siad athruithe ar an dréacht a bhfuil sé d’éifeacht acu a raon feidhme a athrú go suntasach, an tráthchlár a beartaíodh ar dtús don chur chun feidhme a ghiorrú, sonraíochtaí nó ceanglais a chur leis, nó na sonraíochtaí nó na ceanglais sin a dhéanamh níos sriantaí.’</w:t>
      </w:r>
    </w:p>
    <w:p w14:paraId="3E582DDB" w14:textId="77777777">
      <w:pPr>
        <w:pStyle w:val="BodyText"/>
        <w:ind w:left="1440"/>
        <w:jc w:val="right"/>
        <w:rPr>
          <w:i/>
          <w:iCs/>
        </w:rPr>
      </w:pPr>
    </w:p>
    <w:p w14:paraId="57E3F15D" w14:textId="51B7D3EF">
      <w:pPr>
        <w:pStyle w:val="BodyText"/>
        <w:ind w:left="1440"/>
        <w:jc w:val="right"/>
      </w:pPr>
      <w:r>
        <w:t xml:space="preserve">(an tríú habairt d’Airteagal 5(1) de Threoir (AE)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Breithiúnas an 15 Aibreán 2010</w:t>
        </w:r>
      </w:hyperlink>
      <w:r>
        <w:t xml:space="preserve">, Sandström, C-433/05, EU:C:2010:184, míreanna 47 agus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Leasuithe ar dhréacht-rialachán teicniúil ar tugadh fógra ina leith cheana don Choimisiún nach ionann iad ach coinníollacha úsáide an táirge atá i gceist a mhaolú agus athrú suntasach ar gá fógra breise a thabhairt ina leith.</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i bhfianaise chuspóir Threoir 98/34, dá dtagraítear i mír 41 den bhreithiúnas seo, leasuithe a rinneadh ar dhréachtrialachán teicniúil ar tugadh fógra ina leith cheana don Choimisiún de bhun na chéad fhomhíre d’Airteagal 8(1) de Threoir 98/34, nach bhfuil iontu, maidir leis an dréacht ar tugadh fógra ina leith, ach maolú ar choinníollacha úsáide an táirge atá i gceist agus, dá bhrí sin, a laghdaíonn an tionchar a d’fhéadfadh a bheith ag an rialachán teicniúil ar thrádáil, ní athrú suntasach iad ar an dréacht chun críocha an tríú fomhír d’Airteagal 8(1) den Treoir sin. Dá bhrí sin, níl leasuithe den sórt sin faoi réir na hoibleagáide fógra a thabhairt roimh ré.</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Cé go bhfuil ar na Ballstáit, faoi Airteagal 8(3) de Threoir 98/34, téacs cinntitheach rialacháin theicniúil a chur in iúl don Choimisiún gan mhoill, ní dhéanann mainneachtain leasú neamhshuntasach ar rialachán den sórt sin a chur in iúl sula nglacfar é difear d’infheidhmeacht an Rialacháin sin, mura bhfuil aon oibleagáid ann fógra a thabhairt roimh ré.’</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Breithiúnas an 31 Eanáir 2013</w:t>
        </w:r>
      </w:hyperlink>
      <w:r>
        <w:t xml:space="preserve">, Belgische Petroleum Unie agus Eile, C-26/11, EU:C:2013:44, míreanna 56 agus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Ní cheanglaítear leis an treoir fógra a thabhairt an athuair maidir le dréachtreachtaíocht náisiúnta i gcás, tar éis fógra a fháil, inar leasaíodh an dréacht chun barúlacha an Choimisiúin a chur san áireamh agus inar cuireadh an dréacht leasaithe in iúl don Choimisiún ina dhiaidh sin.</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sna himthosca sin, rinne Ríocht na Beilge í féin a theorannú do leasú a dhéanamh ar fhorálacha na dréacht-reachtaíochta i gcomhréir le hiarraidh ón gCoimisiún deireadh a chur le bacainn ar thrádáil, agus dá bhrí sin, de bhua Airteagal 10(1), an fhleasc dheiridh, de Threoir 98/34, níl feidhm ag an oibleagáid fógra a thabhairt don Choimisiún faoin gcéad fhomhír d’Airteagal 8(1) den Treoir sin maidir leis an dréacht-Dlí maidir leis an oibleagáid cumaisc.</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Sna himthosca sin, is é an freagra ar an dara ceist nach mór Airteagal 8 de Threoir 98/34, arna léamh i gcomhar le hAirteagal 10(1), an fhleasc deiridh, den Treoir sin a léirmhíniú sa chaoi nach gceanglaítear fógra a thabhairt faoi dhréachtreachtaíocht náisiúnta lena gcuirtear d’oibleagáid ar chuideachtaí peitriliam a chuireann breoslaí peitril agus/nó díosail ar an margadh freisin céatadáin áirithe bithbhreoslaí a chur ar an margadh, sa bhliain féilire chéanna, i gcás inar leasaíodh an dréacht, tar éis fógra a fháil de bhun na chéad fhomhíre d’Airteagal 8(1), chun barúlacha an Choimisiúin ina leith a chur san áireamh, agus inar cuireadh an dréacht leasaithe in iúl don Choimisiún ina dhiaidh sin.’</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Breithiúnas an 10 Iúil 2014,</w:t>
        </w:r>
      </w:hyperlink>
      <w:r>
        <w:rPr>
          <w:b/>
          <w:i/>
        </w:rPr>
        <w:t xml:space="preserve"> Ivansson agus Eile</w:t>
      </w:r>
      <w:r>
        <w:rPr>
          <w:sz w:val="25"/>
        </w:rPr>
        <w:t>,</w:t>
      </w:r>
      <w:r>
        <w:rPr>
          <w:rFonts w:ascii="Open Sans" w:hAnsi="Open Sans" w:cs="Open Sans" w:eastAsiaTheme="minorHAnsi"/>
          <w:color w:val="000000"/>
          <w:sz w:val="18"/>
          <w:szCs w:val="18"/>
        </w:rPr>
        <w:t xml:space="preserve"> </w:t>
      </w:r>
      <w:r>
        <w:rPr>
          <w:b/>
          <w:i/>
        </w:rPr>
        <w:t xml:space="preserve">C-307/13, EU:C:2014:2058, míreanna 48 go 50</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Ní mór aon athrú suntasach ar an amchlár chun beart náisiúnta a chur chun feidhme, lena n-áirítear giorrú suntasach, a chur in iúl don Choimisiún. Fágann mainneachtain fógra a thabhairt go bhfuil an beart neamh-infheidhme agus neamh-infheidhmithe i gcoinne daoine aonair.</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I ndáil leis sin, ní mór a mheabhrú gur chinn an Chúirt gur locht nós imeachta é mainneachtain an oibleagáid fógra a thabhairt don Choimisiún a chomhlíonadh i nglacadh na rialachán teicniúil lena mbaineann, agus go bhfágann sé nach bhfuil na rialacháin theicniúla sin infheidhme agus, dá bhrí sin, neamh-infheidhmithe i gcoinne daoine aonair (féach, go háirithe, breithiúnas CIA Security International, C-194/94, EU:C:1996:172, mír 54, agus breithiúnas in Schwibbert, C-20/05, EU:C:2007:652, mír 44). Féadfaidh daoine aonair brath ar an neamh-infheidhmeacht sin os comhair na cúirte náisiúnta nach mór di diúltú rialachán teicniúil náisiúnta nár tugadh fógra ina leith a chur i bhfeidhm i gcomhréir le Treoir 98/34 (féach, go háirithe, breithiúnas Schwibbert, EU:C:2007:652, mír 44 agus an cásdlí dá dtagraítear).</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Dá bhrí sin, dá mba rud é go raibh an dáta an 1 Bealtaine 2003 mar dháta theacht i bhfeidhm agus giorrú a thráthchláir cur chun feidhme go dtí an 15 Aibreán 2003 suntasach sa teachtaireacht chuig an gCoimisiún maidir le hAirteagal 9 de DSF, bheadh sé neamh-infheidhmithe i gcoinne na gcosantóirí sna príomhimeachtaí mura ndéanfaí an fhoráil náisiúnta sin a chur in iúl don Choimisiún.</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Dá bhrí sin, is é an freagra ar an dara ceist, i gcás ina mbeadh giorrú an tráthchláir maidir le teacht i bhfeidhm rialacháin theicniúil faoi réir na hoibleagáide chun é a chur in iúl don Choimisiún, mar a leagtar síos sa tríú fomhír d’Airteagal 8(1) de Threoir 98/34, go bhfágfadh mainneachtain cumarsáid den sórt sin a dhéanamh go mbeadh an beart náisiúnta sin neamh-infheidhme, ionas nach bhféadfaí é a fhorfheidhmiú i gcoinne daoine aonair.’</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Eisceachtaí ar an Oibleagáid Fógra a thabhairt</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Gníomh Eorpach a thrasuí</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“Ní bheidh feidhm ag Airteagal 5 ná ag Airteagal 6 maidir leis na dlíthe, na rialacháin agus na forálacha riaracháin sin de chuid na mBallstát ná maidir le comhaontuithe deonacha trína ndéanfaidh na Ballstáit an méid seo a leanas: </w:t>
      </w:r>
    </w:p>
    <w:p w14:paraId="2762B474" w14:textId="77777777">
      <w:pPr>
        <w:pStyle w:val="BodyText"/>
        <w:ind w:left="567"/>
        <w:rPr>
          <w:i/>
        </w:rPr>
      </w:pPr>
    </w:p>
    <w:p w14:paraId="753FC221" w14:textId="4E9C46C0">
      <w:pPr>
        <w:pStyle w:val="P68B1DB1-BodyText11"/>
        <w:ind w:left="1440"/>
        <w:rPr>
          <w:iCs/>
        </w:rPr>
      </w:pPr>
      <w:r>
        <w:t xml:space="preserve">(a) comhlíonfaidh siad gníomhartha ceangailteacha de chuid an Aontais a mbeidh glacadh sonraíochtaí teicniúla nó rialacha maidir le seirbhísí mar thoradh orthu;”</w:t>
      </w:r>
    </w:p>
    <w:p w14:paraId="2A077376" w14:textId="77777777">
      <w:pPr>
        <w:pStyle w:val="BodyText"/>
        <w:ind w:left="567"/>
        <w:rPr>
          <w:i/>
          <w:iCs/>
        </w:rPr>
      </w:pPr>
    </w:p>
    <w:p w14:paraId="7AE538ED" w14:textId="4CFA3BCA">
      <w:pPr>
        <w:pStyle w:val="BodyText"/>
        <w:jc w:val="right"/>
      </w:pPr>
      <w:r>
        <w:t xml:space="preserve">(Airteagal 7(1)(a) de Threoir (AE)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Breithiúnas an 17 Meán Fómhair 1996</w:t>
        </w:r>
      </w:hyperlink>
      <w:r>
        <w:t xml:space="preserve">, An Coimisiún v An Iodáil, C-289/94, EU:C:1996:330, míreanna 43 go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Chun beart náisiúnta a mheas mar bheart trasuite atá díolmhaithe ó fhógra a thabhairt, ní mór nasc díreach le gníomh ceangailteach Comhphobail a bhunú.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Ó thaobh Threoir 91/492 de, tá forálacha i bhfad níos leithne inti maidir le margaíocht a dhéanamh ní hamháin ar mhoilisc dhébhlaoscacha ach ar ghastrapóid mhuirí, túinicigh agus eicínideirmigh freisin. Leagtar síos leis ceanglais nua le haghaidh gach céime de mhoilisc a bhailiú, a láimhseáil, a stóráil, a iompar agus a dháileadh, agus tugtar isteach leis freisin córas clárúcháin agus marcála chun gur féidir tionscnamh gach baisce a shainaithint chun críocha sláinte.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Thairis sin, deimhnítear nach bhfuil nasc díreach idir Treoir 91/492 agus an dá fhoraithne atá i gceist le dearbhú Rialtas na hIodáile gur trasuíodh an Treoir sin i ndlí na hIodáile trí Fhoraithne Reachtach Uimh. 530 an 30 Nollaig 1992, dá dtagraítear thuas, arb é, mar a deir sí féin, an t-aon bheart chun Treoir 91/492 a chur chun feidhme agus ar sheol an Coimisiún tuairim mhionsonraithe ina leith an 27 Eanáir 1993 ag cáineadh na foraithne sin sa mhéid go raibh feidhm aici maidir le tocsain eile nach dtagraítear dó i dTreoir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Ós rud é nach bearta iad lena dtrasuitear Treoir 91/492 chun údar a thabhairt le cur i bhfeidhm Airteagal 10 de Threoir 83/189, níor mhór Foraithne Uimh. 257 an 1 Lúnasa 1990 agus Foraithne an 1 Meán Fómhair 1990 a chur in iúl don Choimisiún de bhun Airteagal 8 den Treoir sin.’</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Breithiúnas an 26 Meán Fómhair 2000</w:t>
        </w:r>
      </w:hyperlink>
      <w:r>
        <w:t xml:space="preserve">, Unilever, C-443/98, EU:C:2000:496, míreanna 28 agus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I gcás ina bhfuil lánrogha leathan ag na Ballstáit maidir le treoir de chuid an Aontais a thrasuí, ní féidir bearta náisiúnta arna nglacadh chuige sin a mheas mar fhorálacha náisiúnta ‘lena gcomhlíontar gníomh ceangailteach Comhphobail’.</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Ar an dara dul síos, áitíonn Rialtas na hIodáile go raibh an Dlí atá faoi chonspóid díolmhaithe ón gceanglas fógra a thabhairt faoi Airteagal 10 de Threoir 83/189 ós rud é gur glacadh é i gcomhréir le Treoir 79/112/CEE ón gComhairle an 18 Nollaig 1978 maidir le comhfhogasú dhlíthe na mBallstát a bhaineann le lipéadú, cur i láthair agus fógraíocht earraí bia lena ndíol leis an tomhaltóir deiridh (IO 1979 L 33, lch. 1). Ceanglaítear le hAirteagal 3(1)(7) den Treoir sin go léireofaí áit tionscnaimh nó bunáitíocht an táirge ar an lipéad i gcásanna ina bhféadfaí tomhaltóirí a chur amú dá bhfágfaí an fhaisnéis sin ar lár maidir le fíorthionscnamh nó bunáitíocht an earra bia.</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Ní féidir glacadh leis an gconspóid sin. Mar a chuir an Coimisiún in iúl, leis an bhforáil sin de Threoir 79/112, arna dréachtú i dtéarmaí ginearálta, tugtar dóthain solúbthachta do na Ballstáit chun teacht ar an gconclúid nach féidir rialacha náisiúnta maidir le lipéadú a bhaineann le tionscnamh amhail na rialacha sin a glacadh sa Dlí a chonspóidtear a mheas mar fhorálacha náisiúnta a chomhlíonann gníomh ceangailteach Comhphobail de réir bhrí na chéad fhleisce d’Airteagal 10(1) de Threoir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Breithiúnas an 22 Eanáir 2000</w:t>
        </w:r>
      </w:hyperlink>
      <w:r>
        <w:t xml:space="preserve">, Canal Satélite Digital, C-390/99, EU:C:2002:34, mír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Níl forálacha náisiúnta lena dtrasuitear bearta ceangailteacha Comhphobail ina bhfuil ‘sonraíochtaí teicniúla’ faoi réir na hoibleagáide fógra a thabhairt, ar choinníoll go bhfuil siad teoranta go docht don trasuí sin.</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Maidir leis an dara cuid den tríú ceist, a bhaineann leis an oibleagáid faoi Airteagal 8 de Threoir 83/189 aon dréachtrialachán teicniúil a chur in iúl don Choimisiún, léirítear le hAirteagal 10 den Treoir sin nach bhfuil feidhm ag Airteagail 8 agus 9 maidir le dlíthe, rialacháin nó forálacha riaracháin na mBallstát, ná maidir le comhaontuithe deonacha arna ndéanamh acu, trína gcomhlíonann na Ballstáit bearta ceangailteacha Comhphobail a bhfuil glacadh sonraíochtaí teicniúla mar thoradh orthu. Mar sin, a mhéid a thrasuíonn an reachtaíocht náisiúnta atá i gceist sna príomhimeachtaí Treoir 95/47, agus sa mhéid sin amháin, ní bheidh aon dualgas fógra a thabhairt faoi Threoir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Breithiúnas an 8 Meán Fómhair 2005</w:t>
        </w:r>
      </w:hyperlink>
      <w:r>
        <w:t xml:space="preserve">, an Coimisiún v an Phortaingéil, C-500/03, EU:C:2005:515, míreanna 34 agus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Ní féidir le forálacha náisiúnta lena gcinntear saintréithe árthaí áineasa leas a bhaint as an díolúine ó fhógra a thabhairt a fhorchoimeádtar le haghaidh trasuímh, i gcás ina bhfágann an treoir a bhfuiltear ag brath uirthi faoi na Ballstáit na coinníollacha a mheasann siad a bheith riachtanach chun an comhshaol, cumraíocht agus sábháilteacht uiscebhealaí a chosaint a shainiú.</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(Agus an breithiúnas ar fáil i bhFraincis agus Portaingéilis amháin, is aistriúchán é an téacs seo a leanas.)</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Tá sé de cheart ag na Ballstáit, dá bhforáiltear in Airteagal 2(2) de Threoir 94/25, a shainiú, ar an leibhéal náisiúnta, na coinníollacha a mheasann siad a bheith riachtanach maidir le loingseoireacht in uiscí áirithe chun an comhshaol agus creatlach na n-uiscebhealaí a chosaint agus chun sábháilteacht sna huiscí sin a áirithiú. Mar sin féin, ní féidir a mheas, in imthosca ar bith, gur glacadh na forálacha sin den reachtaíocht náisiúnta chun críocha gníomh ceangailteach Comhphobail a chomhlíonadh.</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Fágann sé sin nach dtagann an Rialachán maidir le loingseoireacht i murlaigh, lena dtugtar isteach teorainneacha teicniúla d’árthaí áineasa de bhun Airteagal 2(2) de Threoir 94/25, faoi raon feidhme na chéad fhleisce d’Airteagal 10(1) de Threoir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Clásal Coimirce a úsáid</w:t>
      </w:r>
      <w:bookmarkEnd w:id="158"/>
      <w:bookmarkEnd w:id="159"/>
    </w:p>
    <w:p w14:paraId="19EB441C" w14:textId="77777777">
      <w:pPr>
        <w:pStyle w:val="BodyText"/>
        <w:ind w:left="567"/>
      </w:pPr>
    </w:p>
    <w:p w14:paraId="3421D751" w14:textId="45643AD7">
      <w:pPr>
        <w:pStyle w:val="P68B1DB1-BodyText11"/>
        <w:ind w:left="567"/>
        <w:rPr>
          <w:iCs/>
        </w:rPr>
      </w:pPr>
      <w:r>
        <w:t xml:space="preserve">‘Ní bheidh feidhm ag Airteagail 5 agus 6 </w:t>
      </w:r>
      <w:r>
        <w:rPr>
          <w:i w:val="0"/>
        </w:rPr>
        <w:t xml:space="preserve">[maidir leis an oibleagáid fógra a thabhairt agus an tréimhse neamhghníomhaíochta] </w:t>
      </w:r>
      <w:r>
        <w:t xml:space="preserve">maidir leis na dlíthe, na rialacháin agus na forálacha riaracháin sin de chuid na mBallstát nó maidir le comhaontuithe deonacha trína ndéanann na Ballstáit an méid seo a leanas: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bainfidh siad úsáid as clásail choimirce dá bhforáiltear i ngníomhartha ceangailteacha de chuid an Aontais;”</w:t>
      </w:r>
    </w:p>
    <w:p w14:paraId="3AF0BFA4" w14:textId="77777777">
      <w:pPr>
        <w:pStyle w:val="P68B1DB1-BodyText11"/>
        <w:ind w:left="567"/>
        <w:rPr>
          <w:iCs/>
        </w:rPr>
      </w:pPr>
    </w:p>
    <w:p w14:paraId="6099E717" w14:textId="6C5840E7">
      <w:pPr>
        <w:pStyle w:val="BodyText"/>
        <w:jc w:val="right"/>
      </w:pPr>
      <w:r>
        <w:t xml:space="preserve">(Airteagal 7(1)(c) de Threoir (AE) 2015/1535)</w:t>
      </w:r>
    </w:p>
    <w:p w14:paraId="0B43480F" w14:textId="77777777">
      <w:pPr>
        <w:pStyle w:val="BodyText"/>
        <w:jc w:val="right"/>
      </w:pPr>
    </w:p>
    <w:p w14:paraId="2F300DBD" w14:textId="39C2EC6A">
      <w:pPr>
        <w:pStyle w:val="P68B1DB1-BodyText11"/>
        <w:ind w:left="567"/>
        <w:rPr>
          <w:iCs/>
        </w:rPr>
      </w:pPr>
      <w:r>
        <w:t xml:space="preserve">“Beidh sna bearta comhchuibhithe dá dtagraítear thuas, i gcásanna iomchuí, clásal cosanta lena n-údarófar do na Ballstáit, ar cheann amháin nó níos mó de na cúiseanna neamheacnamaíocha dá dtagraítear in Airteagal 36, bearta sealadacha a ghlacadh faoi réir nós imeachta rialaithe de chuid an Aontais.”</w:t>
      </w:r>
    </w:p>
    <w:p w14:paraId="618BDE87" w14:textId="77777777">
      <w:pPr>
        <w:pStyle w:val="BodyText"/>
        <w:jc w:val="right"/>
      </w:pPr>
    </w:p>
    <w:p w14:paraId="4DE4DD33" w14:textId="77777777">
      <w:pPr>
        <w:pStyle w:val="BodyText"/>
        <w:jc w:val="right"/>
      </w:pPr>
      <w:r>
        <w:t xml:space="preserve">(Airteagal 114(10) den Chonradh ar Fheidhmiú an Aontais Eorpaigh)</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Breithiúnas an 8 Meán Fómhair 2005</w:t>
        </w:r>
      </w:hyperlink>
      <w:r>
        <w:t xml:space="preserve">, an Coimisiún v an Phortaingéil, C-500/03, EU:C:2005:515, míreanna 34 agus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Ní féidir le forálacha náisiúnta lena gcruthaítear bearta buana tairbhe a bhaint as an díolúine ó fhógra a thabhairt atá forchoimeádta do chlásail choimirce toisc, de réir sainmhínithe, nach n-áirítear ach bearta sealadacha sna clásail sin.</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(Ós rud é gur i bhFraincis agus i bPortaingéilis amháin atá an breithiúnas ar fáil, is aistriúchán é an téacs seo a leanas.)</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Ós rud é go bhfuil an chaingean seo mar gheall ar mhainneachtain oibleagáidí a chomhlíonadh teoranta d’iarratas ar dhearbhú maidir le mainneachtain an nós imeachta foirmiúil um réamhfhógra a chomhlíonadh, is leor a chur in iúl, gan é a bheith riachtanach freagra a thabhairt ar argóintí eile na bpáirtithe, gur chinn an Chúirt cheana féin go gceanglaítear le hAirteagal 8(1) de Threoir 98/34 ar na Ballstáit aon dréachtrialachán teicniúil a chur in iúl láithreach don Choimisiún (féach, go háirithe, chuige sin, maidir le forálacha atá cosúil leo siúd sa Treoir sin, breithiúnais an 2 Lúnasa 1993 i gCás C-139/92 an Coimisiún v an Iodáil [4707] ECR I-3, mír 31, agus an 11 Eanáir 1996 i gCás C-273/94 An Coimisiún v an Ísiltír [15] ECR I-, mír).</w:t>
      </w:r>
    </w:p>
    <w:p w14:paraId="4A696586" w14:textId="77777777">
      <w:pPr>
        <w:pStyle w:val="BodyText"/>
        <w:ind w:left="567"/>
        <w:rPr>
          <w:i/>
          <w:iCs/>
          <w:sz w:val="20"/>
          <w:szCs w:val="16"/>
        </w:rPr>
      </w:pPr>
    </w:p>
    <w:p w14:paraId="7FC8797C" w14:textId="46BA7B1B">
      <w:pPr>
        <w:pStyle w:val="P68B1DB1-BodyText25"/>
        <w:ind w:left="567"/>
        <w:jc w:val="left"/>
      </w:pPr>
      <w:r>
        <w:t xml:space="preserve">40. Ós rud é gur rialacháin theicniúla de réir bhrí Threoir 98/34 iad forálacha ábhartha Fhoraithne Uimh. 783/98, mar a luaitear i mír 31 den bhreithiúnas seo, ceanglaíodh ar Phoblacht na Portaingéile fógra a thabhairt dóibh i ndréachtfhoirm de bhun Airteagal 8(1) de Threoir 98/34 (féach, inter alia, maidir le forálacha atá comhchosúil le forálacha Threoir 98/34, breithiúnais an 7 Bealtaine 1998 i gCás C-145/97An Coimisiúnv An Bheilg [2643] ECR I-13, mír 43, agus an 21 Aibreán 2005 i gCás C-267/03Lindberg ECR I-, mír).”</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Breithiúnas an 8 Deireadh Fómhair 2020</w:t>
        </w:r>
      </w:hyperlink>
      <w:r>
        <w:t xml:space="preserve">, Union des industries de la protection des plantes, C-514/19, EU:C:2020:803, míreanna 46 agus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(ag tagairt do </w:t>
      </w:r>
      <w:hyperlink r:id="rId93" w:history="1">
        <w:r>
          <w:rPr>
            <w:rStyle w:val="Hyperlink"/>
            <w:rFonts w:ascii="Times New Roman" w:hAnsi="Times New Roman" w:cs="Times New Roman" w:eastAsia="Times New Roman"/>
            <w:b/>
            <w:i/>
            <w:color w:val="0000FF"/>
            <w:szCs w:val="20"/>
          </w:rPr>
          <w:t xml:space="preserve">Thuairim an Abhcóide Ghinearálta Kokott</w:t>
        </w:r>
      </w:hyperlink>
      <w:r>
        <w:rPr>
          <w:rFonts w:ascii="Times New Roman" w:hAnsi="Times New Roman" w:cs="Times New Roman" w:eastAsia="Times New Roman"/>
          <w:b/>
          <w:i/>
          <w:szCs w:val="20"/>
        </w:rPr>
        <w:t xml:space="preserve">, EU:C:2020:422, mír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Clásal cosanta is ea clásal a fhreagraíonn don sainmhíniú in Airteagal 114 den Chonradh ar Fheidhmiú an Aontais Eorpaigh, fiú mura bhfuil sé ainmnithe amhlaidh sa ghníomh lena bhforáiltear dó. Dá bhrí sin, tairbhíonn sé de dhíolúine ón oibleagáid fógra a thabhairt.</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(Breitheamh na Cúirte Breithiúnais)</w:t>
      </w:r>
      <w:r>
        <w:rPr>
          <w:i/>
        </w:rPr>
        <w:t xml:space="preserve"> “46 [...] Ní mór caitheamh le hAirteagal 71(1) den Rialachán sin mar chlásal cosanta, mar a luaigh an tAbhcóide Ginearálta i mír 58 dá Tuairim.</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Dá bhrí sin, deimhnítear an difríocht idir na nósanna imeachta dá bhforáiltear in Airteagal 5 den Treoir sin agus in Airteagal 71 den Rialachán sin faoi seach le hAirteagal 7(1)(c) den Treoir sin, lena bhforáiltear nach mbeidh feidhm ag Airteagail 5 agus 6 den Treoir sin maidir le forálacha na mBallstát lena mbaineann siad úsáid as clásail choimirce dá bhforáiltear i ngníomhartha ceangailteacha de chuid an Aontais.”</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(tuairim an Abhcóide Ghinearálta Kokott)</w:t>
      </w:r>
      <w:r>
        <w:rPr>
          <w:i/>
        </w:rPr>
        <w:t xml:space="preserve"> </w:t>
      </w:r>
      <w:bookmarkStart w:id="163" w:name="point58"/>
      <w:r>
        <w:rPr>
          <w:i/>
        </w:rPr>
        <w:t>‘</w:t>
      </w:r>
      <w:bookmarkEnd w:id="163"/>
      <w:r>
        <w:rPr>
          <w:i/>
        </w:rPr>
        <w:t xml:space="preserve">58.      Cé nach bhfuil ‘clásal coimirce’ i dteideal Airteagal 71 den Rialachán maidir le Cosaint Plandaí, murab ionann agus roinnt forálacha inchomparáide, comhfhreagraíonn a inneachar don sainmhíniú ar chlásail choimirce in Airteagal 114(10) CFAE. Dá bhrí sin, is féidir é a mheas freisin mar chlásal coimirce chun críocha Airteagal 7(1)(c) den Treoir maidir le Fógraí.’</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Breithiúnas an 9 Márta 2023</w:t>
        </w:r>
      </w:hyperlink>
      <w:r>
        <w:rPr>
          <w:rFonts w:ascii="Times New Roman" w:hAnsi="Times New Roman" w:cs="Times New Roman" w:eastAsia="Times New Roman"/>
          <w:b/>
          <w:i/>
          <w:szCs w:val="20"/>
        </w:rPr>
        <w:t xml:space="preserve">, Vapo Atlantic, C</w:t>
        <w:noBreakHyphen/>
        <w:t xml:space="preserve">604/21, EU:C:2023:175, míreanna 55 go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Ní féidir eisceacht a dhéanamh ón gceanglas fógra atá bunaithe ar ‘chlásal coimirce’ ach amháin má tá clásal sa ghníomh comhchuibhithe a agraítear go sainráite a chomhfhreagraíonn don sainmhíniú a leagtar amach in Airteagal 114 den Chonradh ar Fheidhmiú an Aontais Eorpaigh.</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Ba cheart a thabhairt faoi deara nach leagtar síos leis an gcéad dá fhomhír d’Airteagal 4(1) de Threoir 2009/30 ach tréimhse ina ndéanfaidh na Ballstáit an Treoir a thrasuí, is é sin le rá, faoin 31 Nollaig 2010 ar a dhéanaí, trí bhíthin na ndlíthe, na rialachán nó na bhforálacha riaracháin is gá chun na críche sin, agus á iarraidh orthu téacs na bhforálacha sin a chur in iúl láithreach don Choimisiún. Foráiltear leis an tríú fomhír den fhoráil sin, nuair a ghlacfaidh na Ballstáit na forálacha sin, go ndéanfaidh siad tagairt do Threoir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Níl aon rud, áfach, i bhfoclaíocht Airteagal 4(1) de Threoir 2009/30 a thabharfadh le fios go raibh sé beartaithe ag reachtas an Aontais clásal coimirce a thabhairt isteach sa Treoir sin, de réir bhrí Airteagal 114(10) CFAE, a d’fhéadfadh na Ballstáit a úsáid.</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I ndáil leis sin, foráiltear leis an bhforáil dheireanach sin go n-áireofar sna bearta comhchuibhithe, i gcásanna iomchuí, clásal cosanta lena n-údarófar do na Ballstáit, ar cheann amháin nó níos mó de na cúiseanna neamheacnamaíocha dá dtagraítear in Airteagal 36 CFAE, bearta sealadacha a ghlacadh faoi réir nós imeachta rialaithe de chuid an Aontais. Dá bhrí sin, ní mór foráil a dhéanamh go sainráite maidir le clásal cosanta den sórt sin sa bheart comhchuibhithe. Níl na saintréithe sin ag Airteagal 4(1) de Threoir 2009/30 agus, dá bhrí sin, ní féidir leis a bheith ina chlásal coimirce den sórt sin.”</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Leasú i gcomhréir le hIarraidh ón gCoimisiún</w:t>
      </w:r>
      <w:bookmarkEnd w:id="169"/>
      <w:bookmarkEnd w:id="170"/>
    </w:p>
    <w:p w14:paraId="049085CF" w14:textId="77777777">
      <w:pPr>
        <w:pStyle w:val="BodyText"/>
        <w:jc w:val="left"/>
      </w:pPr>
    </w:p>
    <w:p w14:paraId="40F4BBF6" w14:textId="77777777">
      <w:pPr>
        <w:pStyle w:val="P68B1DB1-BodyText11"/>
        <w:ind w:left="567"/>
        <w:rPr>
          <w:iCs/>
        </w:rPr>
      </w:pPr>
      <w:r>
        <w:t xml:space="preserve">‘Ní bheidh feidhm ag Airteagail 5 agus 6 </w:t>
      </w:r>
      <w:r>
        <w:rPr>
          <w:i w:val="0"/>
        </w:rPr>
        <w:t xml:space="preserve">[maidir leis an oibleagáid fógra a thabhairt agus an tréimhse neamhghníomhaíochta] </w:t>
      </w:r>
      <w:r>
        <w:t xml:space="preserve">maidir leis na dlíthe, na rialacháin agus na forálacha riaracháin sin de chuid na mBallstát nó maidir le comhaontuithe deonacha trína ndéanann na Ballstáit an méid seo a leanas: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iad féin a theorannú do leasú a dhéanamh ar rialachán teicniúil de réir bhrí phointe (f) d’Airteagal 1(1), i gcomhréir le hiarraidh ón gCoimisiún, d’fhonn deireadh a chur le bacainn ar thrádáil nó, i gcás rialacha maidir le seirbhísí, ar shaorghluaiseacht seirbhísí nó ar shaoirse bhunaíochta oibreoirí seirbhíse.”</w:t>
      </w:r>
    </w:p>
    <w:p w14:paraId="21F03EA5" w14:textId="77777777">
      <w:pPr>
        <w:pStyle w:val="BodyText"/>
        <w:jc w:val="center"/>
      </w:pPr>
    </w:p>
    <w:p w14:paraId="7883B4B7" w14:textId="369773F7">
      <w:pPr>
        <w:pStyle w:val="BodyText"/>
        <w:jc w:val="right"/>
      </w:pPr>
      <w:r>
        <w:t xml:space="preserve">(Airteagal 7(1)(f) de Threoir (AE)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Breithiúnas an 31 Eanáir 2013</w:t>
        </w:r>
      </w:hyperlink>
      <w:r>
        <w:t xml:space="preserve">, Belgische Petroleum Unie agus Eile, C-26/11, EU:C:2013:44, míreanna 56 agus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Ní cheanglaítear leis an treoir fógra a thabhairt faoi dhréachtreachtaíocht náisiúnta más rud é, tar éis an fhógra tosaigh, gur leasaíodh an dréacht chun barúlacha an Choimisiúin a chur san áireamh agus gur cuireadh an leagan leasaithe in iúl don Choimisiún ina dhiaidh sin.</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sna himthosca sin, rinne Ríocht na Beilge í féin a theorannú do leasú a dhéanamh ar fhorálacha na dréacht-reachtaíochta i gcomhréir le hiarraidh ón gCoimisiún deireadh a chur le bacainn ar thrádáil, agus dá bhrí sin, de bhua Airteagal 10(1), an fhleasc dheiridh, de Threoir 98/34, níl feidhm ag an oibleagáid fógra a thabhairt don Choimisiún faoin gcéad fhomhír d’Airteagal 8(1) den Treoir sin maidir leis an dréacht-Dlí maidir leis an oibleagáid cumaisc.</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Sna himthosca sin, is é an freagra ar an dara ceist nach mór Airteagal 8 de Threoir 98/34, arna léamh i gcomhar le hAirteagal 10(1), an fhleasc deiridh, den Treoir sin a léirmhíniú sa chaoi nach gceanglaítear fógra a thabhairt faoi dhréachtreachtaíocht náisiúnta lena gcuirtear d’oibleagáid ar chuideachtaí peitriliam a chuireann breoslaí peitril agus/nó díosail ar an margadh freisin céatadáin áirithe bithbhreoslaí a chur ar an margadh, sa bhliain féilire chéanna, i gcás inar leasaíodh an dréacht, tar éis fógra a fháil de bhun na chéad fhomhíre d’Airteagal 8(1), chun barúlacha an Choimisiúin ina leith a chur san áireamh, agus inar cuireadh an dréacht leasaithe in iúl don Choimisiún ina dhiaidh sin.’</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Imthosca nach bhfuil Eisceachtaí ann</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Breithiúnas an 11 Eanáir 1996</w:t>
        </w:r>
      </w:hyperlink>
      <w:r>
        <w:t xml:space="preserve">, An Coimisiún v An Ísiltír, C-273/94, EU:C:1996:4, míreanna 14 agus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Ní bhraitheann an oibleagáid fógra a thabhairt ar éifeacht thoimhdithe na rialach ar thrádáil idir na Ballstáit.</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Ní féidir an bonn a bhaint den mheasúnú sin le hargóint Rialtas na hÍsiltíre gurb é éifeacht an ordaithe atá faoi dhíospóid margú margairín a spreagadh agus, dá bhrí sin, go gcomhlíonann sé príomhchuspóir na Treorach deireadh a chur le bacainní ar thrádáil earraí laistigh den Chomhphobal.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Ceanglaítear ar na Ballstáit aon dréachtrialachán teicniúil a chur in iúl don Choimisiún i gcomhréir le hAirteagal 8 den treoir. Ní féidir oibleagáid den sórt sin a bheith faoi réir measúnú aontaobhach ag an mBallstát a dhréachtaigh an rialáil ar na héifeachtaí a d’fhéadfadh a bheith aici ar thrádáil idir na Ballstáit.”</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Breithiúnas an 16 Meitheamh 1998</w:t>
        </w:r>
      </w:hyperlink>
      <w:r>
        <w:t xml:space="preserve">, Lemmens, C-226/97, EU:C:1998:296, míreanna 18 go 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Tá feidhm ag an Treoir maidir le ‘rialacháin theicniúla’ gan beann ar an gcúis atá lena nglacadh. Cé go gcumhdaítear an dlí coiriúil le beart, ní dhíolmhaítear é ón oibleagáid fógra a thabhairt. Dá bhrí sin, is rialachán teicniúil iad na forálacha náisiúnta lena rialaítear gaireas anailíse riospráide a úsáideann na póilíní chun alcól a thomhas agus ba cheart fógra a bheith tugtha don Choimisiún ina leith sula nglacfar é.</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Áitíonn Rialtas na Fraince, óna thaobh féin de, nach bhfuil feidhm ag an Treoir maidir le táirgí, cosúil leo siúd sa chás seo, atá beartaithe lena n-úsáid i ndáil le feidhmiú údaráis phoiblí agus a fortiori in imeachtaí coiriúla arna dtionscnamh ag na Ballstáit.</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Ní féidir glacadh leis na hargóintí sin. Cé gur ábhair iad reachtaíocht choiriúil agus rialacha nós imeachta choiriúil a bhfuil na Ballstáit freagrach astu i bprionsabal, ní leanann sé nach féidir le dlí an Chomhphobail difear a dhéanamh don bhrainse sin den dlí (féach, chuige sin, Cás 186/87 Cowan [1989] ECR 195, mír19, agus Cás 203/80 Casati [1981] ECR 2595, mír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Sa chás sin, níl aon ní sa Treoir a thugann le fios go n-eisiatar rialacháin theicniúla de réir bhrí Airteagal 1 den Treoir ón gceanglas fógra a thabhairt toisc go dtagann siad faoi raon feidhme an dlí choiriúil, nó go bhfuil raon feidhme na Treorach teoranta do tháirgí atá beartaithe lena n-úsáid seachas i ndáil le feidhmiú údaráis phoiblí. Mar a luaigh an Chúirt cheana féin i gCás C-13/96 Bic Benelux [1997] ECR I-1753, mír 19, tá feidhm ag treoir maidir le rialacháin theicniúla beag beann ar na forais ar ar glacadh iad.”</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Breithiúnas an 21 Aibreán 2005</w:t>
        </w:r>
      </w:hyperlink>
      <w:r>
        <w:t xml:space="preserve">, Lindberg, C-267/03, EU:C:2005:246, míreanna 86, 91 agus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Ní critéir ábhartha iad luach an táirge lena mbaineann riail, méid a mhargaidh agus éifeacht na rialach sin ar thrádáil laistigh den Chomhphobal chun a chinneadh an gá fógra a thabhairt faoi ‘rialachán teicniúil’.</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Lena ceathrú ceist, iarrann an chúirt a rinne an tarchur tuairimí na Cúirte maidir leis an tábhacht a bhaineann leis an oibleagáid fógra a thabhairt a leagtar síos le Treoir 83/189 maidir leis na tosca seo a leanas:</w:t>
      </w:r>
    </w:p>
    <w:p w14:paraId="767A8711" w14:textId="77777777">
      <w:pPr>
        <w:pStyle w:val="P68B1DB1-P68B1DB1-ListParagraph226"/>
        <w:tabs>
          <w:tab w:val="left" w:pos="396"/>
          <w:tab w:val="left" w:pos="425"/>
        </w:tabs>
        <w:ind w:left="709"/>
      </w:pPr>
      <w:r>
        <w:t xml:space="preserve">— Toirmeasc sa dlí náisiúnta a chur in ionad ceanglas ceadúnais,</w:t>
      </w:r>
    </w:p>
    <w:p w14:paraId="559C82EC" w14:textId="77777777">
      <w:pPr>
        <w:pStyle w:val="P68B1DB1-P68B1DB1-ListParagraph226"/>
        <w:tabs>
          <w:tab w:val="left" w:pos="396"/>
          <w:tab w:val="left" w:pos="425"/>
        </w:tabs>
        <w:ind w:left="709"/>
      </w:pPr>
      <w:r>
        <w:t xml:space="preserve">— Luach níos mó nó níos lú an táirge/na seirbhíse,</w:t>
      </w:r>
    </w:p>
    <w:p w14:paraId="7057795D" w14:textId="77777777">
      <w:pPr>
        <w:pStyle w:val="P68B1DB1-P68B1DB1-ListParagraph226"/>
        <w:tabs>
          <w:tab w:val="left" w:pos="396"/>
          <w:tab w:val="left" w:pos="425"/>
        </w:tabs>
        <w:ind w:left="709"/>
      </w:pPr>
      <w:r>
        <w:t xml:space="preserve">— Méid an mhargaidh don táirge/seirbhís nó</w:t>
      </w:r>
    </w:p>
    <w:p w14:paraId="7E4DCD6F" w14:textId="27AB1FF7">
      <w:pPr>
        <w:pStyle w:val="P68B1DB1-P68B1DB1-ListParagraph226"/>
        <w:tabs>
          <w:tab w:val="left" w:pos="396"/>
          <w:tab w:val="left" w:pos="425"/>
        </w:tabs>
        <w:ind w:left="709"/>
      </w:pPr>
      <w:r>
        <w:t xml:space="preserve">— An éifeacht a bheadh ag foráil nua náisiúnta maidir le húsáid, a d’fhéadfadh a bheith ina toirmeasc iomlán ar úsáid nó ina thoirmeasc nó ina shrian laistigh de cheann amháin de roinnt réimsí féideartha úsáide?”</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Maidir leis an dara agus an tríú toisc a luaitear sa cheathrú ceist a tharchuirtear le haghaidh réamhrialú, ní mór a thabhairt faoi deara, mar a cuireadh in iúl i mír 50 den bhreithiúnas seo, go leagtar síos le Treoir 83/189 nós imeachta um fhaireachán coisctheach chun a fháil amach an dtagann caighdeán náisiúnta ina bhfuil rialachán teicniúil faoi fhorálacha an Chonartha maidir le saorghluaiseacht earraí agus, más amhlaidh atá, chun scrúdú a dhéanamh an bhfuil caighdeán den sórt sin ag luí leis na forálacha sin.</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Maidir leis an bpointe sin, measadh i mír 51 den bhreithiúnas seo nach ionann na héifeachtaí a d’fhéadfadh a bheith ag an rialachán teicniúil ar thrádáil laistigh den Chomhphobal agus critéar chun raon feidhme Threoir 83/189 a shainiú, go háirithe maidir leis an oibleagáid fógra a thabhairt dá bhforáiltear ann.”</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Neamhfheidhmeacht</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Neamh-infheidhmeacht i gCás na Neamhfhógraíochta</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Breithiúnas an 30 Aibreán 1996</w:t>
        </w:r>
      </w:hyperlink>
      <w:r>
        <w:t xml:space="preserve">, CIA Security International SA, C-194/94, EU:C:1996:172, míreanna 48 agus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Fágann sárú ar an oibleagáid fógra a thabhairt nach bhfuil na ‘rialacháin theicniúla’ lena mbaineann infheidhme, ionas nach féidir iad a fhorfheidhmiú i gcoinne daoine aonair. Féadfaidh daoine aonair brath ar Airteagail 8 agus 9 de Threoir 83/189 os comhair cúirt náisiúnta nach mór di diúltú ‘rialachán teicniúil’ náisiúnta a chur i bhfeidhm nár tugadh fógra ina leith i gcomhréir leis an Treoir sin.</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Chun go n-eascróidh iarmhairt den sórt sin as sárú ar na hoibleagáidí a leagtar síos le Treoir 83/189, ní cheanglaítear foráil shainráite chuige sin. Mar a cuireadh in iúl thuas, níl aon amhras ann gurb é is aidhm don treoir saorghluaiseacht earraí a chosaint trí rialú coisctheach agus go bhfuil an oibleagáid fógra a thabhairt bunriachtanach chun rialú Comhphobail den sórt sin a bhaint amach. Is é a bheidh i gceist le héifeachtacht rialú an Chomhphobail ná i bhfad níos mó má léirmhínítear an treoir sa chaoi gurb ionann sárú ar an oibleagáid fógra a thabhairt agus locht substaintiúil nós imeachta a d’fhágfadh go mbeadh na rialacháin theicniúla atá i gceist neamh-infheidhme maidir le daoine aonair.”</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Is é an freagra ar an gcúigiú agus ar an séú ceist, dá bhrí sin, nach mór Airteagail 8 agus 9 de Threoir 83/189 a léiriú sa chaoi go bhféadfaidh daoine aonair brath orthu os comhair na cúirte náisiúnta nach mór di diúltú rialachán teicniúil náisiúnta nár tugadh fógra ina leith a chur i bhfeidhm i gcomhréir leis an Treoir.’</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Breithiúnas an 16 Meitheamh 1998</w:t>
        </w:r>
      </w:hyperlink>
      <w:r>
        <w:t xml:space="preserve">, Lemmens, C-226/97, EU:C:1998:296, míreanna 34 go 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Mura gcomhlíontar an oibleagáid maidir le fógra a thabhairt faoi rialachán teicniúil a bhaineann le gaireas anailíse anála, níl sé d’éifeacht aige sin go mbeadh sé neamh-infheidhmithe i gcoinne duine aonair a bhfuil sé de chúram air an fhianaise a fhaightear trí ghaireas anailíse anála atá údaraithe i gcomhréir le rialacha nár tugadh fógra ina leith a chur faoi thiomáint faoi thionchar an óil.</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In imeachtaí coiriúla amhail iad siúd sa phríomhghníomhaíocht, is iad na rialacháin a chuirtear i bhfeidhm maidir leis an gcúisí na rialacháin sin lena dtoirmisctear agus lena ngearrtar pionós, ar thaobh amháin, ar thiomáint faoi thionchar alcóil agus, ar an taobh eile, lena gceanglaítear ar thiománaí a anáil a easanálú isteach i ngaireas atá ceaptha an t-ábhar alcóil a thomhas, toradh na tástála sin ar fianaise í in imeachtaí coiriúla. Tá na rialacháin sin éagsúil leis na rialacháin sin, nár tugadh fógra ina leith don Choimisiún i gcomhréir leis an Treoir, atá neamh-infheidhmithe i gcoinne daoine aonair.</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Cé go bhfágann mainneachtain fógra a thabhairt faoi rialacháin theicniúla, arb ionann é agus locht nós imeachta ina n-uchtú, nach bhfuil feidhm ag na rialacháin sin a mhéid a chuireann siad bac ar úsáid nó ar mhargú táirge nach bhfuil i gcomhréir leo, ní bhíonn sé d’éifeacht aige aon úsáid táirge atá i gcomhréir le rialacháin nár tugadh fógra ina leith a dhéanamh neamhdhleathach.</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Ní dócha go gcruthóidh úsáid an táirge ag na húdaráis phoiblí, i gcás den sórt sin, constaic ar thrádáil a d’fhéadfaí a sheachaint dá leanfaí an nós imeachta um fhógra a thabhairt.</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Dá bhrí sin, is é an freagra ar an gcéad cheist ná go bhfuil an Treoir le léiriú sa chaoi nach bhfuil sé d’éifeacht ag sárú ar an oibleagáid a fhorchuirtear le hAirteagal 8 di fógra a thabhairt faoi rialachán teicniúil maidir le gaireas anailíse anála go bhfuil sé dodhéanta fianaise a fhaightear trí fhearas den sórt sin, arna n-údarú i gcomhréir le rialacháin nár tugadh fógra ina leith, a agairt i gcoinne duine aonair a bhfuil sé de chúram air tiomáint agus é faoi thionchar alcóil.’</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Breithiúnas an 6 Meitheamh 2002</w:t>
        </w:r>
      </w:hyperlink>
      <w:r>
        <w:t xml:space="preserve">, Sapod Audic, C-159/00, EU:C:2002:343, míreanna 52 agus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Is faoin gcúirt náisiúnta atá sé diúltú forálacha a chur i bhfeidhm nach bhfuil infheidhme mar gheall ar mhainneachtain fógra a thabhairt. Rialaítear iarmhairtí na neamh-infheidhmeachta sin leis an dlí náisiúnta, ar choinníoll nach bhfuil sé chomh fabhrach céanna le gníomhaíochtaí intíre comhchosúla agus nach bhfágann sé nach féidir cearta an Aontais a fheidhmiú.</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Ba cheart a thabhairt faoi deara, áfach, go bhfuil ceist na gconclúidí atá le baint sna príomhimeachtaí ó neamh-infheidhmeacht an dara mír d’Airteagal 4 d’Fhoraithne Uimh. 92-377 a mhéid a bhaineann le déine an smachtbhanna faoin dlí náisiúnta is infheidhme, amhail neamhniú nó neamh-infhorfheidhmitheacht an chonartha idir Sapod agus Éicea-Omballaigh, faoi rialú ag an dlí náisiúnta, go háirithe maidir le rialacha agus prionsabail dhlí na gconarthaí lena dteorannaítear nó lena gcoigeartaítear an smachtbhanna sin chun déine an phionóis sin a dhéanamh comhréireach leis an locht ar leith a aimsíodh. Mar sin féin, ní fhéadfaidh na rialacha agus na prionsabail sin a bheith níos neamhfhabhraí ná na rialacha agus na prionsabail lena rialaítear caingne intíre comhchosúla (prionsabal na coibhéise) agus ní fhéadfar iad a chumadh ar bhealach a fhágfaidh go mbeidh sé dodhéanta sa chleachtas na cearta a thugtar le dlí an Chomhphobail a fheidhmiú (prionsabal na héifeachtachta) (féach, inter alia, Cás 33/76 Rewe v Landwirtschaftskammer für das Saarland [1976] ECR 1989, mír 5, agus Cásanna Uamtha C-52/99 agus C-53/99 Camorotto agus Vignone [2001] ECR I-1395, mír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Dá bhrí sin, ní mór gurb é an freagra ar an dara cuid den dara ceist, a mhéid a bhaineann sé le Treoir 83/189, ná, i gcás ina mbeadh foráil náisiúnta amhail an dara mír d’Airteagal 4 d’Fhoraithne Uimh. 92-377 le léiriú mar fhoráil lena gceanglaítear marc nó lipéad a chur i bhfeidhm, go bhféadfaidh duine aonair mainneachtain fógra a thabhairt maidir leis an bhforáil náisiúnta sin a agairt i gcomhréir le hAirteagal 8 den Treoir sin. Is faoin gcúirt náisiúnta atá sé ansin diúltú an fhoráil sin a chur i bhfeidhm, ceist na gconclúidí atá le tarraingt ó neamh-infheidhmeacht na forála náisiúnta sin maidir le déine an phionóis faoin dlí náisiúnta is infheidhme, amhail neamhniú nó neamh-infhorfheidhmitheacht conartha, ar ceist í a rialaítear leis an dlí náisiúnta. Tá an chonclúid sin, áfach, faoi réir an choinníll nach lú fabhar na rialacha dlí náisiúnta is infheidhme ná na rialacha lena rialaítear gníomhaíochtaí intíre comhchosúla agus nach bhfuil siad leagtha amach ar bhealach a fhágann nach féidir cearta a thugtar le dlí an Chomhphobail a fheidhmiú i gcleachtas.”</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Breithiúnas an 8 Meán Fómhair 2005</w:t>
        </w:r>
      </w:hyperlink>
      <w:r>
        <w:t xml:space="preserve">, Lidl Italia, C-303/04, EU:C:2005:528, míreanna 22 agus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Is ionann sárú ar an oibleagáid fógra a thabhairt agus locht substaintiúil nós imeachta a fhágann go bhfuil na ‘rialacháin theicniúla’ atá i gceist neamh-infheidhme agus, dá bhrí sin, neamh-infheidhmithe i gcoinne daoine aonair.</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is cásdlí socair é go bhfuil Treoir 98/34 ceaptha chun saorghluaiseacht earraí a chosaint, trí fhaireachán coisctheach, atá ar cheann de bhunchlocha an Chomhphobail agus go bhféadfadh an rialú sin a bheith ina chonstaicí ar thrádáil earraí idir na Ballstáit, agus ní cheadaítear bacainní den sórt sin ach amháin má tá gá leo chun ceanglais láidre a bhaineann le leas an phobail a chomhlíonadh (féach, chuige sin, Cás C-194/94 CIA Security International [1996] ECR I-2201, mír 40, agus Cás C-226/97 Lemmens [1998] ECR I-3711, mír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Ós rud é go bhfuil an oibleagáid fógra a thabhairt dá dtagraítear, inter alia, sa chéad fhomhír d’Airteagal 8(1) de Threoir 98/34 bunriachtanach chun an rialú sin ón gComhphobal a bhaint amach, beidh an rialú sin i bhfad níos éifeachtaí má léirmhínítear an Treoir sin sa chaoi gurb ionann mainneachtain an oibleagáid fógra a thabhairt agus locht substaintiúil nós imeachta chun go mbeidh na rialacháin theicniúla atá i gceist neamh-infheidhme agus, dá bhrí sin, neamh-infheidhmithe i gcoinne daoine aonair (CIA Security International, míreanna 44, 48 agus 54, agus Lemmens, mír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Breithiúnas an 31 Eanáir 2013</w:t>
        </w:r>
      </w:hyperlink>
      <w:r>
        <w:t xml:space="preserve">, Belgische Petroleum Unie agus Eile, C</w:t>
        <w:noBreakHyphen/>
        <w:t xml:space="preserve">26/11, EU:C:2013:44, mír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Is ionann sárú ar an oibleagáid fógra a thabhairt agus locht substaintiúil nós imeachta a fhágann go bhfuil na ‘rialacháin theicniúla’ atá i gceist neamh-infheidhme agus, dá bhrí sin, neamh-infheidhmithe i gcoinne daoine aonair.</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Ós rud é go bhfuil an oibleagáid fógra a thabhairt dá dtagraítear sa chéad fhomhír d’Airteagal 8(1) de Threoir 98/34 riachtanach chun an rialú sin a bhaint amach, beidh éifeachtacht an rialaithe sin i bhfad níos mó má léirmhínítear an Treoir sin sa chaoi gurb ionann mainneachtain an oibleagáid fógra a thabhairt agus locht nós imeachta substainteach lena bhfágtar na rialacháin theicniúla atá i gceist neamh-infheidhme agus, dá bhrí sin, neamh-infheidhmithe i gcoinne daoine aonair (féach Lidl Italia, mír 23 agus Sandström, mír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Breithiúnas an 2 Feabhra 2016</w:t>
        </w:r>
      </w:hyperlink>
      <w:r>
        <w:t xml:space="preserve">, Ince, C-336/14, EU:C:2016:72, míreanna 67 agus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Fágann mainneachtain fógra a thabhairt faoi ‘rialachán teicniúil’ go bhfuil sé neamh-infheidhme agus neamh-infheidhmithe i gcoinne daoine aonair. Féadfaidh an Chúirt Ghinearálta Airteagal 8 de Threoir 98/34 a agairt os comhair cúirteanna náisiúnta, a bhfuil sé d’oibleagáid orthu, dá bhrí sin, diúltú an riail nár tugadh fógra ina leith a chur i bhfeidhm.</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Mar réamhphointe, ní mór a mheabhrú gur locht nós imeachta é sárú ar an oibleagáid fógra a thabhairt a leagtar síos in Airteagal 8(1) de Threoir 98/34 maidir le glacadh na rialachán teicniúil lena mbaineann, agus go bhfágann sé nach bhfuil na rialacháin theicniúla sin infheidhme agus, dá bhrí sin, neamh-infheidhmithe i gcoinne daoine aonair (féach, go háirithe, breithiúnas Ivansson agus páirtithe eile, C-307/13, EU:C:2014:2058, mír 48 agus an cásdlí dá dtagraítear).</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I ndáil leis sin, ba cheart a thabhairt chun suntais, mar a thug an tAbhcóide Ginearálta faoi deara i mír 60 dá Thuairim, cé go gceanglaítear le hAirteagal 8(1) den Treoir sin dréacht iomlán de dhlí ina bhfuil rialacháin theicniúla a chur in iúl don Choimisiún (féach, chuige sin, breithiúnas in an Coimisiún v an Iodáil, C-279/94, EU:C:1997:396, míreanna 40 agus 41), ní bhaineann an neamh-infheidhmeacht a eascraíonn as sárú na hoibleagáide sin le forálacha uile dlí den sórt sin, ach leis na rialacháin theicniúla atá ann amháin.’</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Ordú an 21 Aibreán 2016</w:t>
        </w:r>
      </w:hyperlink>
      <w:r>
        <w:t xml:space="preserve">, Beca Engineering, C-285/15, EU:C:2016:295, mír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Fágann mainneachtain fógra a thabhairt faoi ‘rialachán teicniúil’ go bhfuil sé neamh-infheidhme agus neamh-infheidhmithe i gcoinne daoine aonair, a d’fhéadfadh Airteagal 8 de Threoir 98/34 a agairt os comhair na gcúirteanna náisiúnta, a bhfuil sé d’oibleagáid orthu, dá bhrí sin, diúltú dá iarratas.</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(Ós rud é gur i bhFraincis agus in Iodáilis amháin atá an t-ord ar fáil, is aistriúchán é an téacs seo a leanas.)</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Is cásdlí socair é go bhfágann mainneachtain oibleagáid na mBallstát fógra a thabhairt láithreach faoi rialacháin theicniúla don Choimisiún, a leagtar síos in Airteagal 8 de Threoir 98/34, go bhfuil na rialacháin theicniúla lena mbaineann neamh-infheidhme, ionas nach féidir iad a fhorfheidhmiú i gcoinne daoine aonair agus, dá bhrí sin, gur féidir leo brath ar Airteagal 8 de Threoir 98/34 os comhair na cúirte náisiúnta, nach mór di diúltú rialachán teicniúil náisiúnta nár tugadh fógra ina leith a chur i bhfeidhm i gcomhréir leis an Treoir sin (féach, chuige sin, breithiúnais an 30 Aibreán 1996 inCIA Security International</w:t>
        <w:noBreakHyphen/>
        <w:t xml:space="preserve">, 194/94, EU:C:1996:172, míreanna 44 agus 54; an 26 Meán Fómhair 2000, Unilever</w:t>
        <w:noBreakHyphen/>
        <w:t xml:space="preserve">, 443/98, EU:C:2000:496, mír 49; agus an 16 Iúil 2015, UNIC agus Uni.co.pel, 95/14</w:t>
        <w:noBreakHyphen/>
        <w:t xml:space="preserve">, EU:C:2015:492, mír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Breithiúnas an 1 Feabhra 2017</w:t>
        </w:r>
      </w:hyperlink>
      <w:r>
        <w:t xml:space="preserve">, Município de Palmela, C</w:t>
        <w:noBreakHyphen/>
        <w:t xml:space="preserve">144/16, EU:C:2017:76, míreanna 36 agus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Ní bhaineann neamh-infheidhmeacht rialachán teicniúil nár tugadh fógra ina leith ach leis na forálacha a cháilíonn amhlaidh agus ní leis an téacs iomlán ina leagtar síos iad.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Thairis sin, is é an pionós mar gheall ar mhainneachtain oibleagáid fógra den sórt sin a chomhlíonadh nach mbeidh feidhm ag rialacha teicniúla nár tugadh fógra ina leith (féach, chuige sin, maidir le Treoir 83/189, breithiúnas an 30 Aibreán 1996, CIA Security International, C-194/94, EU:C:1996:172, mír 54, agus, maidir le Treoir 98/34, breithiúnas an 4 Feabhra 2016, Ince, C-336/14, EU:C:2016:72, mír 67 agus an cásdlí dá dtagraítear).</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Maidir le méid an phionóis sin, cé go gceanglaítear le hAirteagal 8(1) de Threoir 83/189 agus le hAirteagal 8(1) de Threoir 98/34 an dréacht iomlán de dhlí ina bhfuil rialacháin theicniúla a chur in iúl don Choimisiún, ní bhaineann an neamh-infheidhmeacht a eascraíonn as sárú na hoibleagáide sin le forálacha uile dlí den sórt sin, ach leis na rialacháin theicniúla atá ann amháin (féach, chuige sin, breithiúnas an 4 Feabhra 2016, Ince, C-336/14, EU:C:2016:72, mír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Breithiúnas an 12 Meán Fómhair 2019</w:t>
        </w:r>
      </w:hyperlink>
      <w:r>
        <w:t xml:space="preserve">, VG Media, C-299/17, EU:C:2019:716, mír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Féadfar brath ar neamh-infheidhmeacht ‘rialacháin theicniúil’ nár tugadh fógra ina leith in imeachtaí idir daoine aonair.</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A mhéid atá riail, amhail an riail atá i gceist sna príomhimeachtaí, dírithe go sonrach ar sheirbhísí na sochaí faisnéise, ní mór an dréachtrialachán teicniúil a bheith faoi réir fógra a thabhairt roimh ré don Choimisiún de bhun Airteagal 8(1) de Threoir 98/34. Ina éagmais sin, de réir cásdlí socair, féadfar brath ar neamh-infheidhmeacht rialacháin theicniúil nár tugadh fógra ina leith i gcomhréir leis an bhforáil sin in imeachtaí idir daoine aonair (breithiúnas an 27 Deireadh Fómhair 2016, James Elliott Construction,</w:t>
        <w:noBreakHyphen/>
        <w:t xml:space="preserve">C 613/14, EU:C:2016:821, mír 64 agus an cásdlí dá dtagraítear).’</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Neamh-infheidhmeacht in Imeacht na hUchtála le linn na Tréimhse Neamhghníomhaíochta</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Breithiúnas an 26 Meán Fómhair 2000</w:t>
        </w:r>
      </w:hyperlink>
      <w:r>
        <w:t xml:space="preserve">, Unilever, C-443/98, EU:C:2000:496, míreanna 44 agus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Is locht substaintiúil nós imeachta é an sárú ar an oibleagáid glacadh ‘rialacháin theicniúil’ a chur siar, agus féadfar an neamh-infheidhmeacht a eascraíonn as sin a ardú in imeachtaí dlíthíochta dhlí na gconarthaí sibhialta.</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Cé gur chinn an Chúirt, i mír 48 de CIA Security, tar éis di a athdhearbhú go raibh sé d’aidhm ag Treoir 83/189 saorghluaiseacht earraí a chosaint trí rialú coisctheach agus go raibh an oibleagáid fógra a thabhairt riachtanach chun rialú Comhphobail den sórt sin a bhaint amach, go mbeadh éifeachtacht an rialaithe sin i bhfad níos mó dá ndéanfaí an treoir a léirmhíniú sa chaoi gur locht nós imeachta substaintiúil é sárú ar an oibleagáid fógra a thabhairt a d’fhágfadh go mbeadh na rialacháin theicniúla atá i gceist neamh-infheidhme maidir le daoine aonair, leanann sé ó na breithnithe a leagtar amach i míreanna 40 go 43 den bhreithiúnas seo gurb ionann sárú ar na hoibleagáidí maidir le glacadh a chur siar a leagtar amach in Airteagal 9 de Threoir 83/189 agus locht substaintiúil nós imeachta amhail go mbeadh feidhm ag na rialacháin theicniúla atá i bhfeidhm freisin.’</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Dá bhrí sin, leanann sé ó chásdlí na Cúirte gur féidir neamh-infheidhmeacht rialacháin theicniúil nár tugadh fógra ina leith i gcomhréir le hAirteagal 8 de Threoir 83/189 a agairt in imeachtaí idir daoine aonair ar na cúiseanna a leagtar amach i míreanna 40 go 43 den bhreithiúnas seo. Is amhlaidh atá maidir le mainneachtain na hoibleagáidí a leagtar síos in Airteagal 9 den Treoir sin a chomhlíonadh agus ní gá, i ndáil leis sin, déileáil le díospóidí idir daoine aonair in ábhair iomaíochta éagóraí ar bhealach éagsúil, mar atá in CIA Security International, le díospóidí idir daoine aonair maidir le cearta agus oibleagáidí conarthacha, mar atá sna príomhimeachtaí.’</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Breithiúnas an 16 Iúil 2015</w:t>
        </w:r>
      </w:hyperlink>
      <w:r>
        <w:t xml:space="preserve">, UNIC agus Uni.co.pel, C-95/14, EU:C:2015:492, míreanna 29 agus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Ní féidir ‘rialachán teicniúil’ a chur i bhfeidhm murar tugadh fógra ina leith nó más rud é, cé gur tugadh fógra ina leith, gur glacadh é agus gur cuireadh chun feidhme é roimh dheireadh na tréimhse neamhghníomhaíochta. Is ionann mainneachtain an tréimhse neamhghníomhaíochta sin a chomhlíonadh agus locht nós imeachta substainteach a fhágann go bhfuil an ‘rialachán teicniúil’ atá i gceist neamh-infheidhme agus neamh-infheidhmithe i gcoinne daoine aonair.</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I ndáil leis sin, ní mór a thabhairt faoi deara nach féidir rialachán teicniúil a chur i bhfeidhm mura dtugtar fógra ina leith i gcomhréir le hAirteagal 8(1) de Threoir 98/34, nó más rud é, cé gur tugadh fógra ina leith, gur glacadh agus gur cuireadh chun feidhme é roimh dheireadh na tréimhse neamhghníomhaíochta trí mhí a cheanglaítear faoi Airteagal 9(1) den Treoir sin (féach breithiúnais CIA Security International, C-194/94, EU:C:1996:172, míreanna 41, 44 agus 54, agus Unilever, C-443/98, EU:C:2000:496, mír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Dá bhrí sin, sna príomhimeachtaí, is faoin gcúirt a rinne an tarchur atá sé a fhíorú ar tháinig Dlí Uimh. 8/2013 i bhfeidhm gan an tréimhse neamhghníomhaíochta a cheanglaítear faoi Airteagal 9 de Threoir 98/34 a urramú. Más amhlaidh atá, is fabht nós imeachta ábhartha é an mhainneachtain an tréimhse neamhghníomhaíochta sin a urramú, rud a fhágann nach bhfuil an rialachán teicniúil atá i gceist infheidhme. Mar a chuir an tAbhcóide Ginearálta in iúl i míreanna 44 go 47 dá Tuairim, bheadh Airteagal 3(2) de Dhlí Uimh. 8/2103 neamh-infheidhmithe, sa chás sin, i gcoinne daoine aonair.’</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Breithiúnas an 21 Nollaig 2023</w:t>
        </w:r>
      </w:hyperlink>
      <w:r>
        <w:rPr>
          <w:rFonts w:ascii="Times New Roman" w:hAnsi="Times New Roman" w:cs="Times New Roman" w:eastAsia="Times New Roman"/>
          <w:b/>
          <w:i/>
          <w:szCs w:val="20"/>
        </w:rPr>
        <w:t xml:space="preserve">, Papier Mettler Italia, C-86/22, EU:C:2023:1023, míreanna 48 agus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Tá glacadh dréachtrialacháin theicniúil sé lá tar éis fógra a thabhairt ina leith contrártha leis an Treoir.</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Tá clásail lena gcuirtear teacht i bhfeidhm reachtaíochta faoi réir easpa freagartha ón gCoimisiún maidir leis an reachtaíocht sin (“clásail chuimsitheacha”) contrártha leis an Treoir toisc nach gceadaítear le glacadh na reachtaíochta sin tuairimí na mBallstát eile a chur san áireamh agus sáraíonn sé prionsabal na deimhneachta dlíthiúla.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Ar an dara dul síos, le glacadh na foraithne atá i gceist sna príomhimeachtaí laistigh de shé lá tar éis fógra a thabhairt don Choimisiún faoi Airteagal 8(1) den Treoir sin, sáraítear freisin an oibleagáid a leagtar síos in Airteagal 9(1) di, faoina bhfuil ar na Ballstáit glacadh ‘dréachtrialacháin theicniúil’ a chur siar ar feadh trí mhí ón dáta a fhaigheann an Coimisiún an teachtaireacht dá dtagraítear in Airteagal 8(1) den Treoir sin.’</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Thairis sin, áitíonn an Rialtas sin go raibh teacht i bhfeidhm na foraithne atá i gceist sna príomhimeachtaí coinníollach, faoi Airteagal 6, dá bhrí sin, ar ‘thoradh rathúil’ an nós imeachta um fhógra a thabhairt a tionscnaíodh an 12 Márta 2013 ar bhonn Airteagal 8(1) de Threoir 98/34. Mar sin féin, ní raibh toradh den sórt sin ag an nós imeachta sin toisc nár eisigh an Coimisiún tuairim maidir leis an bhforaithne sin. Ní mór diúltú don argóint sin ós rud é, ar an gcéad dul síos, go bhféadfadh éifeachtaí áirithe a bheith ag glacadh agus foilsiú na foraithne sin per se ar shaorghluaiseacht na n-earraí lena mbaineann; ar an dara dul síos, níorbh fhéidir na barúlacha agus na tuairimí mionsonraithe a d’eisigh Ríocht na hÍsiltíre, Ríocht na Sualainne agus Ríocht Aontaithe na Breataine Móire agus Thuaisceart Éireann a chur san áireamh; ar an tríú dul síos, mar a thug an tAbhcóide Ginearálta faoi deara i mír 52 dá Thuairim, is teicníc reachtach iad atá ar neamhréir le prionsabal na deimhneachta dlíthiúla.’</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Soiléiriú maidir le hÉifeacht na Neamh-infheidhmeachta</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Breithiúnas an 11 Meitheamh 2015</w:t>
        </w:r>
      </w:hyperlink>
      <w:r>
        <w:t xml:space="preserve">, Berlington Hungary and Others, C-98/14, EU:C:2015:386, míreanna 108 agus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Níl sé i gceist le hoibleagáidí maidir le fógra a thabhairt ná le hoibleagáidí neamhghníomhaíochta cearta a thabhairt do dhaoine aonair. Dá bhrí sin, ní thugann a sárú ag Ballstát, faoi dhlí an Aontais, an ceart do dhaoine aonair cúiteamh a lorg ón mBallstát sin as aon damáiste a dhéanfaí dá bharr.</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I ndáil leis sin, is léir ón gcásdlí, cé go bhfuil sé beartaithe le Treoir 98/34 saorghluaiseacht earraí a áirithiú trí rialú coisctheach a eagrú lena gceanglaítear, i gcomhthéacs díospóid idir daoine aonair, beart náisiúnta arna ghlacadh de shárú ar Airteagail 8 agus 9 di a dhífheidhmiú, ní shainítear leis an Treoir sin ar bhealach ar bith raon feidhme substainteach na rialach dlíthiúla ar ar a bonn nach mór don chúirt náisiúnta an cás os a comhair a chinneadh. Dá bhrí sin, ní chruthaítear leis an Treoir sin cearta ná oibleagáidí do dhaoine aonair (breithiúnas Unilever, C-443/98, EU:C:2000:496, mír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Sna himthosca sin, ní mór a mheas nach gcomhlíontar an chéad cheann de na coinníollacha a liostaítear i mír 104, ionas nach féidir le daoine aonair brath ar shárú ar Airteagail 8 agus 9 den Treoir sin chun dliteanas a chur ar an mBallstát lena mbaineann ar bhonn dhlí an Aontais.’</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Nós Imeachta um Shárú</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Breithiúnas an 4 Meitheamh 2009</w:t>
        </w:r>
      </w:hyperlink>
      <w:r>
        <w:t xml:space="preserve">, an Coimisiún v an Ghréig, C-109/08, EU:C:2009:346, míreanna 14 go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Ní mór breithiúnas ón gCúirt lena gcinntear gur mainníodh an oibleagáid fógra a thabhairt a chomhlíonadh láithreach chun cur i bhfeidhm aonfhoirmeach dhlí an Aontais a áirithiú. Déantar measúnú ar an gceist ar tharla mainneachtain den sórt sin faoi Airteagal 228 CE ag deireadh na tréimhse a leagtar síos sa tuairim réasúnaithe. Sa chás seo, ós rud é nach ndearna an Ghréig aon bheart roimh dhul in éag na tréimhse forordaithe, níor chomhlíon sí a hoibleagáidí faoi Airteagal 228(1) CE.</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Cé nach sonraítear in Airteagal 228 CE an tréimhse inar gá breithiúnas ón gCúirt lena suitear gur mhainnigh Ballstát a oibleagáidí a chomhlíonadh a chomhlíonadh, leanann sé ó chásdlí socair go gciallaíonn an tábhacht a bhaineann le cur i bhfeidhm láithreach agus aonfhoirmeach dhlí an Chomhphobail nach mór tús a chur leis an bpróiseas comhlíonta uair amháin agus é a chur i gcrích a luaithe is féidir (féach, inter alia, Cás C-121/07 An Coimisiún v an Fhrainc [2008] ECR I</w:t>
        <w:noBreakHyphen/>
        <w:t xml:space="preserve">0000, mír 21 agus an</w:t>
        <w:noBreakHyphen/>
        <w:t xml:space="preserve">cásdlí dá dtagraítear).</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Ina theannta sin, is é an dáta tagartha chun measúnú a dhéanamh ar tharla mainneachtain oibleagáidí faoi Airteagal 228 CE a chomhlíonadh ná dáta éaga na tréimhse a fhorordaítear sa tuairim réasúnaithe arna heisiúint faoin bhforáil sin (féach, inter alia, Cás C 503/04 An</w:t>
        <w:noBreakHyphen/>
        <w:t xml:space="preserve">Coimisiún v An Ghearmáin [2007] ECR I</w:t>
        <w:noBreakHyphen/>
        <w:t xml:space="preserve">6153, mír 19 agus an</w:t>
        <w:noBreakHyphen/>
        <w:t xml:space="preserve">cásdlí dá dtagraítear).</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Sa chás seo, is léir, faoin dáta a chuaigh an tréimhse dhá mhí a leagtar síos i dtuairim réasúnaithe an 29 Meitheamh 2007 in éag, nach ndearna an Phoblacht Heilléanach aon cheann de na bearta ba ghá chun an breithiúnas i gCás C 65/05 an</w:t>
        <w:noBreakHyphen/>
        <w:t xml:space="preserve">Coimisiún v an Ghréig a chomhlíonadh, ós rud é nár cuireadh an dréacht den chéad bheart a ceapadh chun an breithiúnas sin a chomhlíonadh in iúl don Choimisiún go dtí an 7 Bealtaine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Sna himthosca sin, ní mór a mheas, mar a aithníonn sí féin, gur mhainnigh an Phoblacht Heilléanach a hoibleagáidí faoi Airteagal 228(1) CE a chomhlíonadh.”</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Tá an chomparáid idir Treoir 2015/1535 agus Treoir 83/189/CEE bunaithe ar na gníomhartha bunaidh nár leasaíodh, ach tá an chomparáid idir Treoir 98/34/CE bunaithe ar an leagan a leasaíodh le Treoir 98/48/CE an 20 Iúil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Treoir (AE) 2015/1535 ó Pharlaimint na hEorpa agus ón gComhairle an 9 Meán Fómhair 2015 lena leagtar síos nós imeachta chun faisnéis a sholáthar i réimse na rialachán teicniúil agus na rialacha maidir le seirbhísí na Sochaí Faisnéise (códú)</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Treoir 98/34/CE ó Pharlaimint na hEorpa agus ón gComhairle an 22 Meitheamh 1998 lena leagtar síos nós imeachta maidir le soláthar faisnéise i réimse na gcaighdeán agus na rialachán teicniúil, arna leasú le Treoir 98/48/CE an 20 Iúil 1998 (lena n-áirítear rialacha maidir le seirbhísí)</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Treoir 83/189/CEE ón gComhairle an 28 Márta 1983 lena leagtar síos nós imeachta chun faisnéis a sholáthar i réimse na gcaighdeán agus na rialachán teicniúil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g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ga"/>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