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627" w:rsidRPr="00C77E4C" w:rsidRDefault="00ED0627" w:rsidP="00ED0627">
      <w:pPr>
        <w:jc w:val="center"/>
        <w:rPr>
          <w:sz w:val="20"/>
          <w:rFonts w:ascii="Courier New" w:hAnsi="Courier New"/>
        </w:rPr>
      </w:pPr>
      <w:r>
        <w:rPr>
          <w:sz w:val="20"/>
          <w:rFonts w:ascii="Courier New" w:hAnsi="Courier New"/>
        </w:rPr>
        <w:t xml:space="preserve">1.</w:t>
      </w:r>
      <w:r>
        <w:rPr>
          <w:sz w:val="20"/>
          <w:rFonts w:ascii="Courier New" w:hAnsi="Courier New"/>
        </w:rPr>
        <w:t xml:space="preserve"> </w:t>
      </w:r>
      <w:r>
        <w:rPr>
          <w:sz w:val="20"/>
          <w:rFonts w:ascii="Courier New" w:hAnsi="Courier New"/>
        </w:rPr>
        <w:t xml:space="preserve">------IND- 2020 0338 F-- MT- ------ 20200612 --- --- PROJET</w:t>
      </w:r>
    </w:p>
    <w:p w:rsidR="007606BC" w:rsidRPr="00EC1FD0" w:rsidRDefault="008E1D2E" w:rsidP="008E1D2E">
      <w:pPr>
        <w:jc w:val="center"/>
        <w:rPr>
          <w:b/>
          <w:rFonts w:ascii="Arial" w:hAnsi="Arial" w:cs="Arial"/>
        </w:rPr>
      </w:pPr>
      <w:r>
        <w:rPr>
          <w:b/>
          <w:rFonts w:ascii="Arial" w:hAnsi="Arial"/>
        </w:rPr>
        <w:t xml:space="preserve">Liġi dwar it-trasparenza tal-informazzjoni dwar il-prodotti agrikoli u tal-ikel (test adottat b’mod definittiv mill-Assemblea Nazzjonali fis-27 ta’ Mejju 2020)</w:t>
      </w:r>
    </w:p>
    <w:p w:rsidR="008E1D2E" w:rsidRPr="00EC1FD0" w:rsidRDefault="008E1D2E" w:rsidP="008E1D2E">
      <w:pPr>
        <w:jc w:val="center"/>
        <w:rPr>
          <w:b/>
          <w:rFonts w:ascii="Arial" w:hAnsi="Arial" w:cs="Arial"/>
        </w:rPr>
      </w:pPr>
      <w:r>
        <w:rPr>
          <w:b/>
          <w:rFonts w:ascii="Arial" w:hAnsi="Arial"/>
        </w:rPr>
        <w:t xml:space="preserve">-</w:t>
      </w:r>
    </w:p>
    <w:p w:rsidR="008E1D2E" w:rsidRPr="00EC1FD0" w:rsidRDefault="008E1D2E" w:rsidP="008E1D2E">
      <w:pPr>
        <w:jc w:val="center"/>
        <w:rPr>
          <w:rFonts w:ascii="Arial" w:hAnsi="Arial" w:cs="Arial"/>
        </w:rPr>
      </w:pPr>
      <w:r>
        <w:rPr>
          <w:rFonts w:ascii="Arial" w:hAnsi="Arial"/>
        </w:rPr>
        <w:t xml:space="preserve">Dispożizzjonijiet tal-liġi li huma s-suġġett tan-notifika</w:t>
      </w:r>
    </w:p>
    <w:p w:rsidR="008E1D2E" w:rsidRDefault="008E1D2E"/>
    <w:p w:rsidR="008E1D2E" w:rsidRPr="008E1D2E" w:rsidRDefault="008E1D2E"/>
    <w:p w:rsidR="008E1D2E" w:rsidRPr="008E1D2E" w:rsidRDefault="008E1D2E" w:rsidP="00ED0627">
      <w:pPr>
        <w:keepNext/>
        <w:keepLines/>
        <w:jc w:val="both"/>
        <w:rPr>
          <w:b/>
          <w:rFonts w:ascii="Arial" w:hAnsi="Arial" w:cs="Arial"/>
        </w:rPr>
      </w:pPr>
      <w:r>
        <w:rPr>
          <w:b/>
          <w:rFonts w:ascii="Arial" w:hAnsi="Arial"/>
        </w:rPr>
        <w:t xml:space="preserve">Artikolu 1</w:t>
      </w:r>
    </w:p>
    <w:p w:rsidR="008E1D2E" w:rsidRPr="008E1D2E" w:rsidRDefault="008E1D2E" w:rsidP="008E1D2E">
      <w:pPr>
        <w:jc w:val="both"/>
        <w:rPr>
          <w:rFonts w:ascii="Arial" w:hAnsi="Arial" w:cs="Arial"/>
        </w:rPr>
      </w:pPr>
      <w:r>
        <w:rPr>
          <w:rFonts w:ascii="Arial" w:hAnsi="Arial"/>
        </w:rPr>
        <w:t xml:space="preserve">L-Artikolu L.412-1 tal-Kodiċi tal-Konsumatur huwa emendat kif ġej:</w:t>
      </w:r>
    </w:p>
    <w:p w:rsidR="008E1D2E" w:rsidRDefault="008E1D2E" w:rsidP="008E1D2E">
      <w:pPr>
        <w:jc w:val="both"/>
        <w:rPr>
          <w:rFonts w:ascii="Arial" w:hAnsi="Arial" w:cs="Arial"/>
        </w:rPr>
      </w:pPr>
      <w:r>
        <w:rPr>
          <w:rFonts w:ascii="Arial" w:hAnsi="Arial"/>
        </w:rPr>
        <w:t xml:space="preserve">1. Wara I(3), għandu jiddaħħal 3(a) li jgħid hekk:</w:t>
      </w:r>
    </w:p>
    <w:p w:rsidR="008E1D2E" w:rsidRDefault="008E1D2E" w:rsidP="008E1D2E">
      <w:pPr>
        <w:jc w:val="both"/>
        <w:rPr>
          <w:rFonts w:ascii="Arial" w:hAnsi="Arial" w:cs="Arial"/>
        </w:rPr>
      </w:pPr>
      <w:r>
        <w:rPr>
          <w:rFonts w:ascii="Arial" w:hAnsi="Arial"/>
        </w:rPr>
        <w:t xml:space="preserve">“3(a) Fir-rigward ta’ entrati ta’ kwalunkwe natura dwar ikel ippakkjat bil-lest, il-metodi kif tiġi pprovduta informazzjoni korrispondenti lill-pubbliku online mill-persuna responsabbli għat-tqegħid fis-suq inizjali, taħt il-kundizzjonijiet previsti fil-Ktieb III tal-Kodiċi dwar ir-Relazzjonijiet bejn il-Pubbliku u l-Amministrazzjoni;”</w:t>
      </w:r>
    </w:p>
    <w:p w:rsidR="008E1D2E" w:rsidRDefault="008E1D2E" w:rsidP="008E1D2E">
      <w:pPr>
        <w:jc w:val="both"/>
        <w:rPr>
          <w:rFonts w:ascii="Arial" w:hAnsi="Arial" w:cs="Arial"/>
        </w:rPr>
      </w:pPr>
      <w:r>
        <w:rPr>
          <w:rFonts w:ascii="Arial" w:hAnsi="Arial"/>
        </w:rPr>
        <w:t xml:space="preserve">2. II għandu jiġi kompletat minn paragrafu li jgħid hekk:</w:t>
      </w:r>
      <w:r>
        <w:rPr>
          <w:rFonts w:ascii="Arial" w:hAnsi="Arial"/>
        </w:rPr>
        <w:t xml:space="preserve"> </w:t>
      </w:r>
    </w:p>
    <w:p w:rsidR="008E1D2E" w:rsidRDefault="008E1D2E" w:rsidP="008E1D2E">
      <w:pPr>
        <w:jc w:val="both"/>
        <w:rPr>
          <w:rFonts w:ascii="Arial" w:hAnsi="Arial" w:cs="Arial"/>
        </w:rPr>
      </w:pPr>
      <w:r>
        <w:rPr>
          <w:rFonts w:ascii="Arial" w:hAnsi="Arial"/>
        </w:rPr>
        <w:t xml:space="preserve">Fir-riward tal-informazzjoni msemmija f’I(3)(a), dawn id-digrieti se jiddeterminaw b’mod partikolari l-post fejn se ssir disponibbli d-</w:t>
      </w:r>
      <w:r>
        <w:rPr>
          <w:i/>
          <w:iCs/>
          <w:rFonts w:ascii="Arial" w:hAnsi="Arial"/>
        </w:rPr>
        <w:t xml:space="preserve">data</w:t>
      </w:r>
      <w:r>
        <w:rPr>
          <w:rFonts w:ascii="Arial" w:hAnsi="Arial"/>
        </w:rPr>
        <w:t xml:space="preserve"> u l-format tagħha b’tali mod li jikkostitwixxu bażi miftuħa għall-utenti kollha u li jippermettu l-użu mill-ġdid liberu ta’ din id-</w:t>
      </w:r>
      <w:r>
        <w:rPr>
          <w:i/>
          <w:iCs/>
          <w:rFonts w:ascii="Arial" w:hAnsi="Arial"/>
        </w:rPr>
        <w:t xml:space="preserve">data</w:t>
      </w:r>
      <w:r>
        <w:rPr>
          <w:rFonts w:ascii="Arial" w:hAnsi="Arial"/>
        </w:rPr>
        <w:t xml:space="preserve">.”</w:t>
      </w:r>
    </w:p>
    <w:p w:rsidR="007F3528" w:rsidRPr="008E1D2E" w:rsidRDefault="007F3528" w:rsidP="008E1D2E">
      <w:pPr>
        <w:jc w:val="both"/>
      </w:pPr>
    </w:p>
    <w:p w:rsidR="008E1D2E" w:rsidRPr="008E1D2E" w:rsidRDefault="008E1D2E" w:rsidP="00ED0627">
      <w:pPr>
        <w:keepNext/>
        <w:keepLines/>
        <w:jc w:val="both"/>
        <w:rPr>
          <w:b/>
          <w:rFonts w:ascii="Arial" w:hAnsi="Arial" w:cs="Arial"/>
        </w:rPr>
      </w:pPr>
      <w:r>
        <w:rPr>
          <w:b/>
          <w:rFonts w:ascii="Arial" w:hAnsi="Arial"/>
        </w:rPr>
        <w:t xml:space="preserve">Artikolu 2</w:t>
      </w:r>
      <w:r>
        <w:rPr>
          <w:b/>
          <w:rFonts w:ascii="Arial" w:hAnsi="Arial"/>
        </w:rPr>
        <w:t xml:space="preserve"> </w:t>
      </w:r>
    </w:p>
    <w:p w:rsidR="008E1D2E" w:rsidRDefault="008E1D2E" w:rsidP="008E1D2E">
      <w:pPr>
        <w:jc w:val="both"/>
        <w:rPr>
          <w:rFonts w:ascii="Arial" w:hAnsi="Arial" w:cs="Arial"/>
        </w:rPr>
      </w:pPr>
      <w:r>
        <w:rPr>
          <w:rFonts w:ascii="Arial" w:hAnsi="Arial"/>
        </w:rPr>
        <w:t xml:space="preserve">I. – Wara l-ewwel paragrafu tal-Artikolu L.412-4 tal-Kodiċi tal-Konsumatur, jiddaħħlu tliet paragrafi li jgħidu hekk:</w:t>
      </w:r>
    </w:p>
    <w:p w:rsidR="008E1D2E" w:rsidRDefault="008E1D2E" w:rsidP="008E1D2E">
      <w:pPr>
        <w:jc w:val="both"/>
        <w:rPr>
          <w:rFonts w:ascii="Arial" w:hAnsi="Arial" w:cs="Arial"/>
        </w:rPr>
      </w:pPr>
      <w:r>
        <w:rPr>
          <w:rFonts w:ascii="Arial" w:hAnsi="Arial"/>
        </w:rPr>
        <w:t xml:space="preserve">“Għall-prodotti magħmula mill-kawkaw, fl-istat ipproċessat jew mhux ipproċessat, maħsuba għall-konsum mill-bniedem, l-indikazzjoni tal-pajjiż ta’ oriġini hija obbligatorja wkoll.</w:t>
      </w:r>
    </w:p>
    <w:p w:rsidR="008E1D2E" w:rsidRDefault="008E1D2E" w:rsidP="008E1D2E">
      <w:pPr>
        <w:jc w:val="both"/>
        <w:rPr>
          <w:rFonts w:ascii="Arial" w:hAnsi="Arial" w:cs="Arial"/>
        </w:rPr>
      </w:pPr>
      <w:r>
        <w:rPr>
          <w:rFonts w:ascii="Arial" w:hAnsi="Arial"/>
        </w:rPr>
        <w:t xml:space="preserve">“Għall-għasel magħmul minn taħlita ta’ għasel minn aktar minn Stat Membru tal-Unjoni Ewropea wieħed jew minn pajjiż terz, il-pajjiżi ta’ oriġini kollha tal-ħsad għandhom ikunu indikati skont il-piż bl-aktar tqil l-ewwel.</w:t>
      </w:r>
    </w:p>
    <w:p w:rsidR="008E1D2E" w:rsidRDefault="008E1D2E" w:rsidP="008E1D2E">
      <w:pPr>
        <w:jc w:val="both"/>
        <w:rPr>
          <w:rFonts w:ascii="Arial" w:hAnsi="Arial" w:cs="Arial"/>
        </w:rPr>
      </w:pPr>
      <w:r>
        <w:rPr>
          <w:rFonts w:ascii="Arial" w:hAnsi="Arial"/>
        </w:rPr>
        <w:t xml:space="preserve">“It-tielet paragrafu japplika wkoll għall-ħalib tan-naħal.”</w:t>
      </w:r>
    </w:p>
    <w:p w:rsidR="008E1D2E" w:rsidRDefault="008E1D2E" w:rsidP="008E1D2E">
      <w:pPr>
        <w:jc w:val="both"/>
        <w:rPr>
          <w:rFonts w:ascii="Arial" w:hAnsi="Arial" w:cs="Arial"/>
        </w:rPr>
      </w:pPr>
      <w:r>
        <w:rPr>
          <w:rFonts w:ascii="Arial" w:hAnsi="Arial"/>
        </w:rPr>
        <w:t xml:space="preserve">II.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- Il-I ta’ dan l-Artikolu jidħol fis-seħħ fl-1 ta’ Jannar 2021.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Minn din id-data, il-prodotti mmanifatturati jew ikkumerċjalizzati b’mod legali qabel din id-data li t-tikkettar tagħhom mhuwiex konformi mat-tielet paragrafu tal-Artikolu L.412-4 tal-Kodiċi tal-Konsumatur, kif emendat b’dan l-Artikolu, jistgħu jinbiegħu jew jiġu distribwiti bla ħlas sakemm jifdal l-istokk.</w:t>
      </w:r>
    </w:p>
    <w:p w:rsidR="007F3528" w:rsidRPr="008E1D2E" w:rsidRDefault="007F3528" w:rsidP="008E1D2E">
      <w:pPr>
        <w:jc w:val="both"/>
        <w:rPr>
          <w:rFonts w:ascii="Arial" w:hAnsi="Arial" w:cs="Arial"/>
        </w:rPr>
      </w:pPr>
    </w:p>
    <w:p w:rsidR="008E1D2E" w:rsidRPr="008E1D2E" w:rsidRDefault="008E1D2E" w:rsidP="00ED0627">
      <w:pPr>
        <w:keepNext/>
        <w:keepLines/>
        <w:rPr>
          <w:b/>
          <w:rFonts w:ascii="Arial" w:hAnsi="Arial" w:cs="Arial"/>
        </w:rPr>
      </w:pPr>
      <w:r>
        <w:rPr>
          <w:b/>
          <w:rFonts w:ascii="Arial" w:hAnsi="Arial"/>
        </w:rPr>
        <w:t xml:space="preserve">Artikolu 5</w:t>
      </w:r>
    </w:p>
    <w:p w:rsidR="008E1D2E" w:rsidRPr="008E1D2E" w:rsidRDefault="008E1D2E" w:rsidP="00ED0627">
      <w:pPr>
        <w:jc w:val="both"/>
        <w:rPr>
          <w:rFonts w:ascii="Arial" w:hAnsi="Arial" w:cs="Arial"/>
        </w:rPr>
      </w:pPr>
      <w:r>
        <w:rPr>
          <w:rFonts w:ascii="Arial" w:hAnsi="Arial"/>
        </w:rPr>
        <w:t xml:space="preserve">Is-Sezzjoni 2 tal-Kapitolu II tat-Titolu I tal-Ktieb IV tal-Kondiċi tal-Konsumatur hija kkompletata mill-Artikolu L.412-10 li jgħid hekk:</w:t>
      </w:r>
    </w:p>
    <w:p w:rsidR="008E1D2E" w:rsidRDefault="008E1D2E" w:rsidP="008E1D2E">
      <w:pPr>
        <w:jc w:val="both"/>
        <w:rPr>
          <w:rFonts w:ascii="Arial" w:hAnsi="Arial" w:cs="Arial"/>
        </w:rPr>
      </w:pPr>
      <w:r>
        <w:rPr>
          <w:rFonts w:ascii="Arial" w:hAnsi="Arial"/>
        </w:rPr>
        <w:t xml:space="preserve">“Artikolu L.412-10.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– L-ismijiet użati biex jindikaw l-ikel li ġej mill-annimali ma jistgħux jintużaw biex jiddeskrivu, jikkummerċjalizzaw u jippromwovu l-ikel li fih proteini tal-pjanti.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Digriet jistabbilixxi l-ammont ta’ proteini tal-pjanti li jekk jinqabeż, dan l-isem ma jibqax possibbli.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Dan id-digriet jiddefinixxi wkoll il-metodi ta’ applikazzjoni ta’ dan l-Artikolu u s-sanzjonijiet imġarrba f’każ ta’ nuqqas ta’ twettiq ta’ obbligu.”</w:t>
      </w:r>
    </w:p>
    <w:p w:rsidR="007F3528" w:rsidRDefault="007F3528" w:rsidP="008E1D2E">
      <w:pPr>
        <w:jc w:val="both"/>
        <w:rPr>
          <w:rFonts w:ascii="Arial" w:hAnsi="Arial" w:cs="Arial"/>
        </w:rPr>
      </w:pPr>
    </w:p>
    <w:p w:rsidR="008E1D2E" w:rsidRPr="008E1D2E" w:rsidRDefault="008E1D2E" w:rsidP="00ED0627">
      <w:pPr>
        <w:keepNext/>
        <w:keepLines/>
        <w:jc w:val="both"/>
        <w:rPr>
          <w:b/>
          <w:rFonts w:ascii="Arial" w:hAnsi="Arial" w:cs="Arial"/>
        </w:rPr>
      </w:pPr>
      <w:r>
        <w:rPr>
          <w:b/>
          <w:rFonts w:ascii="Arial" w:hAnsi="Arial"/>
        </w:rPr>
        <w:t xml:space="preserve">Artikolu 6</w:t>
      </w:r>
    </w:p>
    <w:p w:rsidR="008E1D2E" w:rsidRDefault="008E1D2E" w:rsidP="008E1D2E">
      <w:pPr>
        <w:jc w:val="both"/>
        <w:rPr>
          <w:rFonts w:ascii="Arial" w:hAnsi="Arial" w:cs="Arial"/>
        </w:rPr>
      </w:pPr>
      <w:r>
        <w:rPr>
          <w:rFonts w:ascii="Arial" w:hAnsi="Arial"/>
        </w:rPr>
        <w:t xml:space="preserve">L-Artikolu L.641-19 tal-Kodiċi Rurali u tas-Sajd Marittimu jiġi kkompletat minn paragrafu li jgħid:</w:t>
      </w:r>
    </w:p>
    <w:p w:rsidR="008E1D2E" w:rsidRDefault="008E1D2E" w:rsidP="008E1D2E">
      <w:pPr>
        <w:jc w:val="both"/>
        <w:rPr>
          <w:rFonts w:ascii="Arial" w:hAnsi="Arial" w:cs="Arial"/>
        </w:rPr>
      </w:pPr>
      <w:r>
        <w:rPr>
          <w:rFonts w:ascii="Arial" w:hAnsi="Arial"/>
        </w:rPr>
        <w:t xml:space="preserve">“Għall-ġobniet tar-razzett”, fejn il-proċess ta’ raffinar isir barra mill-azjenda f’konformità mal-użi tradizzjonali, trid tiġi pprovduta informazzjoni għall-konsumatur li tikkomplementa r-rimarki previsti fl-ewwel paragrafu skont il-modalitajiet stabbiliti b’Digriet.”</w:t>
      </w:r>
    </w:p>
    <w:p w:rsidR="007F3528" w:rsidRDefault="007F3528" w:rsidP="008E1D2E">
      <w:pPr>
        <w:jc w:val="both"/>
        <w:rPr>
          <w:rFonts w:ascii="Arial" w:hAnsi="Arial" w:cs="Arial"/>
        </w:rPr>
      </w:pPr>
    </w:p>
    <w:p w:rsidR="008E1D2E" w:rsidRPr="008E1D2E" w:rsidRDefault="008E1D2E" w:rsidP="00ED0627">
      <w:pPr>
        <w:keepNext/>
        <w:keepLines/>
        <w:jc w:val="both"/>
        <w:rPr>
          <w:b/>
          <w:rFonts w:ascii="Arial" w:hAnsi="Arial" w:cs="Arial"/>
        </w:rPr>
      </w:pPr>
      <w:r>
        <w:rPr>
          <w:b/>
          <w:rFonts w:ascii="Arial" w:hAnsi="Arial"/>
        </w:rPr>
        <w:t xml:space="preserve">Artikolu 8</w:t>
      </w:r>
    </w:p>
    <w:p w:rsidR="008E1D2E" w:rsidRDefault="008E1D2E" w:rsidP="008E1D2E">
      <w:pPr>
        <w:jc w:val="both"/>
        <w:rPr>
          <w:rFonts w:ascii="Arial" w:hAnsi="Arial" w:cs="Arial"/>
        </w:rPr>
      </w:pPr>
      <w:r>
        <w:rPr>
          <w:rFonts w:ascii="Arial" w:hAnsi="Arial"/>
        </w:rPr>
        <w:t xml:space="preserve">I. – Is-Sezzjoni 2 tal-Kapitolu II tat-Titolu I tal-Ktieb IV tal-Kondiċi tal-Konsumatur hija kkompletata mill-Artikolu L.412-9L.412-11 li jgħid hekk:</w:t>
      </w:r>
    </w:p>
    <w:p w:rsidR="008E1D2E" w:rsidRDefault="008E1D2E" w:rsidP="008E1D2E">
      <w:pPr>
        <w:jc w:val="both"/>
        <w:rPr>
          <w:rFonts w:ascii="Arial" w:hAnsi="Arial" w:cs="Arial"/>
        </w:rPr>
      </w:pPr>
      <w:r>
        <w:rPr>
          <w:rFonts w:ascii="Arial" w:hAnsi="Arial"/>
        </w:rPr>
        <w:t xml:space="preserve">“L.412-11. – L-operaturi ta’ stabbilimenti li għandhom liċenzja li jbigħu xorb biex jiġi kkunsmat fil-post jew biex jittieħed id-dar jew liċenzja ta’ ristorant għandhom jindikaw, b’mod li jinqara, fil-menus tagħhom jew fuq kwalunkwe mezz ieħor, il-provenjenza u, jekk ikun neċessarju, l-isem tad-denominazzjoni ta’ oriġini protetta jew tal-indikazzjoni ġeografika protetta tal-inbejjed li jitpoġġew għall-bejgħ fi flixkun, buqar jew tazza.”</w:t>
      </w:r>
    </w:p>
    <w:p w:rsidR="008E1D2E" w:rsidRDefault="008E1D2E" w:rsidP="008E1D2E">
      <w:pPr>
        <w:jc w:val="both"/>
        <w:rPr>
          <w:rFonts w:ascii="Arial" w:hAnsi="Arial" w:cs="Arial"/>
        </w:rPr>
      </w:pPr>
      <w:r>
        <w:rPr>
          <w:rFonts w:ascii="Arial" w:hAnsi="Arial"/>
        </w:rPr>
        <w:t xml:space="preserve">II.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- Il-I ta’ dan l-Artikolu jidħol fis-seħħ fl-1 ta’ Ġunju 2020.</w:t>
      </w:r>
    </w:p>
    <w:p w:rsidR="007F3528" w:rsidRDefault="007F3528" w:rsidP="008E1D2E">
      <w:pPr>
        <w:jc w:val="both"/>
        <w:rPr>
          <w:rFonts w:ascii="Arial" w:hAnsi="Arial" w:cs="Arial"/>
        </w:rPr>
      </w:pPr>
    </w:p>
    <w:p w:rsidR="007F3528" w:rsidRDefault="007F3528" w:rsidP="00ED0627">
      <w:pPr>
        <w:keepNext/>
        <w:keepLines/>
        <w:jc w:val="both"/>
        <w:rPr>
          <w:b/>
          <w:rFonts w:ascii="Arial" w:hAnsi="Arial" w:cs="Arial"/>
        </w:rPr>
      </w:pPr>
      <w:r>
        <w:rPr>
          <w:b/>
          <w:rFonts w:ascii="Arial" w:hAnsi="Arial"/>
        </w:rPr>
        <w:t xml:space="preserve">Artikolu 9</w:t>
      </w:r>
    </w:p>
    <w:p w:rsidR="007F3528" w:rsidRDefault="007F3528" w:rsidP="008E1D2E">
      <w:pPr>
        <w:jc w:val="both"/>
        <w:rPr>
          <w:rFonts w:ascii="Arial" w:hAnsi="Arial" w:cs="Arial"/>
        </w:rPr>
      </w:pPr>
      <w:r>
        <w:rPr>
          <w:rFonts w:ascii="Arial" w:hAnsi="Arial"/>
        </w:rPr>
        <w:t xml:space="preserve">It-Taqsima 2 tal-Kapitolu II tat-Titolu I tal-Ktieb IV tal-Kodiċi tal-Konsumatur hija kkompletata mill-Artikolu L.412-12 li jgħid hekk:</w:t>
      </w:r>
    </w:p>
    <w:p w:rsidR="007F3528" w:rsidRPr="007F3528" w:rsidRDefault="007F3528" w:rsidP="008E1D2E">
      <w:pPr>
        <w:jc w:val="both"/>
        <w:rPr>
          <w:rFonts w:ascii="Arial" w:hAnsi="Arial" w:cs="Arial"/>
        </w:rPr>
      </w:pPr>
      <w:r>
        <w:rPr>
          <w:rFonts w:ascii="Arial" w:hAnsi="Arial"/>
        </w:rPr>
        <w:t xml:space="preserve">“Artikolu L.412-12.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– L-isem u l-indirizz tal-produttur tal-birra għandhom jiġu indikati b’mod espliċitu fuq it-tikketta b’tali mod li ma jqarraqx bil-konsumatur fir-rigward tal-oriġini tal-birra, bi kwalunkwe mod, inkluż minħabba l-preżentazzjoni ġenerali tat-tikketta.</w:t>
      </w:r>
      <w:r>
        <w:rPr>
          <w:rFonts w:ascii="Arial" w:hAnsi="Arial"/>
        </w:rPr>
        <w:t xml:space="preserve"> </w:t>
      </w:r>
      <w:r>
        <w:rPr>
          <w:rFonts w:ascii="Arial" w:hAnsi="Arial"/>
        </w:rPr>
        <w:t xml:space="preserve">”</w:t>
      </w:r>
    </w:p>
    <w:sectPr w:rsidR="007F3528" w:rsidRPr="007F35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oNotHyphenateCaps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D2E"/>
    <w:rsid w:val="005C36B3"/>
    <w:rsid w:val="007606BC"/>
    <w:rsid w:val="007F3528"/>
    <w:rsid w:val="008E1D2E"/>
    <w:rsid w:val="00BC7E60"/>
    <w:rsid w:val="00D83FCF"/>
    <w:rsid w:val="00EC1FD0"/>
    <w:rsid w:val="00ED0627"/>
    <w:rsid w:val="00F305D0"/>
    <w:rsid w:val="00F84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89A8E3-CCB1-44D8-880B-71115CDE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mt-M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1D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3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DGCCRF</Company>
  <LinksUpToDate>false</LinksUpToDate>
  <CharactersWithSpaces>4155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Ke, Tingting</cp:lastModifiedBy>
  <cp:revision>1</cp:revision>
  <dcterms:created xsi:type="dcterms:W3CDTF">2020-06-03T17:11:00Z</dcterms:created>
  <dcterms:modified xsi:type="dcterms:W3CDTF">2020-06-05T09:01:00Z</dcterms:modified>
</cp:coreProperties>
</file>