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PL-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Ustawa o przejrzystości informacji na temat produktów rolno-spożywczych (tekst ostateczny przyjęty przez Zgromadzenie Narodowe w dniu 27 maja 2020 r.)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–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Przepisy ustawy będące przedmiotem powiadomienia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art. L. 412-1 kodeksu konsumentów wprowadza się następujące zmiany: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1° po ust. I pkt 3 dodaje się pkt 3</w:t>
      </w:r>
      <w:r>
        <w:rPr>
          <w:rFonts w:ascii="Arial" w:hAnsi="Arial"/>
        </w:rPr>
        <w:t xml:space="preserve">bis</w:t>
      </w:r>
      <w:r>
        <w:rPr>
          <w:rFonts w:ascii="Arial" w:hAnsi="Arial"/>
        </w:rPr>
        <w:t xml:space="preserve"> w brzmieniu: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„3bis. W przypadku wszelkiego rodzaju oświadczeń dotyczących środków spożywczych paczkowanych zasady ogólnego udostępniania online odpowiednich informacji przez osobę odpowiedzialną za pierwsze wprowadzenie do obrotu, na warunkach przewidzianych w księdze III kodeksu relacji między obywatelami a administracją;”;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2° w ust. II dodaje się akapit w brzmieniu: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„W przypadku informacji, o których mowa w ust. I pkt 3bis, w dekretach tych określa się w szczególności miejsce udostępnienia i format danych w taki sposób, aby stworzyć otwartą bazę danych, dostępną dla wszystkich użytkowników, i umożliwić swobodne ponowne wykorzystywanie tych danych”.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2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Po akapicie pierwszym w art. L.412-4 kodeksu konsumentów dodaje się trzy akapity w brzmieniu: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„W przypadku produktów zawierających kakao w stanie surowym lub przetworzonym, przeznaczonych do spożycia przez ludzi, wskazanie kraju pochodzenia również jest obowiązkowe.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przypadku miodu w postaci mieszanki miodów pochodzących z więcej niż jednego państwa członkowskiego Unii Europejskiej lub państwa trzeciego podaje się wszystkie państwa pochodzenia i zbioru miodu wagowo, w porządku malejącym.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Akapit trzeci ma również zastosowanie do mleczka pszczelego.”.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Ustęp I niniejszego artykułu wchodzi w życie w dniu 1 stycznia 2021 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tego dnia produkty wcześniej wytworzone lub sprzedawane zgodnie z prawem, których etykieta nie jest zgodna z art. L.412-4 akapit trzeci kodeksu konsumentów, w brzmieniu wynikającym z niniejszego artykułu, mogą być sprzedawane lub dystrybuowane nieodpłatnie do wyczerpania zapasów.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księdze IV tytuł I rozdział II sekcja 2 kodeksu konsumentów dodaje się art. L.412-10 w brzmieniu: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„Artykuł L.412-10.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Nazwy używane do oznaczenia środków spożywczych pochodzenia zwierzęcego nie mogą być wykorzystywane do opisu, sprzedaży lub promowania środków spożywczych zawierających białko roślinne.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Zawartość białka uniemożliwiająca używanie takich nazw jest określana w drodze dekretu.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Dekret ten określa również zasady stosowania niniejszego artykułu i kary nakładane w przypadku naruszenia jego przepisów.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art. L.641-19 kodeksu rybołówstwa morskiego dodaje się akapit w brzmieniu: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„W przypadku serów produkowanych w gospodarstwie, jeżeli proces dojrzewania odbywa się poza gospodarstwem zgodnie z tradycyjnymi metodami, oświadczenia przewidziane w akapicie pierwszym należy uzupełnić informacją dla konsumenta zgodnie z zasadami określonymi w dekrecie.”.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W księdze IV tytuł I rozdział II sekcja 2 kodeksu konsumentów dodaje się art. L.412-11 w brzmieniu: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„L.412-11. – Podmioty posiadające zezwolenie na sprzedaż alkoholu spożywanego na miejscu lub na wynos lub zezwolenie na prowadzenie restauracji podają w sposób czytelny, w karcie lub na innym nośniku, pochodzenie i, w stosownym przypadku, chronioną nazwę pochodzenia lub chronione oznaczenie geograficzne win sprzedawanych w butelkach, na dzbanki lub na kieliszki.”.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Ustęp I niniejszego artykułu wchodzi w życie w dniu 1 czerwca 2020 r.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Artykuł 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księdze IV tytuł I rozdział II sekcja 2 kodeksu konsumentów dodaje się art. L.412-12 w brzmieniu: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„Artykuł L.412-12.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Nazwę i adres producenta piwa podaje się na etykiecie w sposób uniemożliwiający wprowadzenie konsumenta w błąd co do pochodzenia piwa, na przykład z powodu ogólnej prezentacji etykiety.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”.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