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F13139" w:rsidRDefault="00691C7A" w:rsidP="00691C7A">
      <w:pPr>
        <w:pStyle w:val="02BDGesBlatt"/>
        <w:rPr>
          <w:szCs w:val="70"/>
        </w:rPr>
      </w:pPr>
      <w:r w:rsidRPr="00F13139">
        <w:rPr>
          <w:szCs w:val="70"/>
        </w:rPr>
        <w:t>AUSTRIA VABARIIGI</w:t>
      </w:r>
    </w:p>
    <w:p w14:paraId="0D804031" w14:textId="77777777" w:rsidR="00691C7A" w:rsidRPr="00E61BFF" w:rsidRDefault="00691C7A" w:rsidP="00691C7A">
      <w:pPr>
        <w:pStyle w:val="03RepOesterr"/>
      </w:pPr>
      <w:r>
        <w:t>AMETLIK VÄLJAANNE</w:t>
      </w:r>
    </w:p>
    <w:p w14:paraId="0C2B5A57" w14:textId="77777777" w:rsidR="00691C7A" w:rsidRPr="00E61BFF" w:rsidRDefault="00691C7A" w:rsidP="00691C7A">
      <w:pPr>
        <w:pStyle w:val="04AusgabeDaten"/>
      </w:pPr>
      <w:r>
        <w:t>Aasta 2020</w:t>
      </w:r>
      <w:r>
        <w:tab/>
        <w:t>Välja antud 23. detsembril 2020</w:t>
      </w:r>
      <w:r>
        <w:tab/>
        <w:t>I osa</w:t>
      </w:r>
    </w:p>
    <w:p w14:paraId="76357A78" w14:textId="77777777" w:rsidR="00691C7A" w:rsidRPr="00E61BFF" w:rsidRDefault="00691C7A" w:rsidP="00691C7A">
      <w:pPr>
        <w:pStyle w:val="05Kurztitel"/>
      </w:pPr>
      <w:r>
        <w:t>148. Föderaalõigus:</w:t>
      </w:r>
      <w:r>
        <w:tab/>
        <w:t>Internetis vaenu vastu võitlemise seadus – HiNBG</w:t>
      </w:r>
    </w:p>
    <w:p w14:paraId="7CA836A4" w14:textId="77777777" w:rsidR="00691C7A" w:rsidRDefault="00691C7A" w:rsidP="00691C7A">
      <w:pPr>
        <w:pStyle w:val="05Kurztitel"/>
      </w:pPr>
      <w:r>
        <w:tab/>
        <w:t>(NR: GP XXVII RV 481 ALATES 516 LK 69. BR: 10456 AB 10523, lk 917.)</w:t>
      </w:r>
    </w:p>
    <w:p w14:paraId="5C4524E4" w14:textId="77777777" w:rsidR="004C001D" w:rsidRPr="00E61BFF" w:rsidRDefault="004C001D" w:rsidP="00691C7A">
      <w:pPr>
        <w:pStyle w:val="05Kurztitel"/>
      </w:pPr>
      <w:r>
        <w:tab/>
        <w:t>[CELEXi nr: 32011L0093, 32012L0029, 32017L0541]</w:t>
      </w:r>
    </w:p>
    <w:p w14:paraId="63A52DA5" w14:textId="77777777" w:rsidR="004C59F5" w:rsidRPr="00E61BFF" w:rsidRDefault="00691C7A" w:rsidP="000B6E75">
      <w:pPr>
        <w:pStyle w:val="11Titel"/>
      </w:pPr>
      <w:r>
        <w:t>148. Föderaalseadus, millega võetakse tsiviilõiguslikke ja tsiviilkohtumenetluslikke meetmeid internetis vaenu vastu võitlemiseks (internetis vaenu vastu võitlemise seadus [Hass-</w:t>
      </w:r>
      <w:r>
        <w:noBreakHyphen/>
        <w:t>im</w:t>
      </w:r>
      <w:r>
        <w:noBreakHyphen/>
        <w:t>-Netz-Bekämpfungs-Gesetz – HiNBG])</w:t>
      </w:r>
    </w:p>
    <w:p w14:paraId="52D50595" w14:textId="77777777" w:rsidR="004C59F5" w:rsidRPr="00E61BFF" w:rsidRDefault="004C59F5" w:rsidP="000B6E75">
      <w:pPr>
        <w:pStyle w:val="12PromKlEinlSatz"/>
      </w:pPr>
      <w:r>
        <w:t>Riiklik nõukogu on otsustanud järgmist:</w:t>
      </w:r>
    </w:p>
    <w:p w14:paraId="5143FB85" w14:textId="77777777" w:rsidR="004C59F5" w:rsidRPr="00E61BFF" w:rsidRDefault="004C59F5" w:rsidP="000B6E75">
      <w:pPr>
        <w:pStyle w:val="31InhaltSpalte"/>
      </w:pPr>
      <w:r>
        <w:t>Sisukord</w:t>
      </w:r>
    </w:p>
    <w:p w14:paraId="381507B7" w14:textId="2B480879" w:rsidR="004C59F5" w:rsidRPr="00E61BFF" w:rsidRDefault="004C59F5" w:rsidP="000B6E75">
      <w:pPr>
        <w:pStyle w:val="32InhaltEintragEinzug"/>
      </w:pPr>
      <w:r>
        <w:tab/>
        <w:t>Artikkel</w:t>
      </w:r>
      <w:r w:rsidR="00F13139">
        <w:tab/>
        <w:t xml:space="preserve">1 </w:t>
      </w:r>
      <w:r>
        <w:t>Austria tsiviilseadustiku muutmine</w:t>
      </w:r>
    </w:p>
    <w:p w14:paraId="19D5CEA0" w14:textId="30E6E9A0" w:rsidR="004C59F5" w:rsidRPr="00E61BFF" w:rsidRDefault="004C59F5" w:rsidP="000B6E75">
      <w:pPr>
        <w:pStyle w:val="32InhaltEintragEinzug"/>
      </w:pPr>
      <w:r>
        <w:tab/>
        <w:t>Artikkel</w:t>
      </w:r>
      <w:r w:rsidR="00F13139">
        <w:tab/>
        <w:t xml:space="preserve">2 </w:t>
      </w:r>
      <w:r>
        <w:t>Austria tsiviilseadustiku muutmine</w:t>
      </w:r>
    </w:p>
    <w:p w14:paraId="3A648D1E" w14:textId="2413CB19" w:rsidR="004C59F5" w:rsidRPr="00E61BFF" w:rsidRDefault="004C59F5" w:rsidP="000B6E75">
      <w:pPr>
        <w:pStyle w:val="32InhaltEintragEinzug"/>
      </w:pPr>
      <w:r>
        <w:tab/>
        <w:t>Artikkel</w:t>
      </w:r>
      <w:r w:rsidR="00F13139">
        <w:tab/>
        <w:t xml:space="preserve">3 </w:t>
      </w:r>
      <w:r>
        <w:t>Austria tsiviilseadustiku muutmine</w:t>
      </w:r>
    </w:p>
    <w:p w14:paraId="3E868C31" w14:textId="33332538" w:rsidR="004C59F5" w:rsidRPr="00E61BFF" w:rsidRDefault="004C59F5" w:rsidP="000B6E75">
      <w:pPr>
        <w:pStyle w:val="32InhaltEintragEinzug"/>
      </w:pPr>
      <w:r>
        <w:tab/>
        <w:t>Artikkel</w:t>
      </w:r>
      <w:r w:rsidR="00F13139">
        <w:tab/>
        <w:t xml:space="preserve">4 </w:t>
      </w:r>
      <w:r>
        <w:t>Austria tsiviilseadustiku muutmine</w:t>
      </w:r>
    </w:p>
    <w:p w14:paraId="4ABD1AE7" w14:textId="7F873F19" w:rsidR="004C59F5" w:rsidRPr="00E61BFF" w:rsidRDefault="004C59F5" w:rsidP="000B6E75">
      <w:pPr>
        <w:pStyle w:val="32InhaltEintragEinzug"/>
      </w:pPr>
      <w:r>
        <w:tab/>
        <w:t>Artikkel</w:t>
      </w:r>
      <w:r w:rsidR="00F13139">
        <w:tab/>
        <w:t xml:space="preserve">5 </w:t>
      </w:r>
      <w:r>
        <w:t>Austria tsiviilseadustiku muutmine</w:t>
      </w:r>
    </w:p>
    <w:p w14:paraId="53BDE75C" w14:textId="2AE33C0A" w:rsidR="004C59F5" w:rsidRPr="00E61BFF" w:rsidRDefault="004C59F5" w:rsidP="000B6E75">
      <w:pPr>
        <w:pStyle w:val="32InhaltEintragEinzug"/>
      </w:pPr>
      <w:r>
        <w:tab/>
        <w:t>Artikkel</w:t>
      </w:r>
      <w:r w:rsidR="00F13139">
        <w:tab/>
        <w:t xml:space="preserve">6 </w:t>
      </w:r>
      <w:r>
        <w:t>Austria tsiviilseadustiku muutmine</w:t>
      </w:r>
    </w:p>
    <w:p w14:paraId="37618D4A" w14:textId="3715F6B7" w:rsidR="004C59F5" w:rsidRPr="00E61BFF" w:rsidRDefault="004C59F5" w:rsidP="000B6E75">
      <w:pPr>
        <w:pStyle w:val="32InhaltEintragEinzug"/>
      </w:pPr>
      <w:r>
        <w:tab/>
        <w:t>Artikkel</w:t>
      </w:r>
      <w:r w:rsidR="00F13139">
        <w:tab/>
        <w:t xml:space="preserve">7 </w:t>
      </w:r>
      <w:r>
        <w:t>Austria tsiviilseadustiku muutmine</w:t>
      </w:r>
    </w:p>
    <w:p w14:paraId="347613B2" w14:textId="0358D05B" w:rsidR="004C59F5" w:rsidRPr="00E61BFF" w:rsidRDefault="004C59F5" w:rsidP="000B6E75">
      <w:pPr>
        <w:pStyle w:val="32InhaltEintragEinzug"/>
      </w:pPr>
      <w:r>
        <w:tab/>
        <w:t>Artikkel</w:t>
      </w:r>
      <w:r w:rsidR="00F13139">
        <w:tab/>
        <w:t xml:space="preserve">8 </w:t>
      </w:r>
      <w:r>
        <w:t>Kriminaalkoodeksi muutmine</w:t>
      </w:r>
    </w:p>
    <w:p w14:paraId="30DE55E7" w14:textId="4A15FEF9" w:rsidR="004C59F5" w:rsidRPr="00E61BFF" w:rsidRDefault="004C59F5" w:rsidP="000B6E75">
      <w:pPr>
        <w:pStyle w:val="32InhaltEintragEinzug"/>
      </w:pPr>
      <w:r>
        <w:tab/>
        <w:t>Artikkel</w:t>
      </w:r>
      <w:r w:rsidR="00F13139">
        <w:tab/>
        <w:t xml:space="preserve">9 </w:t>
      </w:r>
      <w:r>
        <w:t>Meediaseaduse muutmine</w:t>
      </w:r>
    </w:p>
    <w:p w14:paraId="5C924845" w14:textId="2BA2E406" w:rsidR="004C59F5" w:rsidRPr="00E61BFF" w:rsidRDefault="004C59F5" w:rsidP="000B6E75">
      <w:pPr>
        <w:pStyle w:val="32InhaltEintragEinzug"/>
      </w:pPr>
      <w:r>
        <w:tab/>
        <w:t>Artikkel</w:t>
      </w:r>
      <w:r w:rsidR="00F13139">
        <w:tab/>
        <w:t xml:space="preserve">10 </w:t>
      </w:r>
      <w:r>
        <w:t>1975. aasta kriminaalmenetluse seadustiku muutmine</w:t>
      </w:r>
    </w:p>
    <w:p w14:paraId="72EB7899" w14:textId="2CE7BF34" w:rsidR="004C59F5" w:rsidRPr="00E61BFF" w:rsidRDefault="004C59F5" w:rsidP="000B6E75">
      <w:pPr>
        <w:pStyle w:val="32InhaltEintragEinzug"/>
      </w:pPr>
      <w:r>
        <w:tab/>
        <w:t>Artikkel</w:t>
      </w:r>
      <w:r>
        <w:tab/>
      </w:r>
      <w:r w:rsidR="00F13139">
        <w:t xml:space="preserve">11 </w:t>
      </w:r>
      <w:r>
        <w:t>Jõustumine</w:t>
      </w:r>
    </w:p>
    <w:p w14:paraId="4E7E773F" w14:textId="1AAE7703" w:rsidR="004C59F5" w:rsidRPr="00E61BFF" w:rsidRDefault="004C59F5" w:rsidP="000B6E75">
      <w:pPr>
        <w:pStyle w:val="32InhaltEintragEinzug"/>
      </w:pPr>
      <w:r>
        <w:tab/>
        <w:t>Artikkel</w:t>
      </w:r>
      <w:r w:rsidR="00F13139">
        <w:tab/>
      </w:r>
      <w:r>
        <w:t>12 Teatamine</w:t>
      </w:r>
    </w:p>
    <w:p w14:paraId="64B19ADB" w14:textId="77777777" w:rsidR="004C59F5" w:rsidRPr="00E61BFF" w:rsidRDefault="004C59F5" w:rsidP="000B6E75">
      <w:pPr>
        <w:pStyle w:val="41UeberschrG1"/>
      </w:pPr>
      <w:r>
        <w:t>Artikkel 1</w:t>
      </w:r>
    </w:p>
    <w:p w14:paraId="0C8E9DC7" w14:textId="77777777" w:rsidR="004C59F5" w:rsidRPr="00E61BFF" w:rsidRDefault="004C59F5" w:rsidP="000B6E75">
      <w:pPr>
        <w:pStyle w:val="43UeberschrG2"/>
      </w:pPr>
      <w:r>
        <w:t>Austria tsiviilseadustikku muudatus</w:t>
      </w:r>
    </w:p>
    <w:p w14:paraId="56478314" w14:textId="77777777" w:rsidR="004C59F5" w:rsidRPr="00E61BFF" w:rsidRDefault="004C59F5" w:rsidP="000B6E75">
      <w:pPr>
        <w:pStyle w:val="12PromKlEinlSatz"/>
      </w:pPr>
      <w:r>
        <w:t>Austria tsiviilseadustikku, ABGB JGS nr 946/1811, viimati muudetud föderaalseadusega, Austra ametlik väljaanne, I osa, nr 16/2020, muudetakse järgnevalt.</w:t>
      </w:r>
    </w:p>
    <w:p w14:paraId="107C816B" w14:textId="77777777" w:rsidR="004C59F5" w:rsidRPr="00E61BFF" w:rsidRDefault="004C59F5" w:rsidP="000B6E75">
      <w:pPr>
        <w:pStyle w:val="21NovAo1"/>
      </w:pPr>
      <w:r>
        <w:t>1. § 17 järele lisatakse järgmine § 17a pealkirjaga:</w:t>
      </w:r>
    </w:p>
    <w:p w14:paraId="137D8F9C" w14:textId="77777777" w:rsidR="004C59F5" w:rsidRPr="00E61BFF" w:rsidRDefault="004C59F5" w:rsidP="000B6E75">
      <w:pPr>
        <w:pStyle w:val="45UeberschrPara"/>
      </w:pPr>
      <w:r>
        <w:t>„Isikuõiguste kasutamine</w:t>
      </w:r>
    </w:p>
    <w:p w14:paraId="52FB0DD1" w14:textId="77777777" w:rsidR="004C59F5" w:rsidRPr="00E61BFF" w:rsidRDefault="004C59F5" w:rsidP="000B6E75">
      <w:pPr>
        <w:pStyle w:val="51Abs"/>
      </w:pPr>
      <w:r>
        <w:rPr>
          <w:rStyle w:val="991GldSymbol"/>
        </w:rPr>
        <w:t>§ 17a.</w:t>
      </w:r>
      <w:r>
        <w:t xml:space="preserve"> 1) Isikuõigusi ei saa sisuliselt edasi anda.</w:t>
      </w:r>
    </w:p>
    <w:p w14:paraId="044DE2F8" w14:textId="77777777" w:rsidR="004C59F5" w:rsidRPr="00E61BFF" w:rsidRDefault="004C59F5" w:rsidP="000B6E75">
      <w:pPr>
        <w:pStyle w:val="51Abs"/>
      </w:pPr>
      <w:r>
        <w:t>2) Isikliku õiguse sekkumisega võib nõustuda ainult niivõrd, kuivõrd see ei ole vastuolus avalike moraalipõhimõtetega. Nõusoleku isikuõiguse põhivaldkonda sekkumiseks võib anda üksnes isikuõiguse otsuseid tegev kandja ise, kui seaduses ei ole sätestatud teisiti.</w:t>
      </w:r>
    </w:p>
    <w:p w14:paraId="3B0907FB" w14:textId="77777777" w:rsidR="004C59F5" w:rsidRPr="00E61BFF" w:rsidRDefault="004C59F5" w:rsidP="000B6E75">
      <w:pPr>
        <w:pStyle w:val="51Abs"/>
      </w:pPr>
      <w:r>
        <w:t>3) Inimese isikuõigused jätkuvad ka pärast surma teda mälestades. Mälestuse kahjustamist võivad nõuda surnud isiku esimese astme sugulased, üleelanud abikaasa, registreeritud partner või elukaaslane, teised sugulased ülenevas või alanevas liinis alles kümne aasta jooksul pärast surmaaasta lõppu. Igal juhul on lubatud üldistes huvides sekkumine arhiiveerimise, teaduse ja kunstiga seotud eesmärkidel.“</w:t>
      </w:r>
    </w:p>
    <w:p w14:paraId="6483F163" w14:textId="77777777" w:rsidR="004C59F5" w:rsidRPr="00E61BFF" w:rsidRDefault="004C59F5" w:rsidP="000B6E75">
      <w:pPr>
        <w:pStyle w:val="21NovAo1"/>
      </w:pPr>
      <w:r>
        <w:t>2. § 20 koos pealkirjaga sõnastatakse:</w:t>
      </w:r>
    </w:p>
    <w:p w14:paraId="34D04E90" w14:textId="77777777" w:rsidR="004C59F5" w:rsidRPr="00E61BFF" w:rsidRDefault="004C59F5" w:rsidP="000B6E75">
      <w:pPr>
        <w:pStyle w:val="45UeberschrPara"/>
      </w:pPr>
      <w:r>
        <w:t>„Ettekirjutuse tegemise ja kõrvaldamise õigus</w:t>
      </w:r>
    </w:p>
    <w:p w14:paraId="3662BDDC" w14:textId="77777777" w:rsidR="004C59F5" w:rsidRPr="00E61BFF" w:rsidRDefault="004C59F5" w:rsidP="000B6E75">
      <w:pPr>
        <w:pStyle w:val="51Abs"/>
      </w:pPr>
      <w:r>
        <w:rPr>
          <w:rStyle w:val="991GldSymbol"/>
        </w:rPr>
        <w:t>§ 20.</w:t>
      </w:r>
      <w:r>
        <w:t xml:space="preserve"> 1) Isik, kelle isikuõigusi on rikutud või kellel on põhjust sellist rikkumist otseselt karta, võib kohtusse kaevata ettekirjutuse tegemiseks ja õigusvastase olukorra kõrvaldamiseks. Ettekirjutuse tegemise </w:t>
      </w:r>
      <w:r>
        <w:lastRenderedPageBreak/>
        <w:t>õigus hõlmab ka õigust heastada mis tahes olukorda, mis on vastuolus ettekirjutuse tegemise kohustusega. § 17a lõike 3 tingimustel võivad kohtusse kaevata ka selles nimetatud isikud.</w:t>
      </w:r>
    </w:p>
    <w:p w14:paraId="051A68B5" w14:textId="77777777" w:rsidR="004C59F5" w:rsidRPr="00E61BFF" w:rsidRDefault="004C59F5" w:rsidP="000B6E75">
      <w:pPr>
        <w:pStyle w:val="51Abs"/>
      </w:pPr>
      <w:r>
        <w:t>2) Kui meedias on seoses töötaja tegevusega rikutud töötaja mainet või eraelu puutumatust ning see käitumine ei kahjusta tõenäoliselt olulisel määral tööandja võimet töötajat tööle saata või kui tööandja maine on tõsiselt kahjustatud, on tööandjal hoolimata töötaja nõudest õigus ettekirjutuse tegemiseks ja kõrvaldamiseks. Sama kehtib vabatahtlike ja organisatsiooni organite kohta. Tööandja nõude kinnitamine ei ole seotud töötaja nõusolekuga. Tööandjal ei ole kohustust esitada seaduslikku nõuet töötajat puudutavate isikuõiguste rikkumise kohta, eelkõige tööõigusest tuleneva hoolsuskohustuse tõttu.</w:t>
      </w:r>
    </w:p>
    <w:p w14:paraId="612F9BAD" w14:textId="77777777" w:rsidR="004C59F5" w:rsidRPr="00E61BFF" w:rsidRDefault="004C59F5" w:rsidP="000B6E75">
      <w:pPr>
        <w:pStyle w:val="51Abs"/>
      </w:pPr>
      <w:r>
        <w:t>3) Kui isik, kes on isikuõigusi rikkunud või keda ähvardab selline rikkumine, kasutab vahendaja teenuseid, saab vahendajat kohtusse kaevata ka ettekirjutuse tegemiseks ja kõrvaldamiseks. Kui vahendaja vastab vastutuse välistamise tingimustele vastavalt e</w:t>
      </w:r>
      <w:r>
        <w:noBreakHyphen/>
        <w:t>kaubanduse seadusele, saab teda kohtusse kaevata alles pärast hoiatust.“ Teenuseosutajaid ei käsitleta selle sätte tähenduses vahendajatena e</w:t>
      </w:r>
      <w:r>
        <w:noBreakHyphen/>
        <w:t>kaubanduse seaduse paragrahvi 13 kohaselt.“</w:t>
      </w:r>
    </w:p>
    <w:p w14:paraId="7A743754" w14:textId="77777777" w:rsidR="004C59F5" w:rsidRPr="00E61BFF" w:rsidRDefault="004C59F5" w:rsidP="00431A52">
      <w:pPr>
        <w:pStyle w:val="22NovAo2"/>
      </w:pPr>
      <w:r>
        <w:t xml:space="preserve">3. Paragrahvi 1328a lõikesse 2 lisatakse sõnad </w:t>
      </w:r>
      <w:r>
        <w:rPr>
          <w:i w:val="0"/>
        </w:rPr>
        <w:t>„on suunatud“</w:t>
      </w:r>
      <w:r>
        <w:t xml:space="preserve">; lisatakse teise lausesse pärast sõnastust </w:t>
      </w:r>
      <w:r>
        <w:rPr>
          <w:i w:val="0"/>
        </w:rPr>
        <w:t>„meediaõiguse eest vastutava isiku sekkumise korral“</w:t>
      </w:r>
      <w:r>
        <w:t>.</w:t>
      </w:r>
    </w:p>
    <w:p w14:paraId="577B788A" w14:textId="77777777" w:rsidR="004C59F5" w:rsidRPr="00E61BFF" w:rsidRDefault="004C59F5" w:rsidP="000B6E75">
      <w:pPr>
        <w:pStyle w:val="21NovAo1"/>
      </w:pPr>
      <w:r>
        <w:t>4. § 1503 lisatakse järgmine lõige 16:</w:t>
      </w:r>
    </w:p>
    <w:p w14:paraId="36CC3D0B" w14:textId="77777777" w:rsidR="004C59F5" w:rsidRPr="00E61BFF" w:rsidRDefault="004C59F5" w:rsidP="000B6E75">
      <w:pPr>
        <w:pStyle w:val="51Abs"/>
      </w:pPr>
      <w:r>
        <w:t>„16) § 17a, § 20 ja § 1328a lõige 2 jõustuvad Austria ametlikus väljaandes avaldatud föderaalseaduse I osa nr 148/2020 redaktsioonis 1. jaanuaril 2021. aastal. § 20 lõiget 2 ja § 1328a lõiget 2 kohaldatakse juhtumite suhtes, kus rikkumine pandi toime pärast 31. detsembrit 2020.“</w:t>
      </w:r>
    </w:p>
    <w:p w14:paraId="544EB2F3" w14:textId="77777777" w:rsidR="004C59F5" w:rsidRPr="00E61BFF" w:rsidRDefault="004C59F5" w:rsidP="000B6E75">
      <w:pPr>
        <w:pStyle w:val="41UeberschrG1"/>
      </w:pPr>
      <w:r>
        <w:t>Artikkel 2</w:t>
      </w:r>
      <w:r>
        <w:br/>
        <w:t>Kohtualluvuse seaduse muutmine</w:t>
      </w:r>
    </w:p>
    <w:p w14:paraId="6708F222" w14:textId="77777777" w:rsidR="004C59F5" w:rsidRPr="00E61BFF" w:rsidRDefault="004C59F5" w:rsidP="000B6E75">
      <w:pPr>
        <w:pStyle w:val="12PromKlEinlSatz"/>
      </w:pPr>
      <w:r>
        <w:t xml:space="preserve">Kohtualluvuse seadust, Austria ametlik väljaanne, nr 111/1895, viimati muudetud föderaalseadusega Austria ametlikus väljaandes, I osa, nr 61/2019, muudetakse järgnevalt. </w:t>
      </w:r>
    </w:p>
    <w:p w14:paraId="5D3E0327" w14:textId="77777777" w:rsidR="004C59F5" w:rsidRPr="00E61BFF" w:rsidRDefault="004C59F5" w:rsidP="000B6E75">
      <w:pPr>
        <w:pStyle w:val="21NovAo1"/>
      </w:pPr>
      <w:r>
        <w:t>1. Punkti 5 ja 6 järele muudetakse paragrahvi 49 lõiget 2 järgmiselt:</w:t>
      </w:r>
    </w:p>
    <w:p w14:paraId="2F0BD239" w14:textId="77777777" w:rsidR="004C59F5" w:rsidRPr="00E61BFF" w:rsidRDefault="00431A52" w:rsidP="00431A52">
      <w:pPr>
        <w:pStyle w:val="52Aufzaehle1Ziffer"/>
      </w:pPr>
      <w:r>
        <w:tab/>
        <w:t>„6.</w:t>
      </w:r>
      <w:r>
        <w:tab/>
        <w:t>Vaidlused vastavalt tsiviilkohtumenetluse seadustiku § 549;“</w:t>
      </w:r>
    </w:p>
    <w:p w14:paraId="738CB37D" w14:textId="77777777" w:rsidR="004C59F5" w:rsidRPr="00E61BFF" w:rsidRDefault="004C59F5" w:rsidP="000B6E75">
      <w:pPr>
        <w:pStyle w:val="21NovAo1"/>
      </w:pPr>
      <w:r>
        <w:t>2. Paragrahvi 59 järele lisatakse järgmine paragrahv 59a:</w:t>
      </w:r>
    </w:p>
    <w:p w14:paraId="77CEB9FE" w14:textId="77777777" w:rsidR="004C59F5" w:rsidRPr="00E61BFF" w:rsidRDefault="004C59F5" w:rsidP="000B6E75">
      <w:pPr>
        <w:pStyle w:val="51Abs"/>
      </w:pPr>
      <w:r>
        <w:t>„</w:t>
      </w:r>
      <w:r>
        <w:rPr>
          <w:rStyle w:val="991GldSymbol"/>
        </w:rPr>
        <w:t>§ 59a.</w:t>
      </w:r>
      <w:r>
        <w:t xml:space="preserve"> Tsiviilkohtumenetluse seadustiku § 549 kohase ettekirjutuse taotluse korral on hagi väärtuseks 5000 eurot.“</w:t>
      </w:r>
    </w:p>
    <w:p w14:paraId="50C24194" w14:textId="77777777" w:rsidR="004C59F5" w:rsidRPr="00E61BFF" w:rsidRDefault="004C59F5" w:rsidP="000B6E75">
      <w:pPr>
        <w:pStyle w:val="21NovAo1"/>
      </w:pPr>
      <w:r>
        <w:t>3. § 122 järele lisatakse järgmine neljas osa:</w:t>
      </w:r>
    </w:p>
    <w:p w14:paraId="475AB1CB" w14:textId="77777777" w:rsidR="004C59F5" w:rsidRPr="00E61BFF" w:rsidRDefault="004C59F5" w:rsidP="000B6E75">
      <w:pPr>
        <w:pStyle w:val="41UeberschrG1"/>
      </w:pPr>
      <w:r>
        <w:t>„Neljas osa</w:t>
      </w:r>
    </w:p>
    <w:p w14:paraId="7D638937" w14:textId="77777777" w:rsidR="004C59F5" w:rsidRPr="00E61BFF" w:rsidRDefault="004C59F5" w:rsidP="000B6E75">
      <w:pPr>
        <w:pStyle w:val="43UeberschrG2"/>
      </w:pPr>
      <w:r>
        <w:t>Jõustumine, lõpp- ja üleminekusätted</w:t>
      </w:r>
    </w:p>
    <w:p w14:paraId="6E940654" w14:textId="77777777" w:rsidR="004C59F5" w:rsidRPr="00E61BFF" w:rsidRDefault="004C59F5" w:rsidP="000B6E75">
      <w:pPr>
        <w:pStyle w:val="51Abs"/>
      </w:pPr>
      <w:r>
        <w:rPr>
          <w:rStyle w:val="991GldSymbol"/>
        </w:rPr>
        <w:t>§ 123.</w:t>
      </w:r>
      <w:r>
        <w:t xml:space="preserve"> § 49 ja § 59a jõustuvad Austria ametlikus väljaandes avaldatud föderaalseaduse I osa nr 148/2020 redaktsioonis 1. jaanuaril 2021 ja neid tuleb selles redaktsioonis rakendada pärast 31. detsembrit 2020 esitatud hagide suhtes.“</w:t>
      </w:r>
    </w:p>
    <w:p w14:paraId="3FC3AE64" w14:textId="77777777" w:rsidR="004C59F5" w:rsidRPr="00E61BFF" w:rsidRDefault="004C59F5" w:rsidP="000B6E75">
      <w:pPr>
        <w:pStyle w:val="41UeberschrG1"/>
      </w:pPr>
      <w:r>
        <w:t>Artikkel 3</w:t>
      </w:r>
      <w:r>
        <w:br/>
        <w:t>Tsiviilkohtumenetluse seadustiku muutmine</w:t>
      </w:r>
    </w:p>
    <w:p w14:paraId="6E1975CB" w14:textId="77777777" w:rsidR="004C59F5" w:rsidRPr="00E61BFF" w:rsidRDefault="004C59F5" w:rsidP="000B6E75">
      <w:pPr>
        <w:pStyle w:val="12PromKlEinlSatz"/>
      </w:pPr>
      <w:r>
        <w:t xml:space="preserve">Tsiviilkohtumenetluse seadustikku, Austria ametlik väljaanne, nr 113/1895, viimati muudetud föderaalseadusega Austria ametlikus väljaandes, I osa, nr 109/2018, muudetakse järgnevalt. </w:t>
      </w:r>
    </w:p>
    <w:p w14:paraId="61C8E0A9" w14:textId="77777777" w:rsidR="004C59F5" w:rsidRPr="00E61BFF" w:rsidRDefault="004C59F5" w:rsidP="000B6E75">
      <w:pPr>
        <w:pStyle w:val="21NovAo1"/>
      </w:pPr>
      <w:r>
        <w:t>1. § 502 lõikes 5 asendatakse punkti 4 lõpus olev punkt semikooloniga ja lisatakse järgmine punkt 5:</w:t>
      </w:r>
    </w:p>
    <w:p w14:paraId="725F8D3B" w14:textId="77777777" w:rsidR="004C59F5" w:rsidRPr="00E61BFF" w:rsidRDefault="004C59F5" w:rsidP="000B6E75">
      <w:pPr>
        <w:pStyle w:val="52Aufzaehle1Ziffer"/>
      </w:pPr>
      <w:r>
        <w:tab/>
        <w:t>„5. § 549 kohaste vaidluste jaoks.“</w:t>
      </w:r>
      <w:r>
        <w:tab/>
      </w:r>
    </w:p>
    <w:p w14:paraId="56BA0878" w14:textId="77777777" w:rsidR="004C59F5" w:rsidRPr="00E61BFF" w:rsidRDefault="004C59F5" w:rsidP="000B6E75">
      <w:pPr>
        <w:pStyle w:val="21NovAo1"/>
      </w:pPr>
      <w:r>
        <w:lastRenderedPageBreak/>
        <w:t>2. § 548 järele lisatakse järgmine teine jagu:</w:t>
      </w:r>
    </w:p>
    <w:p w14:paraId="39E3BD22" w14:textId="77777777" w:rsidR="004C59F5" w:rsidRPr="00E61BFF" w:rsidRDefault="004C59F5" w:rsidP="00431A52">
      <w:pPr>
        <w:pStyle w:val="41UeberschrG1"/>
      </w:pPr>
      <w:r>
        <w:t>„Teine jagu</w:t>
      </w:r>
    </w:p>
    <w:p w14:paraId="70DB9D83" w14:textId="77777777" w:rsidR="004C59F5" w:rsidRPr="00E61BFF" w:rsidRDefault="004C59F5" w:rsidP="000B6E75">
      <w:pPr>
        <w:pStyle w:val="43UeberschrG2"/>
      </w:pPr>
      <w:r>
        <w:t>Lühimenetlus</w:t>
      </w:r>
    </w:p>
    <w:p w14:paraId="34369477" w14:textId="77777777" w:rsidR="004C59F5" w:rsidRPr="00E61BFF" w:rsidRDefault="004C59F5" w:rsidP="000B6E75">
      <w:pPr>
        <w:pStyle w:val="45UeberschrPara"/>
      </w:pPr>
      <w:r>
        <w:t>Elektroonilises sidevõrgus isiklike õiguste rikkumise menetlus</w:t>
      </w:r>
    </w:p>
    <w:p w14:paraId="2CEA6609" w14:textId="77777777" w:rsidR="004C59F5" w:rsidRPr="00E61BFF" w:rsidRDefault="004C59F5" w:rsidP="000B6E75">
      <w:pPr>
        <w:pStyle w:val="51Abs"/>
      </w:pPr>
      <w:r>
        <w:rPr>
          <w:rStyle w:val="991GldSymbol"/>
        </w:rPr>
        <w:t>§ 549.</w:t>
      </w:r>
      <w:r>
        <w:t xml:space="preserve"> 1) Kohtuvaidlustes, mis on seotud toimingutega, milles esitatakse eranditult ettekirjutuse tegemiseks nõuded inimväärikuse rikkumise tõttu elektroonilises sidevõrgus, mis kahjustab füüsilise isiku inimväärikust, peab kohus tegema hageja taotlusel ettekirjutuse taotluse ilma eelneva suulise menetluseta ja kostjat küsitlemata, kui väidetava rikkumise saab veenvalt tuletada kohtuasjas sisalduvast teabest. Hagile tuleb lisada elektroonilise sidevõrgu tõend,  mis kujutab rikkuvat sisu või teeb selle nähtavaks.</w:t>
      </w:r>
    </w:p>
    <w:p w14:paraId="375921B7" w14:textId="77777777" w:rsidR="004C59F5" w:rsidRPr="00E61BFF" w:rsidRDefault="004C59F5" w:rsidP="000B6E75">
      <w:pPr>
        <w:pStyle w:val="51Abs"/>
      </w:pPr>
      <w:r>
        <w:t>2) Keeldumismäärus peab sisaldama märget väidetava rikkumise lõpetamise ja sellest loobumise kohta ning märget „Cease-and-Desist Order“ ning selles märgitakse, et kostja, kui ta vaidlustab esitatud nõude, esitab määruse kohta vastuväited 14 päeva jooksul. Tuleb juhendada, et ettekirjutuse tegemise taotluse saab vaidlustada ainult vastuväidete esitamise korral ning et vastuväidete esitamise korral toimub hagi tavapärane menetlus.</w:t>
      </w:r>
    </w:p>
    <w:p w14:paraId="716F3707" w14:textId="77777777" w:rsidR="004C59F5" w:rsidRPr="00E61BFF" w:rsidRDefault="004C59F5" w:rsidP="000B6E75">
      <w:pPr>
        <w:pStyle w:val="51Abs"/>
      </w:pPr>
      <w:r>
        <w:t>(3) Ettekirjutuse tegemise taotlus tuleb kostjale kätte toimetada koos hagiga. Ettekirjutuse tegemise taotlusele saab esitada vastuväiteid neljateistkümne päevase erakorralise perioodi jooksul alates kättetoimetamisest. Piisab, kui dokumendist nähtub kavatsus esitada vastuväiteid. Ettekirjutuse tegemise taotluses sisalduva kuluotsuse saab vaidlustada apellatsioonkaebusega. § 556 lõiget 5, § 557 lõikeid 2 kuni 6 ja § 558 kohaldatakse vastavalt.</w:t>
      </w:r>
    </w:p>
    <w:p w14:paraId="529F07AB" w14:textId="77777777" w:rsidR="004C59F5" w:rsidRPr="00E61BFF" w:rsidRDefault="004C59F5" w:rsidP="000B6E75">
      <w:pPr>
        <w:pStyle w:val="51Abs"/>
      </w:pPr>
      <w:r>
        <w:t>4) Kohus võib hageja taotlusel tunnistada ettekirjutuse tegemise taotlusele ajutiselt täidetavaks, kui väidetava rikkuva teo jätkuv mõju on ebamõistlik või on seotud hageja jaoks oluliste ebasoodsate asjaoludega või on vastuolus Austri riigi õigussüsteemi põhiväärtustega. Ajutine täitmisele pööratavus jõustub kohe, kui otsus selle määramise kohta on kätte toimetatud ning see kehtib kuni menetluse lõpuni. Seda otsust ei saa edasi kaevata.</w:t>
      </w:r>
    </w:p>
    <w:p w14:paraId="39F61C57" w14:textId="77777777" w:rsidR="004C59F5" w:rsidRPr="00E61BFF" w:rsidRDefault="004C59F5" w:rsidP="000B6E75">
      <w:pPr>
        <w:pStyle w:val="51Abs"/>
      </w:pPr>
      <w:r>
        <w:t>5) Föderaalsel justiitsministrit volitatakse välja andma vorm hagi ja ettekirjutuse tegemise taotluseks ning hoidma see internetis kättesaadavana justiitsministeeriumi veebilehel.“</w:t>
      </w:r>
    </w:p>
    <w:p w14:paraId="31A9FAB1" w14:textId="77777777" w:rsidR="004C59F5" w:rsidRPr="00E61BFF" w:rsidRDefault="004C59F5" w:rsidP="00431A52">
      <w:pPr>
        <w:pStyle w:val="22NovAo2"/>
      </w:pPr>
      <w:r>
        <w:t>3. Jao nimetus „</w:t>
      </w:r>
      <w:r>
        <w:rPr>
          <w:i w:val="0"/>
        </w:rPr>
        <w:t>Teine jagu</w:t>
      </w:r>
      <w:r>
        <w:t>“ § 555 ees jäetakse välja.</w:t>
      </w:r>
    </w:p>
    <w:p w14:paraId="61031DE8" w14:textId="77777777" w:rsidR="004C59F5" w:rsidRPr="00E61BFF" w:rsidRDefault="004C59F5" w:rsidP="000B6E75">
      <w:pPr>
        <w:pStyle w:val="21NovAo1"/>
      </w:pPr>
      <w:r>
        <w:t>4. § 618 järele lisatakse järgmine seitsmes osa:</w:t>
      </w:r>
    </w:p>
    <w:p w14:paraId="4F9F43AB" w14:textId="77777777" w:rsidR="004C59F5" w:rsidRPr="00E61BFF" w:rsidRDefault="004C59F5" w:rsidP="00431A52">
      <w:pPr>
        <w:pStyle w:val="41UeberschrG1"/>
      </w:pPr>
      <w:r>
        <w:t>„Seitsmes osa</w:t>
      </w:r>
    </w:p>
    <w:p w14:paraId="2BF3D0A9" w14:textId="77777777" w:rsidR="004C59F5" w:rsidRPr="00E61BFF" w:rsidRDefault="004C59F5" w:rsidP="000B6E75">
      <w:pPr>
        <w:pStyle w:val="43UeberschrG2"/>
      </w:pPr>
      <w:r>
        <w:t>Jõustumine, lõpp- ja üleminekusätted</w:t>
      </w:r>
    </w:p>
    <w:p w14:paraId="4398BF8E" w14:textId="77777777" w:rsidR="004C59F5" w:rsidRPr="00E61BFF" w:rsidRDefault="004C59F5" w:rsidP="000B6E75">
      <w:pPr>
        <w:pStyle w:val="51Abs"/>
      </w:pPr>
      <w:r>
        <w:rPr>
          <w:rStyle w:val="991GldSymbol"/>
        </w:rPr>
        <w:t>§ 619.</w:t>
      </w:r>
      <w:r>
        <w:t xml:space="preserve"> § 502, § 549 ja jagude nimetuste muudatused jõustuvad ametliku väljaande I osas nr 148/2020 avaldatud föderaalseaduse redaktsioonis 1. jaanuaril 2021. aastal. § 502 ja § 549 tuleb rakendada pärast 31. detsembrit 2020 esitatud hagide suhtes. § 502 lõike 5 punkt 5 föderaalseaduse 148/2020 redaktsioonis kaotab kehtivuse 31. detsembril 2030 ja seda ei kohaldata enam menetluste suhtes, milles hagi esitatakse pärast 31. detsembrit 2030.“</w:t>
      </w:r>
    </w:p>
    <w:p w14:paraId="55F99475" w14:textId="77777777" w:rsidR="004C59F5" w:rsidRPr="00E61BFF" w:rsidRDefault="004C59F5" w:rsidP="000B6E75">
      <w:pPr>
        <w:pStyle w:val="41UeberschrG1"/>
      </w:pPr>
      <w:r>
        <w:t>Artikkel 4</w:t>
      </w:r>
      <w:r>
        <w:br/>
        <w:t>Täitemenetluse seadustiku muutmine</w:t>
      </w:r>
    </w:p>
    <w:p w14:paraId="2AB1840F" w14:textId="77777777" w:rsidR="004C59F5" w:rsidRPr="00E61BFF" w:rsidRDefault="004C59F5" w:rsidP="000B6E75">
      <w:pPr>
        <w:pStyle w:val="12PromKlEinlSatz"/>
      </w:pPr>
      <w:r>
        <w:t>Täitemenetluse seadustikku, Austria ametlik väljaanne, nr 79/1896, viimati muudetud ametliku väljaande I osas nr 16/2020, muudetakse järgnevalt.</w:t>
      </w:r>
    </w:p>
    <w:p w14:paraId="7724051E" w14:textId="77777777" w:rsidR="004C59F5" w:rsidRPr="00E61BFF" w:rsidRDefault="004C59F5" w:rsidP="00431A52">
      <w:pPr>
        <w:pStyle w:val="22NovAo2"/>
      </w:pPr>
      <w:r>
        <w:t xml:space="preserve">§ 1 punktis 2 jäetakse välja sõnastus </w:t>
      </w:r>
      <w:r>
        <w:rPr>
          <w:i w:val="0"/>
        </w:rPr>
        <w:t>„lühi- ja“</w:t>
      </w:r>
      <w:r>
        <w:t xml:space="preserve"> samuti sõnastus </w:t>
      </w:r>
      <w:r>
        <w:rPr>
          <w:i w:val="0"/>
        </w:rPr>
        <w:t>„samuti ametliku vastutuse menetlemisel“</w:t>
      </w:r>
      <w:r>
        <w:t xml:space="preserve"> ja lõpus enne semikoolonit lisatakse </w:t>
      </w:r>
      <w:r>
        <w:rPr>
          <w:i w:val="0"/>
        </w:rPr>
        <w:t>„samuti tsiviilkohtumenetluse seadustiku § 549 kohased ettekirjutuse tegemise taotlused, mille suhtes ei esitatud õigeaegselt vastuväiteid või mis tunnistati ajutiselt täitmisele pööratavaks“</w:t>
      </w:r>
      <w:r>
        <w:t>.</w:t>
      </w:r>
    </w:p>
    <w:p w14:paraId="1508C212" w14:textId="77777777" w:rsidR="009E1368" w:rsidRDefault="004C59F5" w:rsidP="009E1368">
      <w:pPr>
        <w:pStyle w:val="41UeberschrG1"/>
        <w:spacing w:before="120"/>
      </w:pPr>
      <w:r>
        <w:lastRenderedPageBreak/>
        <w:t>Artikkel 5</w:t>
      </w:r>
    </w:p>
    <w:p w14:paraId="3BE54FA7" w14:textId="1ED8045A" w:rsidR="004C59F5" w:rsidRPr="00E61BFF" w:rsidRDefault="004C59F5" w:rsidP="009E1368">
      <w:pPr>
        <w:pStyle w:val="41UeberschrG1"/>
        <w:spacing w:before="120"/>
      </w:pPr>
      <w:r>
        <w:t>Advokaatide tasumäärasid käsitleva seaduse muutmine</w:t>
      </w:r>
    </w:p>
    <w:p w14:paraId="58C607D0" w14:textId="77777777" w:rsidR="004C59F5" w:rsidRPr="00E61BFF" w:rsidRDefault="004C59F5" w:rsidP="000B6E75">
      <w:pPr>
        <w:pStyle w:val="12PromKlEinlSatz"/>
      </w:pPr>
      <w:r>
        <w:t>Advokaatide tasumäärasid käsitlevat seadust, Austria ametlik väljaanne, nr 189/1969, viimati muudetud föderaalseadusega Austria ametlikus väljaandes, I osa, nr 19/2020, muudetakse järgnevalt.</w:t>
      </w:r>
    </w:p>
    <w:p w14:paraId="4026A4C8" w14:textId="77777777" w:rsidR="004C59F5" w:rsidRPr="00E61BFF" w:rsidRDefault="004C59F5" w:rsidP="00431A52">
      <w:pPr>
        <w:pStyle w:val="22NovAo2"/>
      </w:pPr>
      <w:r>
        <w:t xml:space="preserve">1. § 10 punktis 6 lisatakse enne sõna </w:t>
      </w:r>
      <w:r>
        <w:rPr>
          <w:i w:val="0"/>
        </w:rPr>
        <w:t>„kohaselt“</w:t>
      </w:r>
      <w:r>
        <w:t xml:space="preserve"> fraas </w:t>
      </w:r>
      <w:r>
        <w:rPr>
          <w:i w:val="0"/>
        </w:rPr>
        <w:t>„§ 20 ja“</w:t>
      </w:r>
      <w:r>
        <w:t>.</w:t>
      </w:r>
    </w:p>
    <w:p w14:paraId="258C6DEA" w14:textId="77777777" w:rsidR="004C59F5" w:rsidRPr="00E61BFF" w:rsidRDefault="004C59F5" w:rsidP="000B6E75">
      <w:pPr>
        <w:pStyle w:val="21NovAo1"/>
      </w:pPr>
      <w:r>
        <w:t>2. Paragrahvi 10 lõike 6 punkti b järele lisatakse järgmine viimane lause:</w:t>
      </w:r>
    </w:p>
    <w:p w14:paraId="17617B02" w14:textId="77777777" w:rsidR="004C59F5" w:rsidRPr="00E61BFF" w:rsidRDefault="004C59F5" w:rsidP="00431A52">
      <w:pPr>
        <w:pStyle w:val="23SatznachNovao"/>
      </w:pPr>
      <w:r>
        <w:t>„tsiviilkohtumenetluse seadustiku § 549 alusel esitatud ettekirjutuse tegemise hagide puhul on hagi eseme väärtus 5000 eurot;“</w:t>
      </w:r>
    </w:p>
    <w:p w14:paraId="11B8BCC4" w14:textId="77777777" w:rsidR="004C59F5" w:rsidRPr="00E61BFF" w:rsidRDefault="004C59F5" w:rsidP="000B6E75">
      <w:pPr>
        <w:pStyle w:val="21NovAo1"/>
      </w:pPr>
      <w:r>
        <w:t>3. § 26a lisatakse järgmine lõige 3:</w:t>
      </w:r>
    </w:p>
    <w:p w14:paraId="772E7827" w14:textId="77777777" w:rsidR="004C59F5" w:rsidRPr="00E61BFF" w:rsidRDefault="004C59F5" w:rsidP="000B6E75">
      <w:pPr>
        <w:pStyle w:val="51Abs"/>
      </w:pPr>
      <w:r>
        <w:t>„3) § 10, tariifirubriigi 2 I jao punkti 1 alapunktid b ja c, tariifirubriigi 3A I jao punkti 1 alapunkt b ja tariifirubriigi 4 I lõigu punkt 2 jõustuvad föderaalseaduse Austria ametliku väljaande I osas nr 148/2020 avaldatud föderaalseaduse redaktsioonis 1. jaanuaril 2021.“</w:t>
      </w:r>
    </w:p>
    <w:p w14:paraId="4CC45EE9" w14:textId="77777777" w:rsidR="004C59F5" w:rsidRPr="00E61BFF" w:rsidRDefault="004C59F5" w:rsidP="00431A52">
      <w:pPr>
        <w:pStyle w:val="22NovAo2"/>
      </w:pPr>
      <w:r>
        <w:t xml:space="preserve">4. Tariifirubriigi 2 I jao punkti 1 alapunktis b sõnad </w:t>
      </w:r>
      <w:r>
        <w:rPr>
          <w:i w:val="0"/>
        </w:rPr>
        <w:t>„Volituse edasikaebus“</w:t>
      </w:r>
      <w:r>
        <w:t xml:space="preserve"> asendatakse fraasiga </w:t>
      </w:r>
      <w:r>
        <w:rPr>
          <w:i w:val="0"/>
        </w:rPr>
        <w:t>„Apellatsioonid ja nõuded vastavalt tsiviilkohtumenetluse seadustiku §-le 549“</w:t>
      </w:r>
      <w:r>
        <w:t>.</w:t>
      </w:r>
    </w:p>
    <w:p w14:paraId="2479FC78" w14:textId="77777777" w:rsidR="004C59F5" w:rsidRPr="00E61BFF" w:rsidRDefault="004C59F5" w:rsidP="00431A52">
      <w:pPr>
        <w:pStyle w:val="22NovAo2"/>
      </w:pPr>
      <w:r>
        <w:t xml:space="preserve">5. Tariifirubriigi 2 I jao punkti 1 alapunktis c lisatakse lause esimene pool pärast sõna </w:t>
      </w:r>
      <w:r>
        <w:rPr>
          <w:i w:val="0"/>
        </w:rPr>
        <w:t>„Maksekorraldused“</w:t>
      </w:r>
      <w:r>
        <w:t xml:space="preserve"> fraas </w:t>
      </w:r>
      <w:r>
        <w:rPr>
          <w:i w:val="0"/>
        </w:rPr>
        <w:t>„ja ettekirjutuste vastu tsiviilkohtumenetluse seadustiku § 549 alusel“</w:t>
      </w:r>
      <w:r>
        <w:t xml:space="preserve"> ning sõna </w:t>
      </w:r>
      <w:r>
        <w:rPr>
          <w:i w:val="0"/>
        </w:rPr>
        <w:t>„Maksekorraldus“</w:t>
      </w:r>
      <w:r>
        <w:t xml:space="preserve"> asendatakse fraasiga </w:t>
      </w:r>
      <w:r>
        <w:rPr>
          <w:i w:val="0"/>
        </w:rPr>
        <w:t>„Makse- või ettekirjutuse korraldus“</w:t>
      </w:r>
      <w:r>
        <w:t>.</w:t>
      </w:r>
    </w:p>
    <w:p w14:paraId="76D749AD" w14:textId="77777777" w:rsidR="004C59F5" w:rsidRPr="00E61BFF" w:rsidRDefault="00431A52" w:rsidP="00431A52">
      <w:pPr>
        <w:pStyle w:val="22NovAo2"/>
      </w:pPr>
      <w:r>
        <w:t xml:space="preserve">6. Tasupunkti 2 I jao punkti 1 alapunkti c lisatakse lause teine pool pärast sõna </w:t>
      </w:r>
      <w:r>
        <w:rPr>
          <w:i w:val="0"/>
        </w:rPr>
        <w:t>„Maksekorraldused“</w:t>
      </w:r>
      <w:r>
        <w:t xml:space="preserve">, fraas </w:t>
      </w:r>
      <w:r>
        <w:rPr>
          <w:i w:val="0"/>
        </w:rPr>
        <w:t xml:space="preserve"> ja § 549 ZPO alusel ettekirjutuste vastu“</w:t>
      </w:r>
      <w:r>
        <w:t>.</w:t>
      </w:r>
    </w:p>
    <w:p w14:paraId="3C3279FE" w14:textId="77777777" w:rsidR="004C59F5" w:rsidRPr="00E61BFF" w:rsidRDefault="004C59F5" w:rsidP="00431A52">
      <w:pPr>
        <w:pStyle w:val="22NovAo2"/>
      </w:pPr>
      <w:r>
        <w:t xml:space="preserve">6. Tasupunkti 3 A I jao punkti 1 alapunkti b lisatakse sõna </w:t>
      </w:r>
      <w:r>
        <w:rPr>
          <w:i w:val="0"/>
        </w:rPr>
        <w:t>„Maksekorraldused“</w:t>
      </w:r>
      <w:r>
        <w:t xml:space="preserve"> järele fraas </w:t>
      </w:r>
      <w:r>
        <w:rPr>
          <w:i w:val="0"/>
        </w:rPr>
        <w:t xml:space="preserve"> ja § 549 ZPO alusel tehtud ettekirjutuste vastu“</w:t>
      </w:r>
      <w:r>
        <w:t>.</w:t>
      </w:r>
    </w:p>
    <w:p w14:paraId="777EE0C2" w14:textId="77777777" w:rsidR="004C59F5" w:rsidRPr="00E61BFF" w:rsidRDefault="004C59F5" w:rsidP="00431A52">
      <w:pPr>
        <w:pStyle w:val="22NovAo2"/>
      </w:pPr>
      <w:r>
        <w:t xml:space="preserve">7. Tariifirubriigi 4 I jao punktis 2 lisatakse fraas </w:t>
      </w:r>
      <w:r>
        <w:rPr>
          <w:i w:val="0"/>
        </w:rPr>
        <w:t>„, 33a“</w:t>
      </w:r>
      <w:r>
        <w:t xml:space="preserve">; pärast jutumärki </w:t>
      </w:r>
      <w:r>
        <w:rPr>
          <w:i w:val="0"/>
        </w:rPr>
        <w:t>„33(2)“</w:t>
      </w:r>
      <w:r>
        <w:t>.</w:t>
      </w:r>
    </w:p>
    <w:p w14:paraId="59816A5C" w14:textId="238544DB" w:rsidR="004C59F5" w:rsidRDefault="004C59F5" w:rsidP="000B6E75">
      <w:pPr>
        <w:pStyle w:val="41UeberschrG1"/>
      </w:pPr>
      <w:r>
        <w:t>Artikkel 6</w:t>
      </w:r>
      <w:r>
        <w:br/>
        <w:t>E-kaubanduse seaduse muutmine</w:t>
      </w:r>
    </w:p>
    <w:p w14:paraId="4AAF3E6E" w14:textId="77777777" w:rsidR="009E1368" w:rsidRPr="009E1368" w:rsidRDefault="009E1368" w:rsidP="009E1368">
      <w:pPr>
        <w:pStyle w:val="43UeberschrG2"/>
      </w:pPr>
    </w:p>
    <w:p w14:paraId="536C23A0" w14:textId="77777777" w:rsidR="004C59F5" w:rsidRPr="00E61BFF" w:rsidRDefault="00431A52" w:rsidP="000B6E75">
      <w:pPr>
        <w:pStyle w:val="12PromKlEinlSatz"/>
      </w:pPr>
      <w:r>
        <w:t>E-kaubanduse seadust [E</w:t>
      </w:r>
      <w:r>
        <w:noBreakHyphen/>
        <w:t>Commerce-Gesetz – ECG], Austria ametlik väljaanne, I osa, nr 152/2001, viimati muudetud Austria ametliku väljaande I osas nr 34/2015 avaldatud föderaalseadusega, muudetakse järgnevalt.</w:t>
      </w:r>
    </w:p>
    <w:p w14:paraId="769FA27D" w14:textId="77777777" w:rsidR="004C59F5" w:rsidRPr="00E61BFF" w:rsidRDefault="004C59F5" w:rsidP="000B6E75">
      <w:pPr>
        <w:pStyle w:val="21NovAo1"/>
      </w:pPr>
      <w:r>
        <w:t>1. § 18 lõike 4 järele lisatakse järgmine lõige 4a:</w:t>
      </w:r>
    </w:p>
    <w:p w14:paraId="65298ECB" w14:textId="77777777" w:rsidR="004C59F5" w:rsidRPr="00E61BFF" w:rsidRDefault="004C59F5" w:rsidP="000B6E75">
      <w:pPr>
        <w:pStyle w:val="51Abs"/>
      </w:pPr>
      <w:r>
        <w:t>„4a) § 18 lõike 4 kohane nõue tuleb esitada esimese astme kohtule, kes on määratud kaubandusasjades jurisdiktsiooni täitma, välja arvatud vaidlusküsimustes.“</w:t>
      </w:r>
    </w:p>
    <w:p w14:paraId="0657E57B" w14:textId="77777777" w:rsidR="004C59F5" w:rsidRPr="00E61BFF" w:rsidRDefault="004C59F5" w:rsidP="000B6E75">
      <w:pPr>
        <w:pStyle w:val="21NovAo1"/>
      </w:pPr>
      <w:r>
        <w:t>2. § 28 lisatakse järgmine lõige 3:</w:t>
      </w:r>
    </w:p>
    <w:p w14:paraId="750B4A17" w14:textId="77777777" w:rsidR="004C59F5" w:rsidRPr="00E61BFF" w:rsidRDefault="004C59F5" w:rsidP="000B6E75">
      <w:pPr>
        <w:pStyle w:val="51Abs"/>
      </w:pPr>
      <w:r>
        <w:t>„3) § 18 lõige 4a jõustub Austria ametliku väljaande I osas nr 148/2020 avaldatud föderaalseaduse redaktsioonis 1. jaanuaril 2021 ja seda ei kohaldata enne selle föderaalseaduse jõustumist pooleliolevate vaidluste suhtes.“</w:t>
      </w:r>
    </w:p>
    <w:p w14:paraId="10B89EB9" w14:textId="47CBDD01" w:rsidR="009E1368" w:rsidRDefault="004C59F5" w:rsidP="009E1368">
      <w:pPr>
        <w:pStyle w:val="41UeberschrG1"/>
      </w:pPr>
      <w:r>
        <w:t>Artikkel 7</w:t>
      </w:r>
      <w:r>
        <w:br/>
        <w:t>Kohtukulusid käsitleva seaduse muutmine</w:t>
      </w:r>
    </w:p>
    <w:p w14:paraId="72EA59D5" w14:textId="77777777" w:rsidR="009E1368" w:rsidRPr="009E1368" w:rsidRDefault="009E1368" w:rsidP="009E1368">
      <w:pPr>
        <w:pStyle w:val="43UeberschrG2"/>
      </w:pPr>
    </w:p>
    <w:p w14:paraId="6019DABC" w14:textId="77777777" w:rsidR="004C59F5" w:rsidRPr="00E61BFF" w:rsidRDefault="004C59F5" w:rsidP="000B6E75">
      <w:pPr>
        <w:pStyle w:val="12PromKlEinlSatz"/>
      </w:pPr>
      <w:r>
        <w:t>Kohtukulusid käsitlevat seadust (GGG), Austria ametlik väljaanne nr 501/1984, viimati muudetud föderaalseadusega Austria ametlikus väljaandes, I osa, nr ##/20##, muudetakse alljärgnevalt.</w:t>
      </w:r>
    </w:p>
    <w:p w14:paraId="5AE95069" w14:textId="77777777" w:rsidR="004C59F5" w:rsidRPr="00E61BFF" w:rsidRDefault="004C59F5" w:rsidP="000B6E75">
      <w:pPr>
        <w:pStyle w:val="21NovAo1"/>
      </w:pPr>
      <w:r>
        <w:t>1. § 16 lõike 1 punktis 1 lisatakse alapunkti d järele järgmine alapunkt e:</w:t>
      </w:r>
    </w:p>
    <w:p w14:paraId="43BEBE7C" w14:textId="77777777" w:rsidR="004C59F5" w:rsidRPr="00E61BFF" w:rsidRDefault="00431A52" w:rsidP="00431A52">
      <w:pPr>
        <w:pStyle w:val="52Aufzaehle2Lit"/>
      </w:pPr>
      <w:r>
        <w:tab/>
        <w:t>„e) lühimenetlus vastavalt tsiviilkohtumenetluse seadustiku § 549;“</w:t>
      </w:r>
      <w:r>
        <w:tab/>
      </w:r>
    </w:p>
    <w:p w14:paraId="079E7BEF" w14:textId="77777777" w:rsidR="004C59F5" w:rsidRPr="00E61BFF" w:rsidRDefault="004C59F5" w:rsidP="000B6E75">
      <w:pPr>
        <w:pStyle w:val="21NovAo1"/>
      </w:pPr>
      <w:r>
        <w:lastRenderedPageBreak/>
        <w:t>2. Tariifirubriigi lõike 12 alapunktis c lisatakse lõike 2 ette lõige 1:</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272"/>
        <w:gridCol w:w="4118"/>
        <w:gridCol w:w="1872"/>
        <w:gridCol w:w="1243"/>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Tariifirubriik</w:t>
            </w:r>
          </w:p>
        </w:tc>
        <w:tc>
          <w:tcPr>
            <w:tcW w:w="4283" w:type="dxa"/>
            <w:vAlign w:val="center"/>
          </w:tcPr>
          <w:p w14:paraId="6FC1CBD3" w14:textId="77777777" w:rsidR="004C59F5" w:rsidRPr="00E61BFF" w:rsidRDefault="004C59F5" w:rsidP="00220685">
            <w:pPr>
              <w:pStyle w:val="83ErlText"/>
            </w:pPr>
            <w:r>
              <w:t>Objekt</w:t>
            </w:r>
          </w:p>
        </w:tc>
        <w:tc>
          <w:tcPr>
            <w:tcW w:w="1931" w:type="dxa"/>
            <w:vAlign w:val="center"/>
          </w:tcPr>
          <w:p w14:paraId="78B54F17" w14:textId="77777777" w:rsidR="004C59F5" w:rsidRPr="00E61BFF" w:rsidRDefault="004C59F5" w:rsidP="00220685">
            <w:pPr>
              <w:pStyle w:val="83ErlText"/>
            </w:pPr>
            <w:r>
              <w:t>Tasude hindamise standard</w:t>
            </w:r>
          </w:p>
        </w:tc>
        <w:tc>
          <w:tcPr>
            <w:tcW w:w="1275" w:type="dxa"/>
            <w:vAlign w:val="center"/>
          </w:tcPr>
          <w:p w14:paraId="5EA825DB" w14:textId="77777777" w:rsidR="004C59F5" w:rsidRPr="00E61BFF" w:rsidRDefault="004C59F5" w:rsidP="00220685">
            <w:pPr>
              <w:pStyle w:val="83ErlText"/>
            </w:pPr>
            <w:r>
              <w:t>Tasude suurus</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Teabeõiguse menetlus vastavalt E-kaubanduse seaduse § 18 lõikele 4a,</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eurot“</w:t>
            </w:r>
          </w:p>
        </w:tc>
      </w:tr>
    </w:tbl>
    <w:p w14:paraId="646785B8" w14:textId="77777777" w:rsidR="004C59F5" w:rsidRPr="00E61BFF" w:rsidRDefault="004C59F5" w:rsidP="000B6E75">
      <w:pPr>
        <w:pStyle w:val="21NovAo1"/>
      </w:pPr>
      <w:r>
        <w:t>3. Tariifirubriigi 13 punkt a on järgmine:</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Eraprokuröri erahagi ja nõuded kapitali ettekirjutuste tegemiseks kriminaalmenetluse seadustiku § 445 alusel</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eurot“</w:t>
            </w:r>
          </w:p>
        </w:tc>
      </w:tr>
    </w:tbl>
    <w:p w14:paraId="0A1E21A4" w14:textId="77777777" w:rsidR="004C59F5" w:rsidRPr="00E61BFF" w:rsidRDefault="004C59F5" w:rsidP="000B6E75">
      <w:pPr>
        <w:pStyle w:val="21NovAo1"/>
      </w:pPr>
      <w:r>
        <w:t>4. Artiklis VI lisatakse järgmine alapunkt 71:</w:t>
      </w:r>
    </w:p>
    <w:p w14:paraId="40FD5690" w14:textId="77777777" w:rsidR="004C59F5" w:rsidRPr="00E61BFF" w:rsidRDefault="004C59F5" w:rsidP="000B6E75">
      <w:pPr>
        <w:pStyle w:val="52Aufzaehle1Ziffer"/>
      </w:pPr>
      <w:r>
        <w:tab/>
        <w:t>„71.</w:t>
      </w:r>
      <w:r>
        <w:tab/>
        <w:t>§ 16 lõige 1, tariifirubriigi 12 alapunkti c punkt 1 ja tariifirubriigi 13 alapunkt a jõustuvad Austria ametliku väljaande I osa nr 148/2020 redaktsioonis 1. jaanuaril 2021. aastal. § 31a tuleb kohaldada käesoleva föderaalseadusega loodud tasude suhtes tingimusel, et uue määratluse lähtepunktiks on Austria föderaalse statistikaameti avaldatud tarbijahinnaindeksi lõplik indeksinumber, mis avaldati 2017. aasta märtsis.“</w:t>
      </w:r>
    </w:p>
    <w:p w14:paraId="51EE9ED0" w14:textId="77777777" w:rsidR="004C59F5" w:rsidRPr="00E61BFF" w:rsidRDefault="004C59F5" w:rsidP="000B6E75">
      <w:pPr>
        <w:pStyle w:val="41UeberschrG1"/>
      </w:pPr>
      <w:r>
        <w:t>Artikkel 8</w:t>
      </w:r>
    </w:p>
    <w:p w14:paraId="4A4F7CDC" w14:textId="77777777" w:rsidR="004C59F5" w:rsidRPr="00E61BFF" w:rsidRDefault="004C59F5" w:rsidP="000B6E75">
      <w:pPr>
        <w:pStyle w:val="43UeberschrG2"/>
      </w:pPr>
      <w:r>
        <w:t>Karistusseadustiku muutmine</w:t>
      </w:r>
    </w:p>
    <w:p w14:paraId="6675E1F4" w14:textId="77777777" w:rsidR="004C59F5" w:rsidRPr="00E61BFF" w:rsidRDefault="004C59F5" w:rsidP="000B6E75">
      <w:pPr>
        <w:pStyle w:val="12PromKlEinlSatz"/>
      </w:pPr>
      <w:r>
        <w:t>Karistusseadustikku (Austria ametlik väljaanne nr 60/1974), mida on viimati muudetud föderaalseadusega, ametlik väljaanne I nr 111/2019, muudetakse järgmiselt:</w:t>
      </w:r>
    </w:p>
    <w:p w14:paraId="536A4C45" w14:textId="77777777" w:rsidR="004C59F5" w:rsidRPr="00E61BFF" w:rsidRDefault="004C59F5" w:rsidP="000B6E75">
      <w:pPr>
        <w:pStyle w:val="21NovAo1"/>
      </w:pPr>
      <w:r>
        <w:t>1. § 107c sõnastatakse koos pealkirjaga järgmiselt:</w:t>
      </w:r>
    </w:p>
    <w:p w14:paraId="2FFCCBDC" w14:textId="77777777" w:rsidR="004C59F5" w:rsidRPr="00E61BFF" w:rsidRDefault="004C59F5" w:rsidP="000B6E75">
      <w:pPr>
        <w:pStyle w:val="45UeberschrPara"/>
      </w:pPr>
      <w:r>
        <w:rPr>
          <w:b w:val="0"/>
        </w:rPr>
        <w:t>„</w:t>
      </w:r>
      <w:r>
        <w:t>Pidev ahistamine telekommunikatsiooni- või arvutisüsteemi kaudu</w:t>
      </w:r>
    </w:p>
    <w:p w14:paraId="102573C4" w14:textId="77777777" w:rsidR="004C59F5" w:rsidRPr="00E61BFF" w:rsidRDefault="004C59F5" w:rsidP="000B6E75">
      <w:pPr>
        <w:pStyle w:val="51Abs"/>
      </w:pPr>
      <w:r>
        <w:rPr>
          <w:rStyle w:val="991GldSymbol"/>
        </w:rPr>
        <w:t>§ 107c.</w:t>
      </w:r>
      <w:r>
        <w:t xml:space="preserve"> 1) Isikut, kes telekommunikatsiooni abil või arvutisüsteemi kasutades viisil, mis tõenäoliselt mõjutab põhjendamatult inimese elustiili,</w:t>
      </w:r>
    </w:p>
    <w:p w14:paraId="07D6EC91" w14:textId="77777777" w:rsidR="004C59F5" w:rsidRPr="00E61BFF" w:rsidRDefault="004C59F5" w:rsidP="000B6E75">
      <w:pPr>
        <w:pStyle w:val="52Aufzaehle1Ziffer"/>
      </w:pPr>
      <w:r>
        <w:tab/>
        <w:t>1.</w:t>
      </w:r>
      <w:r>
        <w:tab/>
        <w:t>mis on tajutav teise isiku au vastase kuriteona pikema aja jooksul suurema hulga inimeste vastu; või</w:t>
      </w:r>
    </w:p>
    <w:p w14:paraId="5B3E194B" w14:textId="77777777" w:rsidR="004C59F5" w:rsidRPr="00E61BFF" w:rsidRDefault="004C59F5" w:rsidP="000B6E75">
      <w:pPr>
        <w:pStyle w:val="52Aufzaehle1Ziffer"/>
      </w:pPr>
      <w:r>
        <w:tab/>
        <w:t>2.</w:t>
      </w:r>
      <w:r>
        <w:tab/>
        <w:t>muudab isiku isikliku elusfääri fakti või kuvandi pikema aja jooksul tajutavaks suuremale hulgale inimestele ilma nende nõusolekuta,</w:t>
      </w:r>
    </w:p>
    <w:p w14:paraId="785D28EF" w14:textId="77777777" w:rsidR="004C59F5" w:rsidRPr="00E61BFF" w:rsidRDefault="004C59F5" w:rsidP="00220685">
      <w:pPr>
        <w:pStyle w:val="58Schlussteile0Abs"/>
      </w:pPr>
      <w:r>
        <w:t>karistatakse kuni üheaastase vangistusega või kuni 720 päevase rahatrahviga.</w:t>
      </w:r>
    </w:p>
    <w:p w14:paraId="28F85F19" w14:textId="77777777" w:rsidR="004C59F5" w:rsidRPr="00E61BFF" w:rsidRDefault="004C59F5" w:rsidP="000B6E75">
      <w:pPr>
        <w:pStyle w:val="51Abs"/>
      </w:pPr>
      <w:r>
        <w:t>2) Kui süütegu toob kaasa kahjustatud isiku enesetapu või enesetapukatse lõike 1 tähenduses, õigusrikkuja jätkab vigastatud isiku suhtes toime pandud tegusid rohkem kui ühe aasta jooksul või ületab selle artikli lõikes 1 osutatud tajutavuse kestust ühe aasta jooksul, karistatakse kuni kolmeaastase vangistusega.“</w:t>
      </w:r>
    </w:p>
    <w:p w14:paraId="5B6508BD" w14:textId="77777777" w:rsidR="004C59F5" w:rsidRPr="00E61BFF" w:rsidRDefault="004C59F5" w:rsidP="000B6E75">
      <w:pPr>
        <w:pStyle w:val="21NovAo1"/>
      </w:pPr>
      <w:r>
        <w:t>2. § 120 järele lisatakse järgmine § 120a pealkirjaga:</w:t>
      </w:r>
    </w:p>
    <w:p w14:paraId="4E0D1F83" w14:textId="77777777" w:rsidR="004C59F5" w:rsidRPr="00E61BFF" w:rsidRDefault="004C59F5" w:rsidP="000B6E75">
      <w:pPr>
        <w:pStyle w:val="45UeberschrPara"/>
      </w:pPr>
      <w:r>
        <w:t>„Omavoliline pildistamine</w:t>
      </w:r>
    </w:p>
    <w:p w14:paraId="687ED129" w14:textId="77777777" w:rsidR="004C59F5" w:rsidRPr="00E61BFF" w:rsidRDefault="004C59F5" w:rsidP="000B6E75">
      <w:pPr>
        <w:pStyle w:val="51Abs"/>
      </w:pPr>
      <w:r>
        <w:rPr>
          <w:rStyle w:val="991GldSymbol"/>
        </w:rPr>
        <w:t>§ 120a.</w:t>
      </w:r>
      <w:r>
        <w:t xml:space="preserve"> 1) Igaüht, kes teadlikult pildistab teise isiku suguelundeid, häbemepiirkonda, tuharaid, naise rindu või neid kehaosasi katvat aluspesu, kes on neid alasid nägemise eest kaitsenud või kes asub ilma tema nõusolekuta nägemise eest kaitstud elukohas või ruumis, karistatakse kuni 6 kuu pikkuse vangistusega või rahatrahviga kuni 360 päevamääraga.</w:t>
      </w:r>
    </w:p>
    <w:p w14:paraId="642AF34D" w14:textId="77777777" w:rsidR="004C59F5" w:rsidRPr="00E61BFF" w:rsidRDefault="004C59F5" w:rsidP="000B6E75">
      <w:pPr>
        <w:pStyle w:val="51Abs"/>
      </w:pPr>
      <w:r>
        <w:t>2) Iga isiku eest, kes teeb või avaldab foto vastavalt lõikele 1 ilma kujutatava isiku nõusolekuta, karistatakse kuni 12 kuu pikkuse vangistusega või kuni 720 päevase rahatrahviga, kui süütegu ei ole karistatav mõne teise sama või rangema karistusega sättega.</w:t>
      </w:r>
    </w:p>
    <w:p w14:paraId="5EC4AFE8" w14:textId="77777777" w:rsidR="004C59F5" w:rsidRPr="00E61BFF" w:rsidRDefault="004C59F5" w:rsidP="000B6E75">
      <w:pPr>
        <w:pStyle w:val="51Abs"/>
      </w:pPr>
      <w:r>
        <w:t>(3) Õigusrikkujat süüdistatakse üksnes kannatanu loal.“</w:t>
      </w:r>
    </w:p>
    <w:p w14:paraId="3A9D3671" w14:textId="77777777" w:rsidR="004C59F5" w:rsidRPr="00E61BFF" w:rsidRDefault="004C59F5" w:rsidP="00220685">
      <w:pPr>
        <w:pStyle w:val="22NovAo2"/>
      </w:pPr>
      <w:r>
        <w:t xml:space="preserve">3. § 283 lõike 1 punktis 1 kustutatakse sõna </w:t>
      </w:r>
      <w:r>
        <w:rPr>
          <w:i w:val="0"/>
        </w:rPr>
        <w:t>„puue“</w:t>
      </w:r>
      <w:r>
        <w:t xml:space="preserve"> ees sõnad </w:t>
      </w:r>
      <w:r>
        <w:rPr>
          <w:i w:val="0"/>
        </w:rPr>
        <w:t>„füüsiline või vaimne“</w:t>
      </w:r>
      <w:r>
        <w:t>.</w:t>
      </w:r>
    </w:p>
    <w:p w14:paraId="3C3E5AC1" w14:textId="77777777" w:rsidR="004C59F5" w:rsidRPr="00E61BFF" w:rsidRDefault="004C59F5" w:rsidP="000B6E75">
      <w:pPr>
        <w:pStyle w:val="21NovAo1"/>
      </w:pPr>
      <w:r>
        <w:t>4. § 283 lõike 1 punkt 2 on sõnastatud järgmiselt:</w:t>
      </w:r>
    </w:p>
    <w:p w14:paraId="3F2C5F73" w14:textId="77777777" w:rsidR="004C59F5" w:rsidRPr="00E61BFF" w:rsidRDefault="004C59F5" w:rsidP="000B6E75">
      <w:pPr>
        <w:pStyle w:val="52Aufzaehle1Ziffer"/>
      </w:pPr>
      <w:r>
        <w:tab/>
        <w:t>„2.</w:t>
      </w:r>
      <w:r>
        <w:tab/>
        <w:t>solvab punktis 1 nimetatud rühma või isikut sellesse rühma kuulumise tõttu eesmärgiga rikkuda rühma või isiku inimväärikust viisil, mis võib muuta avalikku arvamust rühma või isiku suhtes halvustavaks või alandab neid, või“</w:t>
      </w:r>
    </w:p>
    <w:p w14:paraId="2456A79B" w14:textId="77777777" w:rsidR="004C59F5" w:rsidRPr="00E61BFF" w:rsidRDefault="004C59F5" w:rsidP="000B6E75">
      <w:pPr>
        <w:pStyle w:val="41UeberschrG1"/>
      </w:pPr>
      <w:r>
        <w:lastRenderedPageBreak/>
        <w:t>Artikkel 9</w:t>
      </w:r>
    </w:p>
    <w:p w14:paraId="2B689D35" w14:textId="77777777" w:rsidR="004C59F5" w:rsidRPr="00E61BFF" w:rsidRDefault="004C59F5" w:rsidP="000B6E75">
      <w:pPr>
        <w:pStyle w:val="43UeberschrG2"/>
      </w:pPr>
      <w:r>
        <w:t>Meediaseaduse muutmine</w:t>
      </w:r>
    </w:p>
    <w:p w14:paraId="6763C10F" w14:textId="77777777" w:rsidR="004C59F5" w:rsidRPr="00E61BFF" w:rsidRDefault="004C59F5" w:rsidP="000B6E75">
      <w:pPr>
        <w:pStyle w:val="12PromKlEinlSatz"/>
      </w:pPr>
      <w:r>
        <w:t>Ajakirjandust ja muud avaldatavat meediat käsitlevat föderaalseadust (Mediengesetz – MedienG), Austria ametlik väljaanne nr 314/1981, viimati muudetud ametlikus väljaandes I nr 32/2018 avaldatud föderaalseadusega, muudetakse järgmiselt:</w:t>
      </w:r>
    </w:p>
    <w:p w14:paraId="78F24F3C" w14:textId="77777777" w:rsidR="004C59F5" w:rsidRPr="00E61BFF" w:rsidRDefault="004C59F5" w:rsidP="000B6E75">
      <w:pPr>
        <w:pStyle w:val="21NovAo1"/>
      </w:pPr>
      <w:r>
        <w:t>1. Enne lõiget 6 lisatakse järgmine nimi ja pealkiri:</w:t>
      </w:r>
    </w:p>
    <w:p w14:paraId="02D6BB7E" w14:textId="77777777" w:rsidR="004C59F5" w:rsidRPr="00E61BFF" w:rsidRDefault="004C59F5" w:rsidP="000B6E75">
      <w:pPr>
        <w:pStyle w:val="41UeberschrG1"/>
      </w:pPr>
      <w:r>
        <w:t>„Esimene alajaotus</w:t>
      </w:r>
    </w:p>
    <w:p w14:paraId="02E38CA5" w14:textId="77777777" w:rsidR="004C59F5" w:rsidRPr="00E61BFF" w:rsidRDefault="004C59F5" w:rsidP="000B6E75">
      <w:pPr>
        <w:pStyle w:val="43UeberschrG2"/>
      </w:pPr>
      <w:r>
        <w:t>Hüvitatavad juhtumid“</w:t>
      </w:r>
    </w:p>
    <w:p w14:paraId="6E974E70" w14:textId="77777777" w:rsidR="004C59F5" w:rsidRPr="00E61BFF" w:rsidRDefault="004C59F5" w:rsidP="000B6E75">
      <w:pPr>
        <w:pStyle w:val="21NovAo1"/>
      </w:pPr>
      <w:r>
        <w:t>2. § 6 lõige 1 sõnastatakse järgmiselt:</w:t>
      </w:r>
    </w:p>
    <w:p w14:paraId="3DA90DE0" w14:textId="77777777" w:rsidR="004C59F5" w:rsidRPr="00E61BFF" w:rsidRDefault="004C59F5" w:rsidP="000B6E75">
      <w:pPr>
        <w:pStyle w:val="51Abs"/>
      </w:pPr>
      <w:r>
        <w:t>„1) Kui meedias tuvastatakse laimamise, solvamise, mõnitamise või teotamise objektiivne fakt, on kannatanud isikul õigus saada meediakanali omanikult hüvitist tekitatud kahju eest (§ 8 lõige 1).“</w:t>
      </w:r>
    </w:p>
    <w:p w14:paraId="19863201" w14:textId="77777777" w:rsidR="004C59F5" w:rsidRPr="00E61BFF" w:rsidRDefault="004C59F5" w:rsidP="000B6E75">
      <w:pPr>
        <w:pStyle w:val="21NovAo1"/>
      </w:pPr>
      <w:r>
        <w:t>3. § 7 lõige 1 sõnastatakse järgmiselt:</w:t>
      </w:r>
    </w:p>
    <w:p w14:paraId="4C390BDB" w14:textId="77777777" w:rsidR="004C59F5" w:rsidRPr="00E61BFF" w:rsidRDefault="004C59F5" w:rsidP="000B6E75">
      <w:pPr>
        <w:pStyle w:val="51Abs"/>
      </w:pPr>
      <w:r>
        <w:t>„1) Kui isiku privaatset eluvaldkonda arutatakse või seda esitatakse meedias viisil, mis võib talle avalikkuse ees häbi tekitada, on puudutatud isikul õigus saada meediakanali omanikult hüvitist tekitatud kahju eest (§ 8 lõige 1).“</w:t>
      </w:r>
    </w:p>
    <w:p w14:paraId="4388B2F1" w14:textId="77777777" w:rsidR="004C59F5" w:rsidRPr="00E61BFF" w:rsidRDefault="004C59F5" w:rsidP="000B6E75">
      <w:pPr>
        <w:pStyle w:val="21NovAo1"/>
      </w:pPr>
      <w:r>
        <w:t>4. § 7a lõige 1 sõnastatakse järgmiselt:</w:t>
      </w:r>
    </w:p>
    <w:p w14:paraId="6E458DFB" w14:textId="77777777" w:rsidR="004C59F5" w:rsidRPr="00E61BFF" w:rsidRDefault="004C59F5" w:rsidP="000B6E75">
      <w:pPr>
        <w:pStyle w:val="51Abs"/>
      </w:pPr>
      <w:r>
        <w:t>„1) Kui meedias avaldatakse isiku nimi, pilt või muu teave, mis toob tõenäoliselt kaasa isiku identiteedi äratundmise suuremas, otseselt informeerimata inimrühmas, ja isik</w:t>
      </w:r>
    </w:p>
    <w:p w14:paraId="7D64CC7E" w14:textId="77777777" w:rsidR="004C59F5" w:rsidRPr="00E61BFF" w:rsidRDefault="004C59F5" w:rsidP="000B6E75">
      <w:pPr>
        <w:pStyle w:val="52Aufzaehle1Ziffer"/>
      </w:pPr>
      <w:r>
        <w:tab/>
        <w:t>1.</w:t>
      </w:r>
      <w:r>
        <w:tab/>
        <w:t>on kohtulikult karistatava teo kannatanu (kriminaalmenetluse seadustiku § 65 punkt 1) või</w:t>
      </w:r>
    </w:p>
    <w:p w14:paraId="1F05F6C9" w14:textId="77777777" w:rsidR="004C59F5" w:rsidRPr="00E61BFF" w:rsidRDefault="004C59F5" w:rsidP="000B6E75">
      <w:pPr>
        <w:pStyle w:val="52Aufzaehle1Ziffer"/>
      </w:pPr>
      <w:r>
        <w:tab/>
        <w:t>2.</w:t>
      </w:r>
      <w:r>
        <w:tab/>
        <w:t>on sellise teo suhtes kahtlustatav või on sellise teo eest süüdi mõistetud;</w:t>
      </w:r>
    </w:p>
    <w:p w14:paraId="42D93DFC" w14:textId="77777777" w:rsidR="004C59F5" w:rsidRPr="00E61BFF" w:rsidRDefault="004C59F5" w:rsidP="000B6E75">
      <w:pPr>
        <w:pStyle w:val="52Aufzaehle1Ziffer"/>
      </w:pPr>
      <w:r>
        <w:tab/>
        <w:t>3.</w:t>
      </w:r>
      <w:r>
        <w:tab/>
        <w:t>kuulati ära Austria Rahvusnõukogu uurimiskomisjonis informaatorina;</w:t>
      </w:r>
    </w:p>
    <w:p w14:paraId="232BB288" w14:textId="77777777" w:rsidR="004C59F5" w:rsidRPr="00E61BFF" w:rsidRDefault="004C59F5" w:rsidP="000B6E75">
      <w:pPr>
        <w:pStyle w:val="58Schlussteile0Abs"/>
      </w:pPr>
      <w:r>
        <w:t>ja kui sellega rikutakse kaitset vajava isiku huve, on nimetatud isikul õigus saada meediakanali omanikult hüvitist tekitatud kahju eest (§ 8 lõige 1), välja arvatud juhul, kui selle teabe avaldamiseks oli ülekaalukas avalik huvi antud isiku positsiooni tõttu avalikkuses, mõne muu seose tõttu avaliku eluga või muudel põhjustel.“</w:t>
      </w:r>
    </w:p>
    <w:p w14:paraId="5E6CD7E8" w14:textId="77777777" w:rsidR="004C59F5" w:rsidRPr="00E61BFF" w:rsidRDefault="004C59F5" w:rsidP="000B6E75">
      <w:pPr>
        <w:pStyle w:val="21NovAo1"/>
      </w:pPr>
      <w:r>
        <w:t>5. § 7a lisatakse lõike 1 järele järgmine lõige 1a:</w:t>
      </w:r>
    </w:p>
    <w:p w14:paraId="10A3CA95" w14:textId="77777777" w:rsidR="004C59F5" w:rsidRPr="00E61BFF" w:rsidRDefault="004C59F5" w:rsidP="000B6E75">
      <w:pPr>
        <w:pStyle w:val="51Abs"/>
      </w:pPr>
      <w:r>
        <w:t>„1 a) Kui meedias avaldatakse isiku nimi või pilt, kes</w:t>
      </w:r>
    </w:p>
    <w:p w14:paraId="769F6DCC" w14:textId="77777777" w:rsidR="004C59F5" w:rsidRPr="00E61BFF" w:rsidRDefault="004C59F5" w:rsidP="000B6E75">
      <w:pPr>
        <w:pStyle w:val="52Aufzaehle1Ziffer"/>
      </w:pPr>
      <w:r>
        <w:tab/>
        <w:t>1.</w:t>
      </w:r>
      <w:r>
        <w:tab/>
        <w:t>on § 1 lõikes 1 või 2 nimetatud isiku sugulane (kriminaalmenetluse seadustik § 72), kuid ei ole ise kriminaalmenetluse seadustiku § 65 lõike 1 punkti b kohaselt ohver, või</w:t>
      </w:r>
    </w:p>
    <w:p w14:paraId="5D4429BD" w14:textId="77777777" w:rsidR="004C59F5" w:rsidRPr="00E61BFF" w:rsidRDefault="004C59F5" w:rsidP="000B6E75">
      <w:pPr>
        <w:pStyle w:val="52Aufzaehle1Ziffer"/>
      </w:pPr>
      <w:r>
        <w:tab/>
        <w:t>2.</w:t>
      </w:r>
      <w:r>
        <w:tab/>
        <w:t>oli tunnistajaks kohtulikult karistatavale teole,</w:t>
      </w:r>
    </w:p>
    <w:p w14:paraId="1B02109A" w14:textId="77777777" w:rsidR="004C59F5" w:rsidRPr="00E61BFF" w:rsidRDefault="004C59F5" w:rsidP="000B6E75">
      <w:pPr>
        <w:pStyle w:val="58Schlussteile0Abs"/>
      </w:pPr>
      <w:r>
        <w:t>ja kui sellega rikutakse kaitset vajava isiku huve, on nimetatud isikul õigus saada meediakanali omanikult hüvitist tekitatud kahju eest (§ 8 lõige 1), välja arvatud juhul, kui selle teabe avaldamiseks oli ülekaalukas avalik huvi (lõige 1).“</w:t>
      </w:r>
    </w:p>
    <w:p w14:paraId="3943AEB9" w14:textId="77777777" w:rsidR="004C59F5" w:rsidRPr="00E61BFF" w:rsidRDefault="004C59F5" w:rsidP="000B6E75">
      <w:pPr>
        <w:pStyle w:val="21NovAo1"/>
      </w:pPr>
      <w:r>
        <w:t>6. § 7a lõike 2 punkt 1 on sõnastatud järgmiselt:</w:t>
      </w:r>
    </w:p>
    <w:p w14:paraId="7492D3AF" w14:textId="77777777" w:rsidR="004C59F5" w:rsidRPr="00E61BFF" w:rsidRDefault="004C59F5" w:rsidP="000B6E75">
      <w:pPr>
        <w:pStyle w:val="52Aufzaehle1Ziffer"/>
      </w:pPr>
      <w:r>
        <w:tab/>
        <w:t>„1.</w:t>
      </w:r>
      <w:r>
        <w:tab/>
        <w:t>vastutab § 1 lõikes 1 või lõikes 1a osutatud juhtudel, kui sekkub ohvri, sugulase või tunnistaja isiklikku eluvaldkonda või kahjustab tema õigustatud julgeolekuhuve;“</w:t>
      </w:r>
    </w:p>
    <w:p w14:paraId="3FCFD0AB" w14:textId="77777777" w:rsidR="004C59F5" w:rsidRPr="00E61BFF" w:rsidRDefault="004C59F5" w:rsidP="00220685">
      <w:pPr>
        <w:pStyle w:val="22NovAo2"/>
      </w:pPr>
      <w:r>
        <w:t xml:space="preserve">7. Paragrahvi 7a lõike 3 punktis 3 lisatakse sõna </w:t>
      </w:r>
      <w:r>
        <w:rPr>
          <w:i w:val="0"/>
        </w:rPr>
        <w:t>„käsitleb“</w:t>
      </w:r>
      <w:r>
        <w:t xml:space="preserve"> järele lisand.</w:t>
      </w:r>
    </w:p>
    <w:p w14:paraId="2284FFC6" w14:textId="77777777" w:rsidR="004C59F5" w:rsidRPr="00E61BFF" w:rsidRDefault="004C59F5" w:rsidP="000B6E75">
      <w:pPr>
        <w:pStyle w:val="21NovAo1"/>
      </w:pPr>
      <w:r>
        <w:t>8. § 7b lõige 1 sõnastatakse järgmiselt:</w:t>
      </w:r>
    </w:p>
    <w:p w14:paraId="635505A0" w14:textId="77777777" w:rsidR="004C59F5" w:rsidRPr="00E61BFF" w:rsidRDefault="004C59F5" w:rsidP="000B6E75">
      <w:pPr>
        <w:pStyle w:val="51Abs"/>
      </w:pPr>
      <w:r>
        <w:t>„1) Kui meedias kujutatakse isikut, keda kahtlustatakse kohtulikult karistatavas teos, kuid keda ei ole lõpliku kohtuotsusega süüdi mõistetud või seda isikut kirjeldatakse karistatava teo täideviijana, mitte ainult kahtlustatavana, siis on kannatanud isikul õigus saada meediakanali omanikult hüvitist tekitatud kahju eest (§ 8 lõige 1).“</w:t>
      </w:r>
    </w:p>
    <w:p w14:paraId="4FC5BBE4" w14:textId="77777777" w:rsidR="004C59F5" w:rsidRPr="00E61BFF" w:rsidRDefault="004C59F5" w:rsidP="00220685">
      <w:pPr>
        <w:pStyle w:val="22NovAo2"/>
      </w:pPr>
      <w:r>
        <w:t xml:space="preserve">9. § 7c lõikes 1 asendatakse esimeses lauses sõna </w:t>
      </w:r>
      <w:r>
        <w:rPr>
          <w:i w:val="0"/>
        </w:rPr>
        <w:t>„solvang“</w:t>
      </w:r>
      <w:r>
        <w:t xml:space="preserve"> sõnaga </w:t>
      </w:r>
      <w:r>
        <w:rPr>
          <w:i w:val="0"/>
        </w:rPr>
        <w:t>„isikukahjustus (§ 8 lõige 1)“</w:t>
      </w:r>
      <w:r>
        <w:t>; teine lause jäetakse välja.</w:t>
      </w:r>
    </w:p>
    <w:p w14:paraId="6FC601D3" w14:textId="77777777" w:rsidR="004C59F5" w:rsidRPr="00E61BFF" w:rsidRDefault="004C59F5" w:rsidP="000B6E75">
      <w:pPr>
        <w:pStyle w:val="21NovAo1"/>
      </w:pPr>
      <w:r>
        <w:t>10. Artikli 8 lõiked 1 ja 2 on sõnastatud järgmiselt:</w:t>
      </w:r>
    </w:p>
    <w:p w14:paraId="1A41005A" w14:textId="77777777" w:rsidR="004C59F5" w:rsidRPr="00E61BFF" w:rsidRDefault="004C59F5" w:rsidP="000B6E75">
      <w:pPr>
        <w:pStyle w:val="51Abs"/>
      </w:pPr>
      <w:r>
        <w:t xml:space="preserve">1) §-des 6, 7, 7a, 7b või 7c osutatud hüvitise suurus arvutatakse proportsionaalselt väljaande ulatuse, avaldamisväärtuse ja mõjuga, samuti eelkõige andmekandja liigi ja leviku ulatusega ning veebisaitide puhul </w:t>
      </w:r>
      <w:r>
        <w:lastRenderedPageBreak/>
        <w:t>ka nende lõppkasutajate arvuga, kes on väljaandele ligi pääsenud; Mõju tuleb üldjuhul pidada väiksemaks, kui teadeanne avaldatakse pärast varasemaid võrreldavaid teadeandeid, kuid enne kui esimeses astmes tehakse otsus nende hüvitiste kohta selle alajaotuse alusel. Kui kannatanud isikul on avaldamise tõttu selle alajaotuse mitme sätte kohaselt õigus saada hüvitist, tuleb määrata üks, vastavalt suurem hüvitise summa. Arvestada tuleb meediakanali omaniku äritegevuse püsimisega. Hüvitise suuruseks kehtestatakse vähemalt 100 eurot ja 40 000 eurot ei või siiski ületada 100 000 eurot vastavalt §-dele 6, 7 või 7c, kui avaldamisest või meediaomaniku või tema töötaja raskest hooletusest või tahtlikust käitumisest tulenevad eriti tõsised tagajärjed.</w:t>
      </w:r>
    </w:p>
    <w:p w14:paraId="4AB74A8C" w14:textId="77777777" w:rsidR="004C59F5" w:rsidRPr="00E61BFF" w:rsidRDefault="004C59F5" w:rsidP="000B6E75">
      <w:pPr>
        <w:pStyle w:val="51Abs"/>
      </w:pPr>
      <w:r>
        <w:t>2) Kannatanud isik võib kuni põhimenetluse lõpuni nõuda hüvitist vastavalt paragrahvidele 6, 7, 7a, 7b või 7c kriminaalmenetluses, millega meediakanali omanik on seotud kahtlustatavana või § 41 lõike 6 kohaselt. Kui sellist kriminaalmenetlust ei toimu, saab nõude esitada eraldi avaldusena (§ 8a). §-de 6, 7, 7a, 7b või 7c kohase kahju hüvitamise nõude kohta tehtud otsuses ei ole kohus kohustatud mõjutatavat isikut õiguslikult hindama; Kannatanud isik võib siiski kinnitada, et ta ei tugine selle alajaotuse üksikutele sätetele.“</w:t>
      </w:r>
    </w:p>
    <w:p w14:paraId="74B3AC21" w14:textId="77777777" w:rsidR="004C59F5" w:rsidRPr="00E61BFF" w:rsidRDefault="004C59F5" w:rsidP="00B47DC9">
      <w:pPr>
        <w:pStyle w:val="22NovAo2"/>
      </w:pPr>
      <w:r>
        <w:t xml:space="preserve">11. § 8a lõikes 2 pärast sõnu </w:t>
      </w:r>
      <w:r>
        <w:rPr>
          <w:i w:val="0"/>
        </w:rPr>
        <w:t>„kuue kuu“</w:t>
      </w:r>
      <w:r>
        <w:t xml:space="preserve"> sõnad </w:t>
      </w:r>
      <w:r>
        <w:rPr>
          <w:i w:val="0"/>
        </w:rPr>
        <w:t>„Kui taotleja on ohver StPO § 65 lõike 1 punktide a ja b tähenduses, lisatakse ühe aasta jooksul“</w:t>
      </w:r>
      <w:r>
        <w:t xml:space="preserve"> ning sõna </w:t>
      </w:r>
      <w:r>
        <w:rPr>
          <w:i w:val="0"/>
        </w:rPr>
        <w:t>„kuulamine“</w:t>
      </w:r>
      <w:r>
        <w:t xml:space="preserve"> asendatakse sõnaga </w:t>
      </w:r>
      <w:r>
        <w:rPr>
          <w:i w:val="0"/>
        </w:rPr>
        <w:t>„peamine kuulamine“</w:t>
      </w:r>
      <w:r>
        <w:t>.</w:t>
      </w:r>
    </w:p>
    <w:p w14:paraId="2BDF74F0" w14:textId="77777777" w:rsidR="004C59F5" w:rsidRPr="00E61BFF" w:rsidRDefault="004C59F5" w:rsidP="000B6E75">
      <w:pPr>
        <w:pStyle w:val="21NovAo1"/>
      </w:pPr>
      <w:r>
        <w:t>12. Senine § 8a lõige 4 liigitatakse vastavalt § 8 lõikele 3; artiklile 8a lisatakse järgmine lõige 4:</w:t>
      </w:r>
    </w:p>
    <w:p w14:paraId="3695D3E9" w14:textId="77777777" w:rsidR="004C59F5" w:rsidRPr="00E61BFF" w:rsidRDefault="004C59F5" w:rsidP="000B6E75">
      <w:pPr>
        <w:pStyle w:val="51Abs"/>
      </w:pPr>
      <w:r>
        <w:t>„4) Kohaldatakse § 8 lõiget 4.“</w:t>
      </w:r>
    </w:p>
    <w:p w14:paraId="2CEF5861" w14:textId="77777777" w:rsidR="004C59F5" w:rsidRPr="00E61BFF" w:rsidRDefault="004C59F5" w:rsidP="000B6E75">
      <w:pPr>
        <w:pStyle w:val="21NovAo1"/>
      </w:pPr>
      <w:r>
        <w:t>13. Enne lõiget 9 lisatakse järgmine nimi ja pealkiri:</w:t>
      </w:r>
    </w:p>
    <w:p w14:paraId="751E46B2" w14:textId="77777777" w:rsidR="004C59F5" w:rsidRPr="00E61BFF" w:rsidRDefault="004C59F5" w:rsidP="000B6E75">
      <w:pPr>
        <w:pStyle w:val="41UeberschrG1"/>
      </w:pPr>
      <w:r>
        <w:t>„Teine alajaotus</w:t>
      </w:r>
    </w:p>
    <w:p w14:paraId="258B031E" w14:textId="77777777" w:rsidR="004C59F5" w:rsidRPr="00E61BFF" w:rsidRDefault="004C59F5" w:rsidP="000B6E75">
      <w:pPr>
        <w:pStyle w:val="43UeberschrG2"/>
      </w:pPr>
      <w:r>
        <w:t>Vastulause ja hilisem teatamine kriminaalmenetluse tulemusest“</w:t>
      </w:r>
    </w:p>
    <w:p w14:paraId="61035177" w14:textId="77777777" w:rsidR="004C59F5" w:rsidRPr="00E61BFF" w:rsidRDefault="004C59F5" w:rsidP="00B47DC9">
      <w:pPr>
        <w:pStyle w:val="22NovAo2"/>
      </w:pPr>
      <w:r>
        <w:t xml:space="preserve">14. § 10 lõike 1 punktis 3 asendatakse sõna </w:t>
      </w:r>
      <w:r>
        <w:rPr>
          <w:i w:val="0"/>
        </w:rPr>
        <w:t>„põhimenetlus“</w:t>
      </w:r>
      <w:r>
        <w:t xml:space="preserve"> sõnaga </w:t>
      </w:r>
      <w:r>
        <w:rPr>
          <w:i w:val="0"/>
        </w:rPr>
        <w:t>„kriminaalmenetlus“</w:t>
      </w:r>
      <w:r>
        <w:t>.</w:t>
      </w:r>
    </w:p>
    <w:p w14:paraId="57592B94" w14:textId="77777777" w:rsidR="004C59F5" w:rsidRPr="00E61BFF" w:rsidRDefault="004C59F5" w:rsidP="00B47DC9">
      <w:pPr>
        <w:pStyle w:val="22NovAo2"/>
      </w:pPr>
      <w:r>
        <w:t xml:space="preserve">15. § 11 lõike 1 punktis 10 asendatakse sõnastus </w:t>
      </w:r>
      <w:r>
        <w:rPr>
          <w:i w:val="0"/>
        </w:rPr>
        <w:t>„avalduse tagasilükkamisest“</w:t>
      </w:r>
      <w:r>
        <w:t xml:space="preserve"> sõnastusega </w:t>
      </w:r>
      <w:r>
        <w:rPr>
          <w:i w:val="0"/>
        </w:rPr>
        <w:t>„süüdistusest hoidumisest“</w:t>
      </w:r>
      <w:r>
        <w:t>.</w:t>
      </w:r>
    </w:p>
    <w:p w14:paraId="12E9B572" w14:textId="77777777" w:rsidR="004C59F5" w:rsidRPr="00E61BFF" w:rsidRDefault="004C59F5" w:rsidP="00B47DC9">
      <w:pPr>
        <w:pStyle w:val="22NovAo2"/>
      </w:pPr>
      <w:r>
        <w:t xml:space="preserve">16. § 13 lõikes 7 asendatakse sõna </w:t>
      </w:r>
      <w:r>
        <w:rPr>
          <w:i w:val="0"/>
        </w:rPr>
        <w:t>„piiranguteta“</w:t>
      </w:r>
      <w:r>
        <w:t xml:space="preserve"> sõnaga </w:t>
      </w:r>
      <w:r>
        <w:rPr>
          <w:i w:val="0"/>
        </w:rPr>
        <w:t>„sekkumisteta“</w:t>
      </w:r>
      <w:r>
        <w:t>.</w:t>
      </w:r>
    </w:p>
    <w:p w14:paraId="2AE28060" w14:textId="77777777" w:rsidR="004C59F5" w:rsidRPr="00E61BFF" w:rsidRDefault="004C59F5" w:rsidP="00B47DC9">
      <w:pPr>
        <w:pStyle w:val="22NovAo2"/>
      </w:pPr>
      <w:r>
        <w:t xml:space="preserve">17. § 14 lõikes 2 lisatakse sõna </w:t>
      </w:r>
      <w:r>
        <w:rPr>
          <w:i w:val="0"/>
        </w:rPr>
        <w:t>„kohtuniku“</w:t>
      </w:r>
      <w:r>
        <w:t xml:space="preserve"> ette sõna </w:t>
      </w:r>
      <w:r>
        <w:rPr>
          <w:i w:val="0"/>
        </w:rPr>
        <w:t>„ringkonnakohtu“</w:t>
      </w:r>
      <w:r>
        <w:t>.</w:t>
      </w:r>
    </w:p>
    <w:p w14:paraId="4E63B1EC" w14:textId="77777777" w:rsidR="004C59F5" w:rsidRPr="00E61BFF" w:rsidRDefault="004C59F5" w:rsidP="00B47DC9">
      <w:pPr>
        <w:pStyle w:val="22NovAo2"/>
      </w:pPr>
      <w:r>
        <w:t xml:space="preserve">18. § 14 lõike 3 lõpus lisatakse pärast sõnu </w:t>
      </w:r>
      <w:r>
        <w:rPr>
          <w:i w:val="0"/>
        </w:rPr>
        <w:t>„on lubatud“</w:t>
      </w:r>
      <w:r>
        <w:t xml:space="preserve"> järgmine fraas: </w:t>
      </w:r>
      <w:r>
        <w:rPr>
          <w:i w:val="0"/>
        </w:rPr>
        <w:t>„ja ilmselgelt põhjendamatu avalduse võib tagasi lükata alles pärast avalikku kohtuistungit, välja arvatud juhul, kui taotleja sellest sõnaselgelt loobub“</w:t>
      </w:r>
    </w:p>
    <w:p w14:paraId="61AD9CC6" w14:textId="77777777" w:rsidR="004C59F5" w:rsidRPr="00E61BFF" w:rsidRDefault="004C59F5" w:rsidP="000B6E75">
      <w:pPr>
        <w:pStyle w:val="21NovAo1"/>
      </w:pPr>
      <w:r>
        <w:t>19. § 15 lõige 1 sõnastatakse järgmiselt:</w:t>
      </w:r>
    </w:p>
    <w:p w14:paraId="5C64434D" w14:textId="77777777" w:rsidR="004C59F5" w:rsidRPr="00E61BFF" w:rsidRDefault="004C59F5" w:rsidP="000B6E75">
      <w:pPr>
        <w:pStyle w:val="51Abs"/>
      </w:pPr>
      <w:r>
        <w:t>„1) Kui seadusega ettenähtud tähtaja jooksul ei esitatud vastuväiteid, peab kohus otsuse tegema viie tööpäeva jooksul pärast tähtaja möödumist. Taotlus rahuldatakse ilma istungita; aga kui taotlus ei ole selgelt põhjendatud, tehakse otsus pärast avalikku suulist menetlust, välja arvatud juhul, kui taotleja sellest sõnaselgelt loobub.“</w:t>
      </w:r>
    </w:p>
    <w:p w14:paraId="0D76C5FB" w14:textId="77777777" w:rsidR="004C59F5" w:rsidRPr="00E61BFF" w:rsidRDefault="004C59F5" w:rsidP="00B47DC9">
      <w:pPr>
        <w:pStyle w:val="22NovAo2"/>
      </w:pPr>
      <w:r>
        <w:t xml:space="preserve">20. § 15 lõikes 3 asendatakse sõnastus </w:t>
      </w:r>
      <w:r>
        <w:rPr>
          <w:i w:val="0"/>
        </w:rPr>
        <w:t>„avalikku kohtuistungit“</w:t>
      </w:r>
      <w:r>
        <w:t xml:space="preserve"> sõnastusega </w:t>
      </w:r>
      <w:r>
        <w:rPr>
          <w:i w:val="0"/>
        </w:rPr>
        <w:t>„põhimenetluse toimumist“</w:t>
      </w:r>
      <w:r>
        <w:t>.</w:t>
      </w:r>
    </w:p>
    <w:p w14:paraId="2095DBF8" w14:textId="77777777" w:rsidR="004C59F5" w:rsidRPr="00E61BFF" w:rsidRDefault="004C59F5" w:rsidP="00B47DC9">
      <w:pPr>
        <w:pStyle w:val="22NovAo2"/>
      </w:pPr>
      <w:r>
        <w:t xml:space="preserve">21. § 16 lõikes 1 asendatakse sõnastus </w:t>
      </w:r>
      <w:r>
        <w:rPr>
          <w:i w:val="0"/>
        </w:rPr>
        <w:t>„avalikku kohtuistungit“</w:t>
      </w:r>
      <w:r>
        <w:t xml:space="preserve"> sõnastusega </w:t>
      </w:r>
      <w:r>
        <w:rPr>
          <w:i w:val="0"/>
        </w:rPr>
        <w:t>„põhimenetluse toimumist“</w:t>
      </w:r>
      <w:r>
        <w:t>.</w:t>
      </w:r>
    </w:p>
    <w:p w14:paraId="30246BE5" w14:textId="77777777" w:rsidR="004C59F5" w:rsidRPr="00E61BFF" w:rsidRDefault="004C59F5" w:rsidP="00B47DC9">
      <w:pPr>
        <w:pStyle w:val="22NovAo2"/>
      </w:pPr>
      <w:r>
        <w:t xml:space="preserve">22. § 20 lõikes 2 sõna </w:t>
      </w:r>
      <w:r>
        <w:rPr>
          <w:i w:val="0"/>
        </w:rPr>
        <w:t>„Avaldamise päring“</w:t>
      </w:r>
      <w:r>
        <w:t xml:space="preserve">; asendatakse sõnaga </w:t>
      </w:r>
      <w:r>
        <w:rPr>
          <w:i w:val="0"/>
        </w:rPr>
        <w:t>„Avaldamise korraldus“</w:t>
      </w:r>
      <w:r>
        <w:t>.</w:t>
      </w:r>
    </w:p>
    <w:p w14:paraId="004C0FE1" w14:textId="77777777" w:rsidR="004C59F5" w:rsidRPr="00E61BFF" w:rsidRDefault="004C59F5" w:rsidP="000B6E75">
      <w:pPr>
        <w:pStyle w:val="21NovAo1"/>
      </w:pPr>
      <w:r>
        <w:lastRenderedPageBreak/>
        <w:t>23. Enne § 22 lisatakse järgmine nimi ja pealkiri:</w:t>
      </w:r>
    </w:p>
    <w:p w14:paraId="0109DC7F" w14:textId="77777777" w:rsidR="004C59F5" w:rsidRPr="00E61BFF" w:rsidRDefault="004C59F5" w:rsidP="000B6E75">
      <w:pPr>
        <w:pStyle w:val="41UeberschrG1"/>
      </w:pPr>
      <w:r>
        <w:t>„Kolmas alajaotus</w:t>
      </w:r>
    </w:p>
    <w:p w14:paraId="725C98A0" w14:textId="77777777" w:rsidR="004C59F5" w:rsidRPr="00E61BFF" w:rsidRDefault="004C59F5" w:rsidP="000B6E75">
      <w:pPr>
        <w:pStyle w:val="43UeberschrG2"/>
      </w:pPr>
      <w:r>
        <w:t>Pildi- ja helisalvestised ning ülekanded“</w:t>
      </w:r>
    </w:p>
    <w:p w14:paraId="65582BF2" w14:textId="77777777" w:rsidR="004C59F5" w:rsidRPr="00E61BFF" w:rsidRDefault="004C59F5" w:rsidP="000B6E75">
      <w:pPr>
        <w:pStyle w:val="21NovAo1"/>
      </w:pPr>
      <w:r>
        <w:t>24. Enne § 23 lisatakse järgmine nimi ja pealkiri:</w:t>
      </w:r>
    </w:p>
    <w:p w14:paraId="029ABEDB" w14:textId="77777777" w:rsidR="004C59F5" w:rsidRPr="00E61BFF" w:rsidRDefault="004C59F5" w:rsidP="000B6E75">
      <w:pPr>
        <w:pStyle w:val="41UeberschrG1"/>
      </w:pPr>
      <w:r>
        <w:t>„Neljas alajaotus</w:t>
      </w:r>
    </w:p>
    <w:p w14:paraId="0598862B" w14:textId="77777777" w:rsidR="004C59F5" w:rsidRPr="00E61BFF" w:rsidRDefault="004C59F5" w:rsidP="000B6E75">
      <w:pPr>
        <w:pStyle w:val="43UeberschrG2"/>
      </w:pPr>
      <w:r>
        <w:t>Keelatud mõjutamine kriminaalmenetluses“</w:t>
      </w:r>
    </w:p>
    <w:p w14:paraId="475FD25A" w14:textId="77777777" w:rsidR="004C59F5" w:rsidRPr="00E61BFF" w:rsidRDefault="004C59F5" w:rsidP="00B47DC9">
      <w:pPr>
        <w:pStyle w:val="22NovAo2"/>
      </w:pPr>
      <w:r>
        <w:t xml:space="preserve">25. § 30 sõna </w:t>
      </w:r>
      <w:r>
        <w:rPr>
          <w:i w:val="0"/>
        </w:rPr>
        <w:t>„üks“</w:t>
      </w:r>
      <w:r>
        <w:t xml:space="preserve">; asendatakse sõnaga </w:t>
      </w:r>
      <w:r>
        <w:rPr>
          <w:i w:val="0"/>
        </w:rPr>
        <w:t>„üks“</w:t>
      </w:r>
      <w:r>
        <w:t>.</w:t>
      </w:r>
    </w:p>
    <w:p w14:paraId="4215900A" w14:textId="77777777" w:rsidR="004C59F5" w:rsidRPr="00E61BFF" w:rsidRDefault="004C59F5" w:rsidP="00B47DC9">
      <w:pPr>
        <w:pStyle w:val="22NovAo2"/>
      </w:pPr>
      <w:r>
        <w:t xml:space="preserve">26. § 32 teises lauses lisatakse pärast sõna </w:t>
      </w:r>
      <w:r>
        <w:rPr>
          <w:i w:val="0"/>
        </w:rPr>
        <w:t>„ähvardas“</w:t>
      </w:r>
      <w:r>
        <w:t xml:space="preserve"> fraas </w:t>
      </w:r>
      <w:r>
        <w:rPr>
          <w:i w:val="0"/>
        </w:rPr>
        <w:t>„või see sooritati perioodilise elektroonilise andmekandja sisu kaudu“</w:t>
      </w:r>
      <w:r>
        <w:t>.</w:t>
      </w:r>
    </w:p>
    <w:p w14:paraId="5043B9E1" w14:textId="77777777" w:rsidR="004C59F5" w:rsidRPr="00E61BFF" w:rsidRDefault="004C59F5" w:rsidP="00B47DC9">
      <w:pPr>
        <w:pStyle w:val="22NovAo2"/>
      </w:pPr>
      <w:r>
        <w:t xml:space="preserve">27. Paragrahvi 33 lõike 2 esimeses lauses asendatakse fraas </w:t>
      </w:r>
      <w:r>
        <w:rPr>
          <w:i w:val="0"/>
        </w:rPr>
        <w:t>„ei ole võimalik karistuse välistamise põhjuste tõttu“</w:t>
      </w:r>
      <w:r>
        <w:t xml:space="preserve"> fraasiga </w:t>
      </w:r>
      <w:r>
        <w:rPr>
          <w:i w:val="0"/>
        </w:rPr>
        <w:t>„põhjustel, mis välistavad karistuse, näiteks seetõttu, et kuriteo karistatavus on aegunud“</w:t>
      </w:r>
      <w:r>
        <w:t>.</w:t>
      </w:r>
    </w:p>
    <w:p w14:paraId="513EDC4E" w14:textId="77777777" w:rsidR="004C59F5" w:rsidRPr="00E61BFF" w:rsidRDefault="004C59F5" w:rsidP="00B47DC9">
      <w:pPr>
        <w:pStyle w:val="22NovAo2"/>
      </w:pPr>
      <w:r>
        <w:t>28. § 33 lõige 3 jäetakse välja.</w:t>
      </w:r>
    </w:p>
    <w:p w14:paraId="739687EE" w14:textId="77777777" w:rsidR="004C59F5" w:rsidRPr="00E61BFF" w:rsidRDefault="004C59F5" w:rsidP="000B6E75">
      <w:pPr>
        <w:pStyle w:val="21NovAo1"/>
      </w:pPr>
      <w:r>
        <w:t>29. § 33 järele lisatakse järgmine § 33a pealkirjaga:</w:t>
      </w:r>
    </w:p>
    <w:p w14:paraId="70E9AF5E" w14:textId="77777777" w:rsidR="004C59F5" w:rsidRPr="00E61BFF" w:rsidRDefault="004C59F5" w:rsidP="000B6E75">
      <w:pPr>
        <w:pStyle w:val="45UeberschrPara"/>
      </w:pPr>
      <w:r>
        <w:t>„Konfiskeerimine tööandja kahjustamise tõttu</w:t>
      </w:r>
    </w:p>
    <w:p w14:paraId="4FF9975E" w14:textId="77777777" w:rsidR="004C59F5" w:rsidRPr="00E61BFF" w:rsidRDefault="004C59F5" w:rsidP="000B6E75">
      <w:pPr>
        <w:pStyle w:val="51Abs"/>
      </w:pPr>
      <w:r>
        <w:rPr>
          <w:rStyle w:val="991GldSymbol"/>
        </w:rPr>
        <w:t>§ 33a.</w:t>
      </w:r>
      <w:r>
        <w:t> 1) Kui töötaja või töötaja tegevusega seotud andmekandjal esitatakse (karistusseadustiku § 74 lõike 1 punkt 5) laimamise, solvamise, pilkamise või teotamise objektiivsed asjaolud ja kui selline käitumine võib oluliselt mõjutada tööandjat või tööandja võimet kasutada töötajat või tõsiselt kahjustada tööandjat või tööandja mainet, on viimasel õigus esitada taotlus levitamiseks mõeldud andmekandjate kogumiseks või asjakohaste osade veebilehelt kustutamiseks. Sama kehtib vabatahtlike ja organisatsiooni organite kohta. Tööandja nõude kinnitamine ei ole seotud töötaja nõusolekuga. Tööandjal ei ole kohustust esitada seaduslikku nõuet töötajat puudutavate isikuõiguste rikkumise kohta, eelkõige tööõigusest tuleneva hoolsuskohustuse tõttu.</w:t>
      </w:r>
    </w:p>
    <w:p w14:paraId="3530D27B" w14:textId="77777777" w:rsidR="004C59F5" w:rsidRPr="00E61BFF" w:rsidRDefault="00730F15" w:rsidP="00730F15">
      <w:pPr>
        <w:pStyle w:val="51Abs"/>
      </w:pPr>
      <w:r>
        <w:t>2) Õigus konfiskeerimisele puudub süüdistuse esitamise korral, kui on olemas kõrvaldamise alus § 6 lõike 2 punkti 2 või 4 alusel. Kohaldada tuleb § 33 lõike 2 teist lauset.</w:t>
      </w:r>
    </w:p>
    <w:p w14:paraId="2D0790A7" w14:textId="77777777" w:rsidR="004C59F5" w:rsidRPr="00E61BFF" w:rsidRDefault="004C59F5" w:rsidP="000B6E75">
      <w:pPr>
        <w:pStyle w:val="51Abs"/>
      </w:pPr>
      <w:r>
        <w:t>3) Tööandja võib taotleda konfiskeerimist kriminaalmenetluses kuni põhiistungi lõpuni või iseseisva taotluse esitamiseni. Taotluse menetlemise suhtes kohaldatakse § 33 lõikeid 4 ja 5.</w:t>
      </w:r>
    </w:p>
    <w:p w14:paraId="16451396" w14:textId="77777777" w:rsidR="004C59F5" w:rsidRPr="00E61BFF" w:rsidRDefault="004C59F5" w:rsidP="000B6E75">
      <w:pPr>
        <w:pStyle w:val="51Abs"/>
      </w:pPr>
      <w:r>
        <w:t>4) Taotluse võib esitada ka iseseisva menetluse korras, mis viiakse läbi kannatanud isiku sama avaldamise avalduse alusel ja vastupidi.“</w:t>
      </w:r>
    </w:p>
    <w:p w14:paraId="730D2ED1" w14:textId="77777777" w:rsidR="004C59F5" w:rsidRPr="00E61BFF" w:rsidRDefault="004C59F5" w:rsidP="00B47DC9">
      <w:pPr>
        <w:pStyle w:val="22NovAo2"/>
      </w:pPr>
      <w:r>
        <w:t xml:space="preserve">30. § 34 lõike 3 esimeses lauses asendatakse fraas </w:t>
      </w:r>
      <w:r>
        <w:rPr>
          <w:i w:val="0"/>
        </w:rPr>
        <w:t>„ei ole võimalik karistuse välistamiseks“</w:t>
      </w:r>
      <w:r>
        <w:t xml:space="preserve"> fraasiga </w:t>
      </w:r>
      <w:r>
        <w:rPr>
          <w:i w:val="0"/>
        </w:rPr>
        <w:t>„põhjustel, mis välistavad karistuse, näiteks süüteo karistamatus on aegunud“</w:t>
      </w:r>
      <w:r>
        <w:t xml:space="preserve">; teises lauses asendatakse sõna </w:t>
      </w:r>
      <w:r>
        <w:rPr>
          <w:i w:val="0"/>
        </w:rPr>
        <w:t>„ja punkt 3“</w:t>
      </w:r>
      <w:r>
        <w:t xml:space="preserve"> sõnaga </w:t>
      </w:r>
      <w:r>
        <w:rPr>
          <w:i w:val="0"/>
        </w:rPr>
        <w:t>„on“</w:t>
      </w:r>
      <w:r>
        <w:t>.</w:t>
      </w:r>
    </w:p>
    <w:p w14:paraId="5BC9F326" w14:textId="77777777" w:rsidR="004C59F5" w:rsidRPr="00E61BFF" w:rsidRDefault="004C59F5" w:rsidP="00B47DC9">
      <w:pPr>
        <w:pStyle w:val="22NovAo2"/>
      </w:pPr>
      <w:r>
        <w:t xml:space="preserve">31. § 36 lõikes 1 asendatakse viide </w:t>
      </w:r>
      <w:r>
        <w:rPr>
          <w:i w:val="0"/>
        </w:rPr>
        <w:t>„§ 33“</w:t>
      </w:r>
      <w:r>
        <w:t xml:space="preserve"> viitega </w:t>
      </w:r>
      <w:r>
        <w:rPr>
          <w:i w:val="0"/>
        </w:rPr>
        <w:t>„§ 33 või § 33a“</w:t>
      </w:r>
      <w:r>
        <w:t>.</w:t>
      </w:r>
    </w:p>
    <w:p w14:paraId="6D81CFF2" w14:textId="77777777" w:rsidR="004C59F5" w:rsidRPr="00E61BFF" w:rsidRDefault="004C59F5" w:rsidP="00B47DC9">
      <w:pPr>
        <w:pStyle w:val="22NovAo2"/>
      </w:pPr>
      <w:r>
        <w:t xml:space="preserve">32. § 36 lõikes 2 lisatakse sõnade </w:t>
      </w:r>
      <w:r>
        <w:rPr>
          <w:i w:val="0"/>
        </w:rPr>
        <w:t>„meediasisuga seotud rikkumise“</w:t>
      </w:r>
      <w:r>
        <w:t xml:space="preserve"> järele sõnad </w:t>
      </w:r>
      <w:r>
        <w:rPr>
          <w:i w:val="0"/>
        </w:rPr>
        <w:t>„või § 33a kohaselt“</w:t>
      </w:r>
      <w:r>
        <w:t>.</w:t>
      </w:r>
    </w:p>
    <w:p w14:paraId="28135A45" w14:textId="77777777" w:rsidR="004C59F5" w:rsidRPr="00E61BFF" w:rsidRDefault="004C59F5" w:rsidP="000B6E75">
      <w:pPr>
        <w:pStyle w:val="21NovAo1"/>
      </w:pPr>
      <w:r>
        <w:t>33. Paragrahvi 36a järele lisatakse järgmine paragrahv 36b, sealhulgas pealkiri:</w:t>
      </w:r>
    </w:p>
    <w:p w14:paraId="097ADD84" w14:textId="77777777" w:rsidR="004C59F5" w:rsidRPr="00E61BFF" w:rsidRDefault="004C59F5" w:rsidP="000B6E75">
      <w:pPr>
        <w:pStyle w:val="45UeberschrPara"/>
      </w:pPr>
      <w:r>
        <w:t>„Konfiskeerimise, arestimise ja kohtuotsuste avaldamise jõustamine veebilehtedel teenusepakkujate vastu</w:t>
      </w:r>
    </w:p>
    <w:p w14:paraId="4990B944" w14:textId="77777777" w:rsidR="004C59F5" w:rsidRPr="00E61BFF" w:rsidRDefault="004C59F5" w:rsidP="000B6E75">
      <w:pPr>
        <w:pStyle w:val="51Abs"/>
      </w:pPr>
      <w:r>
        <w:rPr>
          <w:rStyle w:val="991GldSymbol"/>
        </w:rPr>
        <w:t>§ 36b.</w:t>
      </w:r>
      <w:r>
        <w:t> Kui meediaomaniku registrijärgne asukoht on välismaal või kui meediaomaniku vastu ei saa muul põhjusel hagi esitada, annab kohus prokuröri või taotleja taotlusel veebimajutusteenuse pakkujale korralduse (ECG § 16 E</w:t>
      </w:r>
      <w:r>
        <w:noBreakHyphen/>
        <w:t>kaubandusseadus, Austria ametlik väljaanne I nr 152/2001) kustutada veebisaidi asjaomased osad (konfiskeerimine või arestimine – § 33, 33a, 36) või avaldada kohtuotsuse osad (§ 34).“</w:t>
      </w:r>
    </w:p>
    <w:p w14:paraId="502034E7" w14:textId="77777777" w:rsidR="004C59F5" w:rsidRPr="00E61BFF" w:rsidRDefault="004C59F5" w:rsidP="00B47DC9">
      <w:pPr>
        <w:pStyle w:val="22NovAo2"/>
      </w:pPr>
      <w:r>
        <w:t xml:space="preserve">34. § 41 lõikes 1 pärast </w:t>
      </w:r>
      <w:r>
        <w:rPr>
          <w:i w:val="0"/>
        </w:rPr>
        <w:t>„33(2)“</w:t>
      </w:r>
      <w:r>
        <w:t xml:space="preserve"> lisatakse </w:t>
      </w:r>
      <w:r>
        <w:rPr>
          <w:i w:val="0"/>
        </w:rPr>
        <w:t>„, 33a(3)“</w:t>
      </w:r>
      <w:r>
        <w:t xml:space="preserve"> sulgudesse.</w:t>
      </w:r>
    </w:p>
    <w:p w14:paraId="7E9A5B87" w14:textId="77777777" w:rsidR="004C59F5" w:rsidRPr="00E61BFF" w:rsidRDefault="004C59F5" w:rsidP="000B6E75">
      <w:pPr>
        <w:pStyle w:val="21NovAo1"/>
      </w:pPr>
      <w:r>
        <w:t>35. § 41 lõige 5 sõnastatakse järgmiselt:</w:t>
      </w:r>
    </w:p>
    <w:p w14:paraId="02B6538A" w14:textId="77777777" w:rsidR="004C59F5" w:rsidRPr="00E61BFF" w:rsidRDefault="004C59F5" w:rsidP="000B6E75">
      <w:pPr>
        <w:pStyle w:val="51Abs"/>
      </w:pPr>
      <w:r>
        <w:t xml:space="preserve">„5) Erasüüdistuse alusel toimuvale menetlusele kohaldatakse kriminaalmenetluse seadustiku § 71; samamoodi kohaldatakse seal varaliste korralduste sõltumatu menetluse sätteid sõltumatu menetluse kohaselt vastavalt § 8a, § 33 lõikele 2, § 33a lõikele 3 ja § 34 lõikele 3. Kohus peab süüdistuse või iseseisva </w:t>
      </w:r>
      <w:r>
        <w:lastRenderedPageBreak/>
        <w:t>menetluse algatamise avalduse läbi vaatama vastavalt kriminaalmenetluse seadustiku §-le 485, kusjuures ta peab pärast avalikku kohtuistungit tegema otsuse kriminaalmenetluse seadustiku § 485 lõike 1 punkti 3 juhtudel koostoimes kriminaalmenetluse seadustiku § 212 punktidega 1 ja 2, välja arvatud juhul, kui erasüüditaja või kaebaja sellest sõnaselgelt loobub.“</w:t>
      </w:r>
    </w:p>
    <w:p w14:paraId="27AF9499" w14:textId="77777777" w:rsidR="004C59F5" w:rsidRPr="00E61BFF" w:rsidRDefault="004C59F5" w:rsidP="000B6E75">
      <w:pPr>
        <w:pStyle w:val="21NovAo1"/>
      </w:pPr>
      <w:r>
        <w:t xml:space="preserve">36. Paragrahvi 41 kehtivale lõikele 7 omistatakse müüginimetus </w:t>
      </w:r>
      <w:r>
        <w:rPr>
          <w:i w:val="0"/>
        </w:rPr>
        <w:t>„(8)“</w:t>
      </w:r>
      <w:r>
        <w:t xml:space="preserve"> ja see liigitatakse vastavalt lõikele 7; 7. jagu on sõnastatud järgmiselt:</w:t>
      </w:r>
    </w:p>
    <w:p w14:paraId="15E485A8" w14:textId="77777777" w:rsidR="004C59F5" w:rsidRPr="00E61BFF" w:rsidRDefault="004C59F5" w:rsidP="000B6E75">
      <w:pPr>
        <w:pStyle w:val="51Abs"/>
      </w:pPr>
      <w:r>
        <w:t>„7) Lõikes 1 nimetatud menetluses, kui vastavalt §-le 36b taotletakse konfiskeerimise (§ 33) või kohtuotsuse (§ 34) avaldamist, kutsutakse veebimajutusteenuse pakkuja põhiistungile, kuid tema ilmumata jätmine ei takista menetlust, kohtuotsust ja taotluse kohta tehtud otsust vastavalt §-le 36b. Veebimajutusteenuse pakkujal on õigus konsulteerida § 36b nõuete osas. Kui veebimajutusteenuse pakkujale antakse korraldus arestida (§ 36) vastavalt §-le 36b või kui konfiskeerimise täitmist või kohtuotsuse avaldamist taotletakse ja määratakse alles pärast selle kohta lõpliku otsuse tegemist, teatatakse veebimajutusteenuse pakkujale arestimismäärusest või kohtuotsuse konfiskeerimise või avaldamise otsusest ja otsusest otsuse täitmise kohta vastavalt §-le 36b.“</w:t>
      </w:r>
    </w:p>
    <w:p w14:paraId="7AE840DD" w14:textId="77777777" w:rsidR="004C59F5" w:rsidRPr="00E61BFF" w:rsidRDefault="004C59F5" w:rsidP="000B6E75">
      <w:pPr>
        <w:pStyle w:val="21NovAo1"/>
      </w:pPr>
      <w:r>
        <w:t>37. Paragrahvi 41 lisatakse lõike 8 järele lõige 9 järgmises sõnastuses:</w:t>
      </w:r>
    </w:p>
    <w:p w14:paraId="3B0D5F63" w14:textId="77777777" w:rsidR="004C59F5" w:rsidRPr="00E61BFF" w:rsidRDefault="004C59F5" w:rsidP="000B6E75">
      <w:pPr>
        <w:pStyle w:val="51Abs"/>
      </w:pPr>
      <w:r>
        <w:t>„9) Psühhosotsiaalne ja juriidiline õigusalane nõustamine (kriminaalmenetluse seadustiku § 66b lõige 2) on kriminaalmenetluse seadustiku § 66b lõikes 1 loetletud isikutele kättesaadav seal loetletud tingimustel, samuti iseseisvateks taotlusteks vastavalt § 8a, § 33 lõikele 2 ja § 34 lõikele 3.“</w:t>
      </w:r>
    </w:p>
    <w:p w14:paraId="0B11319C" w14:textId="77777777" w:rsidR="004C59F5" w:rsidRPr="00E61BFF" w:rsidRDefault="004C59F5" w:rsidP="00B47DC9">
      <w:pPr>
        <w:pStyle w:val="22NovAo2"/>
      </w:pPr>
      <w:r>
        <w:t xml:space="preserve">38. § 42 lisatakse sõnastuse </w:t>
      </w:r>
      <w:r>
        <w:rPr>
          <w:i w:val="0"/>
        </w:rPr>
        <w:t>„karistatav tegu“</w:t>
      </w:r>
      <w:r>
        <w:t xml:space="preserve"> ette sõna </w:t>
      </w:r>
      <w:r>
        <w:rPr>
          <w:i w:val="0"/>
        </w:rPr>
        <w:t>„kohtulikult“</w:t>
      </w:r>
      <w:r>
        <w:t>.</w:t>
      </w:r>
    </w:p>
    <w:p w14:paraId="2DA8DC94" w14:textId="77777777" w:rsidR="004C59F5" w:rsidRPr="00E61BFF" w:rsidRDefault="004C59F5" w:rsidP="00B47DC9">
      <w:pPr>
        <w:pStyle w:val="22NovAo2"/>
      </w:pPr>
      <w:r>
        <w:t xml:space="preserve">39. § 50 punktis 1 asendatakse sõna </w:t>
      </w:r>
      <w:r>
        <w:rPr>
          <w:i w:val="0"/>
        </w:rPr>
        <w:t>„meediaettevõtte“</w:t>
      </w:r>
      <w:r>
        <w:t xml:space="preserve"> sõnaga </w:t>
      </w:r>
      <w:r>
        <w:rPr>
          <w:i w:val="0"/>
        </w:rPr>
        <w:t>„meediakanali omaniku“</w:t>
      </w:r>
      <w:r>
        <w:t>.</w:t>
      </w:r>
    </w:p>
    <w:p w14:paraId="4222E85E" w14:textId="77777777" w:rsidR="004C59F5" w:rsidRPr="00E61BFF" w:rsidRDefault="004C59F5" w:rsidP="000B6E75">
      <w:pPr>
        <w:pStyle w:val="21NovAo1"/>
      </w:pPr>
      <w:r>
        <w:t>40. Paragrahvile 55 lisatakse lõige 11:</w:t>
      </w:r>
    </w:p>
    <w:p w14:paraId="50392661" w14:textId="77777777" w:rsidR="004C59F5" w:rsidRPr="00E61BFF" w:rsidRDefault="004C59F5" w:rsidP="000B6E75">
      <w:pPr>
        <w:pStyle w:val="51Abs"/>
      </w:pPr>
      <w:r>
        <w:t>„11) § 3 esimese, teise, kolmanda ja neljanda lõigu, § 6 lõike 1, § 7 lõike 1, § 7a lõike 1 punkti 1 alapunkti a ja lõike 2, § 7b lõike 1, § 7c lõike 1, § 8 lõigete 1, 2 ja 4, § 8a lõigete 2 ja 4, § 10 lõike 1 punkti 3, § 11 lõike 1 punkti 10, § 13 lõike 7, § 14 lõigete 2 ja 3, § 15 lõigete 1 ja 3, § 16 lõike 1, § 20 lõike 2, § 30, § 32, § 33 lõike 2, § 33a, § 34 lõike 3, § 36 lõigete 1 ja 2, § 36 punkti b, § 41 lõige 1, § 41 lõiked 1, 5, 7, 8 ja 9, § 42 ja § 50 lõige 1, mida on muudetud Austria ametliku väljaandega I nr 148/2020, jõustub 2021. aasta 1. jaanuaril; samal ajal kaotab kehtivuse § 33 lõige 3.“</w:t>
      </w:r>
    </w:p>
    <w:p w14:paraId="3B8234F9" w14:textId="77777777" w:rsidR="004C59F5" w:rsidRPr="00E61BFF" w:rsidRDefault="004C59F5" w:rsidP="000B6E75">
      <w:pPr>
        <w:pStyle w:val="21NovAo1"/>
      </w:pPr>
      <w:r>
        <w:t>41. Artiklile 56 lisatakse lõige 3:</w:t>
      </w:r>
    </w:p>
    <w:p w14:paraId="0D371737" w14:textId="77777777" w:rsidR="004C59F5" w:rsidRPr="00E61BFF" w:rsidRDefault="004C59F5" w:rsidP="00B47DC9">
      <w:pPr>
        <w:pStyle w:val="51Abs"/>
      </w:pPr>
      <w:r>
        <w:t>„3) § 6 lõiget 1, § 7 lõiget 1, § 7a lõiget 1, § 7 lõike 1 punkti a ja lõiget 2, § 7b lõiget 1, § 7c lõiget 1, § 8a lõikeid 1, 2 ja 4, § 8a lõikeid 2 ja 4, § 8a lõikeid 2 ja 3, artikli 11 lõike 1 punkti 10, artikli 13 lõiget 7, artikli 14 lõikeid 2 ja 3, § 16 lõiget 1, § 20 lõiget 2, § 30, § 32, § 33 lõiget 2, § 33a, § 34 lõiget 3, § 36 lõikeid 1 ja 2, § 36b, § 41 lõikeid 1, 5, 7, 8 ja 9, § 42 ning § 50 lõiget 1, mida on muudetud föderaalse ametliku väljaandega I nr 148/2020, kohaldatakse üksnes pärast föderaalse ametliku väljaande I nr 148/2020 jõustumist levitatud teabe ja esituste suhtes.“</w:t>
      </w:r>
    </w:p>
    <w:p w14:paraId="15825BE5" w14:textId="77777777" w:rsidR="004C59F5" w:rsidRPr="00E61BFF" w:rsidRDefault="004C59F5" w:rsidP="00B47DC9">
      <w:pPr>
        <w:pStyle w:val="21NovAo1"/>
      </w:pPr>
      <w:r>
        <w:t xml:space="preserve">42. Senine § 57 muudetakse paragrahviks </w:t>
      </w:r>
      <w:r>
        <w:rPr>
          <w:b/>
          <w:i w:val="0"/>
        </w:rPr>
        <w:t>„§ 58.“</w:t>
      </w:r>
      <w:r>
        <w:t>; Paragrahvi 56 järele lisatakse paragrahv 57, sealhulgas selle pealkiri:</w:t>
      </w:r>
    </w:p>
    <w:p w14:paraId="450C1B89" w14:textId="77777777" w:rsidR="004C59F5" w:rsidRPr="00E61BFF" w:rsidRDefault="004C59F5" w:rsidP="000B6E75">
      <w:pPr>
        <w:pStyle w:val="45UeberschrPara"/>
      </w:pPr>
      <w:r>
        <w:t>„Euroopa Liidu direktiivide rakendamine</w:t>
      </w:r>
    </w:p>
    <w:p w14:paraId="7C892B36" w14:textId="77777777" w:rsidR="004C59F5" w:rsidRPr="00E61BFF" w:rsidRDefault="004C59F5" w:rsidP="000B6E75">
      <w:pPr>
        <w:pStyle w:val="51Abs"/>
      </w:pPr>
      <w:r>
        <w:rPr>
          <w:rStyle w:val="991GldSymbol"/>
        </w:rPr>
        <w:t>§ 57.</w:t>
      </w:r>
      <w:r>
        <w:t> § 33, § 33a, § 36, § 36a ja § 36b alusel rakendatakse</w:t>
      </w:r>
    </w:p>
    <w:p w14:paraId="354BABA8" w14:textId="77777777" w:rsidR="004C59F5" w:rsidRPr="00E61BFF" w:rsidRDefault="004C59F5" w:rsidP="000B6E75">
      <w:pPr>
        <w:pStyle w:val="52Aufzaehle1Ziffer"/>
      </w:pPr>
      <w:r>
        <w:tab/>
        <w:t>1.</w:t>
      </w:r>
      <w:r>
        <w:tab/>
        <w:t>direktiivi (EL) 2017/541 (terrorismivastase võitluse kohta, millega asendatakse nõukogu raamotsus 2002/475/JSK ning muudetakse nõukogu otsust 2005/671/JSK) artiklit 21 (ELT nr L 88, 31.3.2017, lk 6) ja</w:t>
      </w:r>
    </w:p>
    <w:p w14:paraId="33051B62" w14:textId="77777777" w:rsidR="004C59F5" w:rsidRPr="00E61BFF" w:rsidRDefault="004C59F5" w:rsidP="000B6E75">
      <w:pPr>
        <w:pStyle w:val="52Aufzaehle1Ziffer"/>
      </w:pPr>
      <w:r>
        <w:tab/>
        <w:t>2.</w:t>
      </w:r>
      <w:r>
        <w:tab/>
        <w:t>direktiivi 2011/93/EL (mis käsitleb laste seksuaalse kuritarvitamise ja ärakasutamise ning lasteporno vastast võitlust ja mis asendab nõukogu raamotsuse 2004/68/JSK) artiklit 25 (ELT nr L 335, 17.12.2011, lk 1).“</w:t>
      </w:r>
    </w:p>
    <w:p w14:paraId="65F83FCA" w14:textId="77777777" w:rsidR="004C59F5" w:rsidRPr="00E61BFF" w:rsidRDefault="004C59F5" w:rsidP="000B6E75">
      <w:pPr>
        <w:pStyle w:val="41UeberschrG1"/>
      </w:pPr>
      <w:r>
        <w:lastRenderedPageBreak/>
        <w:t>Artikkel 10</w:t>
      </w:r>
    </w:p>
    <w:p w14:paraId="7FB40344" w14:textId="77777777" w:rsidR="004C59F5" w:rsidRPr="00E61BFF" w:rsidRDefault="004C59F5" w:rsidP="000B6E75">
      <w:pPr>
        <w:pStyle w:val="43UeberschrG2"/>
      </w:pPr>
      <w:r>
        <w:t>1975. aasta kriminaalmenetluse seadustiku muutmine</w:t>
      </w:r>
    </w:p>
    <w:p w14:paraId="37EE5492" w14:textId="77777777" w:rsidR="004C59F5" w:rsidRPr="00E61BFF" w:rsidRDefault="004C59F5" w:rsidP="000B6E75">
      <w:pPr>
        <w:pStyle w:val="12PromKlEinlSatz"/>
      </w:pPr>
      <w:r>
        <w:t>1975. aasta kriminaalmenetluse seadustikku [Strafprozeßordnung – StPO], Austria ametlik väljaanne, nr 631/1975, viimati muudetud Austria ametliku väljaande I osas nr 24/2020 avaldatud föderaalseadusega, muudetakse alljärgnevalt.</w:t>
      </w:r>
    </w:p>
    <w:p w14:paraId="4D2F2B19" w14:textId="77777777" w:rsidR="004C59F5" w:rsidRPr="00E61BFF" w:rsidRDefault="004C59F5" w:rsidP="000B6E75">
      <w:pPr>
        <w:pStyle w:val="21NovAo1"/>
      </w:pPr>
      <w:r>
        <w:t>1. Sisukorras lisatakse paragrahvi 66a käsitleva kande järele järgmine kanne:</w:t>
      </w:r>
    </w:p>
    <w:p w14:paraId="2595318E" w14:textId="77777777" w:rsidR="004C59F5" w:rsidRPr="00E61BFF" w:rsidRDefault="005E1FCD" w:rsidP="005E1FCD">
      <w:pPr>
        <w:pStyle w:val="32InhaltEintragEinzug"/>
      </w:pPr>
      <w:r>
        <w:tab/>
        <w:t>„§ 66b Õigusalane nõustamine“</w:t>
      </w:r>
    </w:p>
    <w:p w14:paraId="679AD566" w14:textId="77777777" w:rsidR="004C59F5" w:rsidRPr="00E61BFF" w:rsidRDefault="004C59F5" w:rsidP="005E1FCD">
      <w:pPr>
        <w:pStyle w:val="22NovAo2"/>
      </w:pPr>
      <w:r>
        <w:t xml:space="preserve">2. Paragrahvi 30 lõike 1 punktis 3a asendatakse sõna </w:t>
      </w:r>
      <w:r>
        <w:rPr>
          <w:i w:val="0"/>
        </w:rPr>
        <w:t>„jätkuv“</w:t>
      </w:r>
      <w:r>
        <w:t xml:space="preserve"> sõnaga </w:t>
      </w:r>
      <w:r>
        <w:rPr>
          <w:i w:val="0"/>
        </w:rPr>
        <w:t>„jätkuv</w:t>
      </w:r>
      <w:r>
        <w:t>“.</w:t>
      </w:r>
    </w:p>
    <w:p w14:paraId="39F98877" w14:textId="77777777" w:rsidR="004C59F5" w:rsidRPr="00E61BFF" w:rsidRDefault="004C59F5" w:rsidP="000B6E75">
      <w:pPr>
        <w:pStyle w:val="21NovAo1"/>
      </w:pPr>
      <w:r>
        <w:t>3. § 31 lõike 1 punkti 5 lõpus asendatakse punkt komaga ja lisatakse järgmine punkt 6:</w:t>
      </w:r>
    </w:p>
    <w:p w14:paraId="34F511FA" w14:textId="77777777" w:rsidR="004C59F5" w:rsidRPr="00E61BFF" w:rsidRDefault="005E1FCD" w:rsidP="005E1FCD">
      <w:pPr>
        <w:pStyle w:val="52Aufzaehle1Ziffer"/>
      </w:pPr>
      <w:r>
        <w:tab/>
        <w:t>„6.</w:t>
      </w:r>
      <w:r>
        <w:tab/>
        <w:t>süüdistatava uurimismääruse taotluste üle otsustamise menetlus (§ 71 lõike 1 teine lause).“</w:t>
      </w:r>
    </w:p>
    <w:p w14:paraId="38BF6801" w14:textId="77777777" w:rsidR="004C59F5" w:rsidRPr="00E61BFF" w:rsidRDefault="004C59F5" w:rsidP="000B6E75">
      <w:pPr>
        <w:pStyle w:val="21NovAo1"/>
      </w:pPr>
      <w:r>
        <w:t xml:space="preserve">4. Praegusele paragrahvile 49 antakse lõike nimi </w:t>
      </w:r>
      <w:r>
        <w:rPr>
          <w:i w:val="0"/>
        </w:rPr>
        <w:t>„1)“</w:t>
      </w:r>
      <w:r>
        <w:t xml:space="preserve"> ja lisatakse järgmine lõige 2:</w:t>
      </w:r>
    </w:p>
    <w:p w14:paraId="2205D372" w14:textId="77777777" w:rsidR="004C59F5" w:rsidRPr="00E61BFF" w:rsidRDefault="004C59F5" w:rsidP="000B6E75">
      <w:pPr>
        <w:pStyle w:val="51Abs"/>
      </w:pPr>
      <w:r>
        <w:t>„2) Süüdistataval on õigus võimaldada ohvritele, eraõiguslikele isikutele või eraõiguslikele prokuröridele juurdepääs toimikule (§ 68) ainult ulatuses, mis on vajalik nende huvide kaitsmiseks.“</w:t>
      </w:r>
    </w:p>
    <w:p w14:paraId="548D712A" w14:textId="77777777" w:rsidR="004C59F5" w:rsidRPr="00E61BFF" w:rsidRDefault="004C59F5" w:rsidP="001B6B96">
      <w:pPr>
        <w:pStyle w:val="22NovAo2"/>
      </w:pPr>
      <w:r>
        <w:t>5. Paragrahvi 66 lõiked 2 ja 4 jäetakse välja.</w:t>
      </w:r>
    </w:p>
    <w:p w14:paraId="513B2D4D" w14:textId="77777777" w:rsidR="004C59F5" w:rsidRPr="00E61BFF" w:rsidRDefault="004C59F5" w:rsidP="000B6E75">
      <w:pPr>
        <w:pStyle w:val="21NovAo1"/>
      </w:pPr>
      <w:r>
        <w:t>6. Paragrahvi 66a järele lisatakse järgmine paragrahv 66b, sealhulgas pealkiri:</w:t>
      </w:r>
    </w:p>
    <w:p w14:paraId="6645C307" w14:textId="77777777" w:rsidR="004C59F5" w:rsidRPr="00E61BFF" w:rsidRDefault="004C59F5" w:rsidP="000B6E75">
      <w:pPr>
        <w:pStyle w:val="45UeberschrPara"/>
      </w:pPr>
      <w:r>
        <w:t>„Õigusalane nõustamine</w:t>
      </w:r>
    </w:p>
    <w:p w14:paraId="1D57DE81" w14:textId="77777777" w:rsidR="004C59F5" w:rsidRPr="00E61BFF" w:rsidRDefault="004C59F5" w:rsidP="000B6E75">
      <w:pPr>
        <w:pStyle w:val="51Abs"/>
      </w:pPr>
      <w:r>
        <w:rPr>
          <w:rStyle w:val="991GldSymbol"/>
        </w:rPr>
        <w:t>§ 66b.</w:t>
      </w:r>
      <w:r>
        <w:t xml:space="preserve"> 1) Nende nõudmisel tuleb</w:t>
      </w:r>
    </w:p>
    <w:p w14:paraId="4EFFB11C" w14:textId="77777777" w:rsidR="004C59F5" w:rsidRPr="00E61BFF" w:rsidRDefault="004C59F5" w:rsidP="000B6E75">
      <w:pPr>
        <w:pStyle w:val="52Aufzaehle2Lit"/>
      </w:pPr>
      <w:r>
        <w:tab/>
        <w:t>a)</w:t>
      </w:r>
      <w:r>
        <w:tab/>
        <w:t>kannatanutele § 65 punkti 1 alapunkti a või b tähenduses,</w:t>
      </w:r>
    </w:p>
    <w:p w14:paraId="423A6C7E" w14:textId="77777777" w:rsidR="004C59F5" w:rsidRPr="00E61BFF" w:rsidRDefault="004C59F5" w:rsidP="000B6E75">
      <w:pPr>
        <w:pStyle w:val="52Aufzaehle2Lit"/>
      </w:pPr>
      <w:r>
        <w:tab/>
        <w:t>b)</w:t>
      </w:r>
      <w:r>
        <w:tab/>
        <w:t>terrorikuritegude (kriminaalmenetluse seadustiku § 278c) kannatanutele (kriminaalmenetluse seadustiku § 65 punkt 1),</w:t>
      </w:r>
    </w:p>
    <w:p w14:paraId="5660F823" w14:textId="77777777" w:rsidR="004C59F5" w:rsidRPr="00E61BFF" w:rsidRDefault="004C59F5" w:rsidP="000B6E75">
      <w:pPr>
        <w:pStyle w:val="52Aufzaehle2Lit"/>
      </w:pPr>
      <w:r>
        <w:tab/>
        <w:t>c)</w:t>
      </w:r>
      <w:r>
        <w:tab/>
        <w:t>püsiva tagakiusamise (kriminaalmenetluse seadustiku § 107a), pideva ahistamise telekommunikatsiooni või arvutisüsteemi kaudu (kriminaalmenetluse seadustiku § 107c) ja vihakõne (kriminaalmenetluse seadustiku § 283) kannatanutele (§ 65 lõige 1),</w:t>
      </w:r>
    </w:p>
    <w:p w14:paraId="611C32CD" w14:textId="77777777" w:rsidR="004C59F5" w:rsidRPr="00E61BFF" w:rsidRDefault="004C59F5" w:rsidP="000B6E75">
      <w:pPr>
        <w:pStyle w:val="52Aufzaehle2Lit"/>
      </w:pPr>
      <w:r>
        <w:tab/>
        <w:t>d)</w:t>
      </w:r>
      <w:r>
        <w:tab/>
        <w:t>ohvritele (karistusseadustiku § 65 lõige 1), kuriteosüüdistus (kriminaalmenetluse seadustiku § 111), mis on juba läbivaatamata jäetud (karistusseadustiku § 113), solvangud (kriminaalmenetluse seadustiku § 115) ja laim (kriminaalmenetluse seadustiku § 297), kui teatavate tõendite põhjal võib eeldada, et selline tegu pandi toime telekommunikatsiooni või arvutisüsteemi abil; ning</w:t>
      </w:r>
    </w:p>
    <w:p w14:paraId="11D5C562" w14:textId="77777777" w:rsidR="004C59F5" w:rsidRPr="00E61BFF" w:rsidRDefault="004C59F5" w:rsidP="000B6E75">
      <w:pPr>
        <w:pStyle w:val="52Aufzaehle2Lit"/>
      </w:pPr>
      <w:r>
        <w:tab/>
        <w:t>e)</w:t>
      </w:r>
      <w:r>
        <w:tab/>
        <w:t>alaealistele, kes on pealt näinud vägivalda oma vahetus läheduses (vägivald perekonnas, lastevastane vägivald),</w:t>
      </w:r>
    </w:p>
    <w:p w14:paraId="5101EB16" w14:textId="77777777" w:rsidR="004C59F5" w:rsidRPr="00E61BFF" w:rsidRDefault="004C59F5" w:rsidP="001B6B96">
      <w:pPr>
        <w:pStyle w:val="58Schlussteile0Abs"/>
      </w:pPr>
      <w:r>
        <w:t>anda menetlustes psühhosotsiaalset ja juriidilist tuge ulatuses, mis on vajalik nende menetlusõiguste kaitsmiseks, võttes täiel määral arvesse nende isiklikku muret. Kannatanutele, kelle seksuaalset puutumatust võidakse olnud rikkuda ja kes pole veel saanud neljateistkümneaastaseks, tuleb igal juhul pakkuda psühhosotsiaalset õigusalast nõustamist.</w:t>
      </w:r>
    </w:p>
    <w:p w14:paraId="51A48475" w14:textId="77777777" w:rsidR="004C59F5" w:rsidRPr="00E61BFF" w:rsidRDefault="004C59F5" w:rsidP="000B6E75">
      <w:pPr>
        <w:pStyle w:val="51Abs"/>
      </w:pPr>
      <w:r>
        <w:t>2) Psühhosotsiaalne õigusalane nõustamine hõlmab kannatanud isikute ettevalmistamist menetluseks ja sellega seotud emotsionaalseteks pingeteks, samuti toetust ülekuulamistel uurimises ja põhimenetluses, juriidilist õigusalast nõustamist, õigusnõustamist ja advokaadi esindamist.</w:t>
      </w:r>
    </w:p>
    <w:p w14:paraId="2F7A51B3" w14:textId="77777777" w:rsidR="004C59F5" w:rsidRPr="00E61BFF" w:rsidRDefault="004C59F5" w:rsidP="000B6E75">
      <w:pPr>
        <w:pStyle w:val="51Abs"/>
      </w:pPr>
      <w:r>
        <w:t>3) Justiitsministril on õigus sõlmida kokkulepe ja anda lõikes 1 nimetatud isikutele pärast seda, kui on läbi vaadatud õiguslikud nõuded, täiendavad üksikasjalikud sätted selliste institutsioonide kasutuselevõtmise tingimuste kohta ning kokkuleppel föderaalkantselei nais- ja integratsiooniministri ning töö-, pere- ja noorsooministriga protsessi järelevalve kvaliteedistandardid, eelkõige töökaaslaste koolituse ja täiendkoolituse osas.“</w:t>
      </w:r>
    </w:p>
    <w:p w14:paraId="029D07AA" w14:textId="77777777" w:rsidR="004C59F5" w:rsidRPr="00E61BFF" w:rsidRDefault="004C59F5" w:rsidP="001B6B96">
      <w:pPr>
        <w:pStyle w:val="22NovAo2"/>
      </w:pPr>
      <w:r>
        <w:t xml:space="preserve">7. § 67 lõikes 7 ja § 381 lõike 1 punktis 9 asendatakse sulgudes olev viide </w:t>
      </w:r>
      <w:r>
        <w:rPr>
          <w:i w:val="0"/>
        </w:rPr>
        <w:t>„(§ 66 lõige 2)“</w:t>
      </w:r>
      <w:r>
        <w:t xml:space="preserve"> sulgudes oleva viitega </w:t>
      </w:r>
      <w:r>
        <w:rPr>
          <w:i w:val="0"/>
        </w:rPr>
        <w:t>„(§ 66b)“</w:t>
      </w:r>
      <w:r>
        <w:t>.</w:t>
      </w:r>
    </w:p>
    <w:p w14:paraId="5D3BAABF" w14:textId="77777777" w:rsidR="004C59F5" w:rsidRPr="00E61BFF" w:rsidRDefault="004C59F5" w:rsidP="001B6B96">
      <w:pPr>
        <w:pStyle w:val="22NovAo2"/>
      </w:pPr>
      <w:r>
        <w:t xml:space="preserve">8. Paragrahvi 70 lõikes 2 asendatakse fraas </w:t>
      </w:r>
      <w:r>
        <w:rPr>
          <w:i w:val="0"/>
        </w:rPr>
        <w:t>„§ 65 lõike 1 punktid a või b ja terroriaktide ohvrid (§ 65 lg 1) (kriminaalmenetluses seadustiku § 278c)“</w:t>
      </w:r>
      <w:r>
        <w:t xml:space="preserve"> fraasiga </w:t>
      </w:r>
      <w:r>
        <w:rPr>
          <w:i w:val="0"/>
        </w:rPr>
        <w:t>„§ 66b lõike 1 punktid a–d“</w:t>
      </w:r>
      <w:r>
        <w:t>.</w:t>
      </w:r>
    </w:p>
    <w:p w14:paraId="55123EC0" w14:textId="77777777" w:rsidR="004C59F5" w:rsidRPr="00E61BFF" w:rsidRDefault="004C59F5" w:rsidP="000B6E75">
      <w:pPr>
        <w:pStyle w:val="21NovAo1"/>
      </w:pPr>
      <w:r>
        <w:t>9. § 71 sõnastatakse järgmiselt:</w:t>
      </w:r>
    </w:p>
    <w:p w14:paraId="37FE22AB" w14:textId="77777777" w:rsidR="004C59F5" w:rsidRPr="00E61BFF" w:rsidRDefault="004C59F5" w:rsidP="000B6E75">
      <w:pPr>
        <w:pStyle w:val="51Abs"/>
      </w:pPr>
      <w:r>
        <w:t>„</w:t>
      </w:r>
      <w:r>
        <w:rPr>
          <w:rStyle w:val="991GldSymbol"/>
        </w:rPr>
        <w:t>§ 71.</w:t>
      </w:r>
      <w:r>
        <w:t xml:space="preserve"> 1) Kuriteod, mille toimepanemine tuleb vastutusele võtta üksnes ohvri taotlusel, tähistavad seadust. Kuriteos süüdistatava kriminaaluurimiseks (kriminaalmenetluses seadustiku § 111), juba </w:t>
      </w:r>
      <w:r>
        <w:lastRenderedPageBreak/>
        <w:t>tagasilükatud kuriteosüüdistuse (kriminaalmenetluses seadustiku § 113) või solvangu (kriminaalmenetluses seadustiku § 115) alusel, mis on toime pandud sidevahendi või arvutisüsteemi abil, võib ohver esitada kohtule avalduse (§ 31 lõige 1 punkt 6) §-s 76a või § 135 lõike 2 punktis 2 sätestatud korralduse saamiseks, mis peab vastama tõendamistaotluse nõuetele (§ 55). Ohvril on õigus esitada taotlus, välja arvatud juhul, kui see on põhjendustes ilmne. Kohus on kohustatud tegema otsuse taotletud uurimistoimingute taotluse kohta kooskõlas asjakohaste sätetega. § 104 lõike 1 viimast lauset ja § 210 lõike 3 teist lauset kohaldatakse mutatis mutandis.</w:t>
      </w:r>
    </w:p>
    <w:p w14:paraId="2B84C893" w14:textId="77777777" w:rsidR="004C59F5" w:rsidRPr="00E61BFF" w:rsidRDefault="004C59F5" w:rsidP="000B6E75">
      <w:pPr>
        <w:pStyle w:val="51Abs"/>
      </w:pPr>
      <w:r>
        <w:t>2) Uurimise korral teavitab kohus viivitamata kostjat lõikes 1 osutatud otsusest ja teavitab teda tema õigusest esitada kaebus (§ 87). Niipea kui otsus süüdistatava suhtes on jõustunud, peab kohus teavitama ohvrit uuritavatest andmetest vastavalt §-le 76a või edastatud tulemustest kirjalikult (§ 134 lõige 5). Vastasel juhul tuleb ohvrit teavitada, et süüdistatava uurimine ei olnud võimalik või et andmete edastamine ei ole lubatud.</w:t>
      </w:r>
    </w:p>
    <w:p w14:paraId="200F69B3" w14:textId="77777777" w:rsidR="004C59F5" w:rsidRPr="00E61BFF" w:rsidRDefault="004C59F5" w:rsidP="000B6E75">
      <w:pPr>
        <w:pStyle w:val="51Abs"/>
      </w:pPr>
      <w:r>
        <w:t>3) Lõikes 1 nimetatud süütegudega seotud põhimenetlus toimub erahagi alusel, mis peab vastama süüdistusakti nõuetele (§ 211) või eraprokuröri sõltumatule taotlusele teha §-s 445 ette nähtud kapitalinõue. Lõike 1 kohase taotluse korral esitatakse erahagi pädevale kohtule kuue nädala jooksul alates lõike 2 teise lause kohase teabe esitamise kuupäevast. Taotluse esitamise õigus ja kõik eraõiguslikud nõuded tuleb märkida põhjenduses, välja arvatud juhul, kui need on ilmsed. Sama kehtib ka iseseisva taotluse kohta teha kapitali ettekirjutus vastavalt §-le 445.</w:t>
      </w:r>
    </w:p>
    <w:p w14:paraId="0A56B7A5" w14:textId="77777777" w:rsidR="004C59F5" w:rsidRPr="00E61BFF" w:rsidRDefault="004C59F5" w:rsidP="000B6E75">
      <w:pPr>
        <w:pStyle w:val="51Abs"/>
      </w:pPr>
      <w:r>
        <w:t>4) Karistusseadustiku § 117 lõigetes 2 ja 3 nimetatud juhtudel on kannatanul õigus esitada erahagi, kui ta või tema ülemus ei anna ega tühista kriminaalmenetluse luba (§ 92). Tal ei ole õigust esitada süüdistust isikule, kes sellest sõnaselgelt loobub või kes on süüteo toime pannud. Karistusseadustiku §-d 57 ja 58 jäävad samaks.</w:t>
      </w:r>
    </w:p>
    <w:p w14:paraId="3BCFF096" w14:textId="77777777" w:rsidR="004C59F5" w:rsidRPr="00E61BFF" w:rsidRDefault="004C59F5" w:rsidP="000B6E75">
      <w:pPr>
        <w:pStyle w:val="51Abs"/>
      </w:pPr>
      <w:r>
        <w:t>5) Hilinenult esitatud erahagid (lõige 3) ja füüsilisest isikust ettevõtjate poolt § 445 alusel tehtud ettekirjutuste tegemise taotlused tuleb jätta rahuldamata kohtu määrusega ning lisaks tuleb erahagist või § 445 kohasest kapitali arestimise taotlusest teatada kostjale või kostjale ja vastutuse pooltele teabega, et neil on õigus esitada oma seisukohad 14 päeva jooksul. Selle sätte kohaselt on kohus kohustatud korraldama põhiistungi, välja arvatud juhul, kui see toimub § 451 või § 485 alusel.</w:t>
      </w:r>
    </w:p>
    <w:p w14:paraId="334D7473" w14:textId="77777777" w:rsidR="004C59F5" w:rsidRPr="00E61BFF" w:rsidRDefault="004C59F5" w:rsidP="000B6E75">
      <w:pPr>
        <w:pStyle w:val="51Abs"/>
      </w:pPr>
      <w:r>
        <w:t>6) Põhikohtuasjas on eraõiguslikul prokuröril põhimõtteliselt samad õigused kui prokuröril; tal on siiski õigus taotleda sunnimeetmeid ainult niivõrd, kuivõrd see on vajalik tõendite või varaliste korralduste tagamiseks. Tal ei ole õigust taotleda 9. jaos sätestatud sunnimeetmeid.</w:t>
      </w:r>
    </w:p>
    <w:p w14:paraId="3D791DF8" w14:textId="77777777" w:rsidR="004C59F5" w:rsidRPr="00E61BFF" w:rsidRDefault="004C59F5" w:rsidP="000B6E75">
      <w:pPr>
        <w:pStyle w:val="51Abs"/>
      </w:pPr>
      <w:r>
        <w:t>7) Kui eraprokurör ei osale põhiistungil või ei esita vajalikke taotlusi, eeldatakse, et ta on kriminaalvastutusele võtmisest loobunud. Sellisel juhul lõpetatakse menetlus otsusega.“</w:t>
      </w:r>
    </w:p>
    <w:p w14:paraId="6A7F83CA" w14:textId="77777777" w:rsidR="004C59F5" w:rsidRPr="00E61BFF" w:rsidRDefault="004C59F5" w:rsidP="001B6B96">
      <w:pPr>
        <w:pStyle w:val="22NovAo2"/>
      </w:pPr>
      <w:r>
        <w:t xml:space="preserve">10. § 76a lõikesse 1 lisatakse sõna </w:t>
      </w:r>
      <w:r>
        <w:rPr>
          <w:i w:val="0"/>
        </w:rPr>
        <w:t>„sideteenused</w:t>
      </w:r>
      <w:r>
        <w:t>“ järele sõnad „</w:t>
      </w:r>
      <w:r>
        <w:rPr>
          <w:i w:val="0"/>
        </w:rPr>
        <w:t>ja muud teenuseosutajad (EKG § 3 lõige 2)</w:t>
      </w:r>
      <w:r>
        <w:t>“ ning sõnade „</w:t>
      </w:r>
      <w:r>
        <w:rPr>
          <w:i w:val="0"/>
        </w:rPr>
        <w:t>osalejad (TKG § 90(7))</w:t>
      </w:r>
      <w:r>
        <w:t>“ lisatakse sõnad „</w:t>
      </w:r>
      <w:r>
        <w:rPr>
          <w:i w:val="0"/>
        </w:rPr>
        <w:t>või muu teenuse kasutajad (EKG§ 3 lõige 4)</w:t>
      </w:r>
      <w:r>
        <w:t>“.</w:t>
      </w:r>
    </w:p>
    <w:p w14:paraId="38EFCE46" w14:textId="77777777" w:rsidR="004C59F5" w:rsidRPr="00E61BFF" w:rsidRDefault="004C59F5" w:rsidP="000B6E75">
      <w:pPr>
        <w:pStyle w:val="21NovAo1"/>
      </w:pPr>
      <w:r>
        <w:t>11. Paragrahvi 390 lõikes 1 lisatakse lõike 1 järele lõige 1a:</w:t>
      </w:r>
    </w:p>
    <w:p w14:paraId="62C930DD" w14:textId="77777777" w:rsidR="004C59F5" w:rsidRPr="00E61BFF" w:rsidRDefault="004C59F5" w:rsidP="000B6E75">
      <w:pPr>
        <w:pStyle w:val="51Abs"/>
      </w:pPr>
      <w:r>
        <w:t>„1a) Kriminaalmenetluses, mis põhineb kriminaalsüüdistustel (kriminaalmenetluse seadustiku § 111), juba rahuldamata jäetud kuriteosüüdistusel (kriminaalmenetluse seadustiku § 113) või solvangul (karistusseadustiku § 115), mis on toime pandud sidevahendi või arvutisüsteemi abil, on eraprokurör või taotleja (§ 71 lõige 1) kohustatud hüvitama kulud üksnes siis, kui ta esitas selle süüdistuse teadlikult valesti.“</w:t>
      </w:r>
    </w:p>
    <w:p w14:paraId="5B647B87" w14:textId="77777777" w:rsidR="004C59F5" w:rsidRPr="00E61BFF" w:rsidRDefault="004C59F5" w:rsidP="000B6E75">
      <w:pPr>
        <w:pStyle w:val="21NovAo1"/>
      </w:pPr>
      <w:r>
        <w:t>12. § 393 lisatakse lõike 4 järele järgmine lõige 4a:</w:t>
      </w:r>
    </w:p>
    <w:p w14:paraId="38E3E3CD" w14:textId="77777777" w:rsidR="004C59F5" w:rsidRPr="00E61BFF" w:rsidRDefault="004C59F5" w:rsidP="000B6E75">
      <w:pPr>
        <w:pStyle w:val="51Abs"/>
      </w:pPr>
      <w:r>
        <w:t>„4 a) Kui kriminaalmenetlus lõpetatakse kriminaalmenetluses kuriteo (kriminaalmenetluse seadustiks § 111), juba rahuldamata jäetud süüteo (kriminaalmenetluse seadustiku § 113) või solvangu (kriminaalmenetluse seadustiku § 115) alusel, mis on toime pandud sidevahendi või arvutisüsteemi abil, hüvitab eraprokurör põhi- ja apellatsioonimenetluses süüdistatavale kõik kaitsekulud, välja arvatud juhul, kui lõikes 4 sätestatud hüvitise maksmise kohustus puudub.“</w:t>
      </w:r>
    </w:p>
    <w:p w14:paraId="19A70FAF" w14:textId="77777777" w:rsidR="00870E6F" w:rsidRPr="00E61BFF" w:rsidRDefault="00870E6F" w:rsidP="00870E6F">
      <w:pPr>
        <w:pStyle w:val="22NovAo2"/>
      </w:pPr>
      <w:r>
        <w:t xml:space="preserve">12a. Paragrahvi 395 lõikesse 1 lisatakse pärast fraasi </w:t>
      </w:r>
      <w:r>
        <w:rPr>
          <w:i w:val="0"/>
        </w:rPr>
        <w:t>„lõige 4“</w:t>
      </w:r>
      <w:r>
        <w:t xml:space="preserve"> fraas </w:t>
      </w:r>
      <w:r>
        <w:rPr>
          <w:i w:val="0"/>
        </w:rPr>
        <w:t>„lõige 4a“</w:t>
      </w:r>
      <w:r>
        <w:t>.</w:t>
      </w:r>
    </w:p>
    <w:p w14:paraId="391168BE" w14:textId="77777777" w:rsidR="004C59F5" w:rsidRPr="00E61BFF" w:rsidRDefault="004C59F5" w:rsidP="000B6E75">
      <w:pPr>
        <w:pStyle w:val="21NovAo1"/>
      </w:pPr>
      <w:r>
        <w:t>13. Paragrahvile 514 lisatakse lõige 46:</w:t>
      </w:r>
    </w:p>
    <w:p w14:paraId="6BEC1564" w14:textId="77777777" w:rsidR="004C59F5" w:rsidRPr="00E61BFF" w:rsidRDefault="004C59F5" w:rsidP="000B6E75">
      <w:pPr>
        <w:pStyle w:val="51Abs"/>
      </w:pPr>
      <w:r>
        <w:t>„46) § 66b pealkirja kandmine sisukorda ja § 30 lõike 1 punkti 3a, § 31 lõige 1, § 49, § 66b, § 67 lõige 7, § 70 lõige 2, § 71, § 76a lõige 1, § 381 lõike 1 punkt 9, § 390 lõige 1a, § 393a lõige 4a, § 395 lõige 1 ja § 516a lõige 12, mida on muudetud Austria ametliku väljaandega I nr 148/2020, jõustuvad 1. jaanuaril 2021; samal ajal jäetakse välja paragrahvi 66 lõiked 2 ja 4. § 390 lõige 1a ja § 393 lõige 4a, mida on muudetud Austria ametliku väljaandega I nr 148/2020, jõustuvad ja tühistatakse 31. detsembril 2023.“</w:t>
      </w:r>
    </w:p>
    <w:p w14:paraId="5AFD8B65" w14:textId="77777777" w:rsidR="004C59F5" w:rsidRPr="00E61BFF" w:rsidRDefault="004C59F5" w:rsidP="000B6E75">
      <w:pPr>
        <w:pStyle w:val="21NovAo1"/>
      </w:pPr>
      <w:r>
        <w:lastRenderedPageBreak/>
        <w:t>14. § 516a lisatakse järgmine lõige 12:</w:t>
      </w:r>
    </w:p>
    <w:p w14:paraId="4BD99B73" w14:textId="77777777" w:rsidR="004C59F5" w:rsidRPr="00E61BFF" w:rsidRDefault="004C59F5" w:rsidP="000B6E75">
      <w:pPr>
        <w:pStyle w:val="51Abs"/>
      </w:pPr>
      <w:r>
        <w:t>„12) § 66b (Austria ametliku väljande I osa nr 148/2020 redaktsioonis) eesmärk on rakendada direktiivi 2012/29/EL, millega kehtestatakse kuriteoohvrite õiguste ning neile pakutava toe ja kaitse miinimumnõuded ning asendatakse nõukogu raamotsus 2001/220/JSK, ELT nr L 315, 14.11.2012, lk 57.“</w:t>
      </w:r>
    </w:p>
    <w:p w14:paraId="762D6AFB" w14:textId="77777777" w:rsidR="004C59F5" w:rsidRPr="00E61BFF" w:rsidRDefault="004C59F5" w:rsidP="000B6E75">
      <w:pPr>
        <w:pStyle w:val="41UeberschrG1"/>
      </w:pPr>
      <w:r>
        <w:t>Artikkel 11</w:t>
      </w:r>
    </w:p>
    <w:p w14:paraId="476E2814" w14:textId="77777777" w:rsidR="004C59F5" w:rsidRPr="00E61BFF" w:rsidRDefault="004C59F5" w:rsidP="000B6E75">
      <w:pPr>
        <w:pStyle w:val="43UeberschrG2"/>
      </w:pPr>
      <w:r>
        <w:t>Jõustumine</w:t>
      </w:r>
    </w:p>
    <w:p w14:paraId="68045BB5" w14:textId="77777777" w:rsidR="004C59F5" w:rsidRPr="00E61BFF" w:rsidRDefault="004C59F5" w:rsidP="000B6E75">
      <w:pPr>
        <w:pStyle w:val="51Abs"/>
      </w:pPr>
      <w:r>
        <w:rPr>
          <w:rStyle w:val="991GldSymbol"/>
          <w:b w:val="0"/>
        </w:rPr>
        <w:t>Artikkel 8</w:t>
      </w:r>
      <w:r>
        <w:t>, muudetud Austria ametliku väljaande I osas nr 148/20120 avaldatud föderaalseadusega, jõustub 1. jaanuaril 2021.</w:t>
      </w:r>
    </w:p>
    <w:p w14:paraId="0A3F23CC" w14:textId="77777777" w:rsidR="004C59F5" w:rsidRPr="00E61BFF" w:rsidRDefault="004C59F5" w:rsidP="000B6E75">
      <w:pPr>
        <w:pStyle w:val="41UeberschrG1"/>
      </w:pPr>
      <w:r>
        <w:t>Artikkel 12</w:t>
      </w:r>
    </w:p>
    <w:p w14:paraId="334CF1F2" w14:textId="77777777" w:rsidR="004C59F5" w:rsidRPr="00E61BFF" w:rsidRDefault="004C59F5" w:rsidP="000B6E75">
      <w:pPr>
        <w:pStyle w:val="43UeberschrG2"/>
      </w:pPr>
      <w:r>
        <w:t>Teatis</w:t>
      </w:r>
    </w:p>
    <w:p w14:paraId="29EAAA88" w14:textId="77777777" w:rsidR="004C59F5" w:rsidRPr="00E61BFF" w:rsidRDefault="004C59F5" w:rsidP="000B6E75">
      <w:pPr>
        <w:pStyle w:val="51Abs"/>
      </w:pPr>
      <w:r>
        <w:t>Selle sätte sisust on teatatud vastavalt Euroopa Parlamendi ja nõukogu 9. septembri 2015. aasta direktiivile (EL) 2015/1535, millega nähakse ette tehnilistest eeskirjadest ning infoühiskonna teenuste eeskirjadest teatamise kord seoses teadete numbritega 2020/547/A ja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263E" w14:textId="77777777" w:rsidR="008C2D5C" w:rsidRDefault="008C2D5C">
      <w:r>
        <w:separator/>
      </w:r>
    </w:p>
  </w:endnote>
  <w:endnote w:type="continuationSeparator" w:id="0">
    <w:p w14:paraId="2CE8C018" w14:textId="77777777" w:rsidR="008C2D5C" w:rsidRDefault="008C2D5C">
      <w:r>
        <w:continuationSeparator/>
      </w:r>
    </w:p>
  </w:endnote>
  <w:endnote w:type="continuationNotice" w:id="1">
    <w:p w14:paraId="37DA1CE4" w14:textId="77777777" w:rsidR="008C2D5C" w:rsidRDefault="008C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45DB" w14:textId="77777777" w:rsidR="008C2D5C" w:rsidRDefault="008C2D5C">
      <w:r>
        <w:separator/>
      </w:r>
    </w:p>
  </w:footnote>
  <w:footnote w:type="continuationSeparator" w:id="0">
    <w:p w14:paraId="6DC0CC66" w14:textId="77777777" w:rsidR="008C2D5C" w:rsidRDefault="008C2D5C">
      <w:r>
        <w:continuationSeparator/>
      </w:r>
    </w:p>
  </w:footnote>
  <w:footnote w:type="continuationNotice" w:id="1">
    <w:p w14:paraId="5B8BE50A" w14:textId="77777777" w:rsidR="008C2D5C" w:rsidRDefault="008C2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Föderaalne ametlik väljaanne I – välja antud 23. detsembril 2020 – nr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Föderaalne ametlik väljaanne I – välja antud 23. detsembril 2020 – nr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D500E"/>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2D5C"/>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1368"/>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139"/>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et-EE" w:eastAsia="de-DE"/>
    </w:rPr>
  </w:style>
  <w:style w:type="character" w:customStyle="1" w:styleId="Heading2Char">
    <w:name w:val="Heading 2 Char"/>
    <w:basedOn w:val="DefaultParagraphFont"/>
    <w:link w:val="Heading2"/>
    <w:uiPriority w:val="9"/>
    <w:locked/>
    <w:rPr>
      <w:rFonts w:ascii="Arial" w:hAnsi="Arial" w:cs="Times New Roman"/>
      <w:b/>
      <w:i/>
      <w:sz w:val="24"/>
      <w:lang w:val="et-EE"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et-EE"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et-EE"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et-EE"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et-EE"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et-EE"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et-EE"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et-EE"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t-EE"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et-EE"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et-EE"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et-EE"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et-EE"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et-EE" w:eastAsia="de-DE"/>
    </w:rPr>
  </w:style>
  <w:style w:type="character" w:customStyle="1" w:styleId="43UeberschrG2Zchn">
    <w:name w:val="43_UeberschrG2 Zchn"/>
    <w:link w:val="43UeberschrG2"/>
    <w:locked/>
    <w:rsid w:val="00397186"/>
    <w:rPr>
      <w:b/>
      <w:color w:val="000000"/>
      <w:sz w:val="22"/>
      <w:lang w:val="et-EE" w:eastAsia="de-DE"/>
    </w:rPr>
  </w:style>
  <w:style w:type="character" w:customStyle="1" w:styleId="51AbsZchn">
    <w:name w:val="51_Abs Zchn"/>
    <w:link w:val="51Abs"/>
    <w:locked/>
    <w:rsid w:val="00A843DD"/>
    <w:rPr>
      <w:color w:val="000000"/>
      <w:lang w:val="et-EE" w:eastAsia="de-DE"/>
    </w:rPr>
  </w:style>
  <w:style w:type="character" w:customStyle="1" w:styleId="21NovAo1Zchn">
    <w:name w:val="21_NovAo1 Zchn"/>
    <w:link w:val="21NovAo1"/>
    <w:locked/>
    <w:rsid w:val="00A843DD"/>
    <w:rPr>
      <w:i/>
      <w:color w:val="000000"/>
      <w:lang w:val="et-EE" w:eastAsia="de-DE"/>
    </w:rPr>
  </w:style>
  <w:style w:type="character" w:customStyle="1" w:styleId="22NovAo2Zchn">
    <w:name w:val="22_NovAo2 Zchn"/>
    <w:link w:val="22NovAo2"/>
    <w:locked/>
    <w:rsid w:val="00283888"/>
    <w:rPr>
      <w:i/>
      <w:color w:val="000000"/>
      <w:lang w:val="et-EE"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et-EE" w:eastAsia="de-DE"/>
    </w:rPr>
  </w:style>
  <w:style w:type="character" w:customStyle="1" w:styleId="45UeberschrParaChar">
    <w:name w:val="45_UeberschrPara Char"/>
    <w:link w:val="45UeberschrPara"/>
    <w:locked/>
    <w:rsid w:val="0080155F"/>
    <w:rPr>
      <w:b/>
      <w:color w:val="000000"/>
      <w:lang w:val="et-EE"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5140</Words>
  <Characters>31978</Characters>
  <Application>Microsoft Office Word</Application>
  <DocSecurity>0</DocSecurity>
  <Lines>532</Lines>
  <Paragraphs>296</Paragraphs>
  <ScaleCrop>false</ScaleCrop>
  <HeadingPairs>
    <vt:vector size="4" baseType="variant">
      <vt:variant>
        <vt:lpstr>Titel</vt:lpstr>
      </vt:variant>
      <vt:variant>
        <vt:i4>1</vt:i4>
      </vt:variant>
      <vt:variant>
        <vt:lpstr>Überschriften</vt:lpstr>
      </vt:variant>
      <vt:variant>
        <vt:i4>100</vt:i4>
      </vt:variant>
    </vt:vector>
  </HeadingPairs>
  <TitlesOfParts>
    <vt:vector size="101" baseType="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2021-12-15T14:05:00Z</dcterms:created>
  <dcterms:modified xsi:type="dcterms:W3CDTF">2021-12-15T14:05:00Z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