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901FB" w14:textId="580CCA28" w:rsidR="008F5571" w:rsidRPr="008F5571" w:rsidRDefault="008F5571" w:rsidP="008F5571">
      <w:pPr>
        <w:spacing w:after="0" w:line="240" w:lineRule="auto"/>
        <w:rPr>
          <w:rFonts w:ascii="Courier New" w:hAnsi="Courier New" w:cs="Courier New"/>
          <w:sz w:val="20"/>
          <w:szCs w:val="20"/>
        </w:rPr>
      </w:pPr>
      <w:r>
        <w:rPr>
          <w:rFonts w:ascii="Courier New" w:hAnsi="Courier New"/>
          <w:sz w:val="20"/>
        </w:rPr>
        <w:t>1. ------IND- 2020 0549 B-- DE- ------ 20200911 --- --- PROJET</w:t>
      </w:r>
    </w:p>
    <w:p w14:paraId="72BFD6B2" w14:textId="77777777" w:rsidR="008F5571" w:rsidRPr="008F5571" w:rsidRDefault="008F5571" w:rsidP="008F5571">
      <w:pPr>
        <w:spacing w:after="0" w:line="240" w:lineRule="auto"/>
      </w:pPr>
    </w:p>
    <w:p w14:paraId="71744518" w14:textId="2E9DB1EE" w:rsidR="00994A23" w:rsidRDefault="00224C6A">
      <w:pPr>
        <w:pStyle w:val="centeredARTICLE"/>
        <w:rPr>
          <w:rFonts w:ascii="Arial" w:hAnsi="Arial" w:cs="Arial"/>
        </w:rPr>
      </w:pPr>
      <w:r>
        <w:rPr>
          <w:rFonts w:ascii="Arial" w:hAnsi="Arial"/>
        </w:rPr>
        <w:t>Artikel 1</w:t>
      </w:r>
    </w:p>
    <w:p w14:paraId="148B8B34" w14:textId="77777777" w:rsidR="00994A23" w:rsidRDefault="00224C6A">
      <w:pPr>
        <w:pStyle w:val="BodyTextNL"/>
        <w:rPr>
          <w:rFonts w:ascii="Arial" w:hAnsi="Arial" w:cs="Arial"/>
        </w:rPr>
      </w:pPr>
      <w:r>
        <w:rPr>
          <w:rFonts w:ascii="Arial" w:hAnsi="Arial"/>
        </w:rPr>
        <w:t>Dieses Gesetz regelt eine Angelegenheit im Sinne von Artikel 74 des Grundgesetzes.</w:t>
      </w:r>
    </w:p>
    <w:p w14:paraId="48680981" w14:textId="77777777" w:rsidR="00994A23" w:rsidRDefault="00224C6A">
      <w:pPr>
        <w:pStyle w:val="centeredARTICLE"/>
        <w:rPr>
          <w:rFonts w:ascii="Arial" w:hAnsi="Arial" w:cs="Arial"/>
        </w:rPr>
      </w:pPr>
      <w:r>
        <w:rPr>
          <w:rFonts w:ascii="Arial" w:hAnsi="Arial"/>
          <w:u w:val="thick"/>
        </w:rPr>
        <w:t>Artikel 2</w:t>
      </w:r>
      <w:r>
        <w:rPr>
          <w:rFonts w:ascii="Arial" w:hAnsi="Arial"/>
        </w:rPr>
        <w:t xml:space="preserve"> </w:t>
      </w:r>
      <w:r>
        <w:rPr>
          <w:rFonts w:ascii="Arial" w:hAnsi="Arial"/>
          <w:i/>
        </w:rPr>
        <w:t>(neu)</w:t>
      </w:r>
    </w:p>
    <w:p w14:paraId="5A417BDE" w14:textId="77777777" w:rsidR="00994A23" w:rsidRDefault="00224C6A">
      <w:pPr>
        <w:pStyle w:val="BodyTextNL"/>
        <w:rPr>
          <w:rFonts w:ascii="Arial" w:hAnsi="Arial" w:cs="Arial"/>
        </w:rPr>
      </w:pPr>
      <w:r>
        <w:rPr>
          <w:rFonts w:ascii="Arial" w:hAnsi="Arial"/>
        </w:rPr>
        <w:t>Mit diesem Gesetz wird die teilweise Umsetzung der Richtlinie (EU) 2019/904 des Europäischen Parlaments und des Rates vom 5. Juni 2019 über die Verringerung der Auswirkungen bestimmter Kunststoffprodukte auf die Umwelt sowie der Richtlinie (EU) 2015/720 des Europäischen Parlaments und des Rates vom 29. April 2015 zur Änderung der Richtlinie 94/62/EG betreffend die Verringerung des Verbrauchs von leichten Kunststofftragetaschen vorgesehen.</w:t>
      </w:r>
    </w:p>
    <w:p w14:paraId="1D39E3F8" w14:textId="77777777" w:rsidR="00994A23" w:rsidRDefault="00224C6A">
      <w:pPr>
        <w:pStyle w:val="centeredARTICLE"/>
        <w:rPr>
          <w:rFonts w:ascii="Arial" w:hAnsi="Arial" w:cs="Arial"/>
        </w:rPr>
      </w:pPr>
      <w:r>
        <w:rPr>
          <w:rFonts w:ascii="Arial" w:hAnsi="Arial"/>
        </w:rPr>
        <w:t>Artikel </w:t>
      </w:r>
      <w:r>
        <w:rPr>
          <w:rFonts w:ascii="Arial" w:hAnsi="Arial"/>
          <w:u w:val="thick"/>
        </w:rPr>
        <w:t>3</w:t>
      </w:r>
      <w:r>
        <w:rPr>
          <w:rFonts w:ascii="Arial" w:hAnsi="Arial"/>
        </w:rPr>
        <w:t xml:space="preserve"> (früher Artikel 2)</w:t>
      </w:r>
    </w:p>
    <w:p w14:paraId="50EB5F49" w14:textId="77777777" w:rsidR="00994A23" w:rsidRPr="00DF5859" w:rsidRDefault="00224C6A">
      <w:pPr>
        <w:pStyle w:val="BodyTextNL"/>
        <w:rPr>
          <w:rFonts w:ascii="Arial" w:hAnsi="Arial" w:cs="Arial"/>
          <w:spacing w:val="-4"/>
        </w:rPr>
      </w:pPr>
      <w:r w:rsidRPr="00DF5859">
        <w:rPr>
          <w:rFonts w:ascii="Arial" w:hAnsi="Arial"/>
          <w:spacing w:val="-4"/>
        </w:rPr>
        <w:t xml:space="preserve">Artikel 2 des Gesetzes vom 21. Dezember 1998 über Produktnormen zur Förderung umweltverträglicher Produktions- und Konsummuster und zum Schutz der Umwelt, der Gesundheit und der Arbeitnehmer, </w:t>
      </w:r>
      <w:r w:rsidRPr="00DF5859">
        <w:rPr>
          <w:rFonts w:ascii="Arial" w:hAnsi="Arial"/>
          <w:spacing w:val="-4"/>
          <w:u w:val="thick"/>
        </w:rPr>
        <w:t>zuletzt</w:t>
      </w:r>
      <w:r w:rsidRPr="00DF5859">
        <w:rPr>
          <w:rFonts w:ascii="Arial" w:hAnsi="Arial"/>
          <w:spacing w:val="-4"/>
        </w:rPr>
        <w:t xml:space="preserve"> geändert durch das Gesetz vom 16. Dezember 2015, wird um die folgenden Bestimmungen unter Ziffer 23 bis 26 mit folgendem Wortlaut ergänzt:</w:t>
      </w:r>
    </w:p>
    <w:p w14:paraId="70B34437" w14:textId="51AEA70A" w:rsidR="00994A23" w:rsidRPr="00DF5859" w:rsidRDefault="00224C6A">
      <w:pPr>
        <w:pStyle w:val="BodyTextNL"/>
        <w:rPr>
          <w:rFonts w:ascii="Arial" w:hAnsi="Arial" w:cs="Arial"/>
          <w:spacing w:val="-6"/>
        </w:rPr>
      </w:pPr>
      <w:r w:rsidRPr="00DF5859">
        <w:rPr>
          <w:rFonts w:ascii="Arial" w:hAnsi="Arial"/>
          <w:spacing w:val="-6"/>
        </w:rPr>
        <w:t xml:space="preserve">„23. Kunststoff: ein Material, das aus einem Polymer im Sinne von Artikel 3 Absatz 5 der </w:t>
      </w:r>
      <w:r w:rsidR="003D5C5A" w:rsidRPr="00DF5859">
        <w:rPr>
          <w:rFonts w:ascii="Arial" w:hAnsi="Arial" w:cs="Arial"/>
          <w:spacing w:val="-6"/>
          <w:u w:val="thick"/>
        </w:rPr>
        <w:t>REACH</w:t>
      </w:r>
      <w:r w:rsidRPr="00DF5859">
        <w:rPr>
          <w:rFonts w:ascii="Arial" w:hAnsi="Arial"/>
          <w:spacing w:val="-6"/>
        </w:rPr>
        <w:t>-Verordnung besteht, dem möglicherweise Additive oder andere Stoffe zugesetzt wurden und das als struktureller Hauptbestandteil von Fertigerzeugnissen verwendet werden kann, mit Ausnahme von natürlichen Polymeren, die nicht chemisch modifiziert wurden;</w:t>
      </w:r>
    </w:p>
    <w:p w14:paraId="284CE3E0" w14:textId="77777777" w:rsidR="00994A23" w:rsidRDefault="00224C6A">
      <w:pPr>
        <w:pStyle w:val="BodyTextNL"/>
        <w:rPr>
          <w:rFonts w:ascii="Arial" w:hAnsi="Arial" w:cs="Arial"/>
        </w:rPr>
      </w:pPr>
      <w:r>
        <w:rPr>
          <w:rFonts w:ascii="Arial" w:hAnsi="Arial"/>
        </w:rPr>
        <w:t>24. Einweg-Kunststoffprodukt: ein ganz oder teilweise aus Kunststoff hergestelltes Produkt, das nicht so konzipiert, gestaltet oder in Verkehr gebracht wurde, dass es während seiner Lebensdauer mehrere Zyklen durchlaufen kann, indem es an einen Hersteller zurückgegeben wird, um wieder aufgefüllt oder für den Zweck, für den es hergestellt wurde, wiederverwendet zu werden;</w:t>
      </w:r>
    </w:p>
    <w:p w14:paraId="28CEBF73" w14:textId="77777777" w:rsidR="00994A23" w:rsidRDefault="00224C6A">
      <w:pPr>
        <w:pStyle w:val="BodyTextNL"/>
        <w:rPr>
          <w:rFonts w:ascii="Arial" w:hAnsi="Arial" w:cs="Arial"/>
        </w:rPr>
      </w:pPr>
      <w:r>
        <w:rPr>
          <w:rFonts w:ascii="Arial" w:hAnsi="Arial"/>
        </w:rPr>
        <w:t>25. oxo-abbaubarer Kunststoff: ein Kunststoffmaterial, das Additive enthält, die das Kunststoffmaterial durch Oxidation in Mikrofragmente aufspalten oder chemisch zersetzen;</w:t>
      </w:r>
    </w:p>
    <w:p w14:paraId="1E9365A9" w14:textId="77777777" w:rsidR="00994A23" w:rsidRDefault="00224C6A">
      <w:pPr>
        <w:pStyle w:val="BodyTextNL"/>
        <w:rPr>
          <w:rFonts w:ascii="Arial" w:hAnsi="Arial" w:cs="Arial"/>
        </w:rPr>
      </w:pPr>
      <w:r>
        <w:rPr>
          <w:rStyle w:val="Underline"/>
          <w:rFonts w:ascii="Arial" w:hAnsi="Arial"/>
        </w:rPr>
        <w:t>26. Einweg-Kunststofftragetasche: eine leichte Kunststofftragetasche oder eine sehr leichte Kunststofftragetasche im Sinne der Richtlinie 94/62/EG des Europäischen Parlaments und des Rates vom 20. Dezember 1994 über Verpackungen und Verpackungsabfälle, die ganz oder teilweise aus Kunststoff hergestellt wurde und die nicht konzipiert, gestaltet oder in Verkehr gebracht wurde, um während ihrer Lebensdauer für den Zweck, für den sie hergestellt wurde, wiederverwendet zu werden.“</w:t>
      </w:r>
    </w:p>
    <w:p w14:paraId="17AFD7CB" w14:textId="77777777" w:rsidR="00994A23" w:rsidRDefault="00224C6A">
      <w:pPr>
        <w:pStyle w:val="centeredARTICLE"/>
        <w:rPr>
          <w:rFonts w:ascii="Arial" w:hAnsi="Arial" w:cs="Arial"/>
        </w:rPr>
      </w:pPr>
      <w:r>
        <w:rPr>
          <w:rFonts w:ascii="Arial" w:hAnsi="Arial"/>
        </w:rPr>
        <w:t>Artikel </w:t>
      </w:r>
      <w:r>
        <w:rPr>
          <w:rFonts w:ascii="Arial" w:hAnsi="Arial"/>
          <w:u w:val="thick"/>
        </w:rPr>
        <w:t>4</w:t>
      </w:r>
      <w:r>
        <w:rPr>
          <w:rFonts w:ascii="Arial" w:hAnsi="Arial"/>
        </w:rPr>
        <w:t xml:space="preserve"> (früher Artikel 3)</w:t>
      </w:r>
    </w:p>
    <w:p w14:paraId="4FF64097" w14:textId="77777777" w:rsidR="00994A23" w:rsidRDefault="00224C6A" w:rsidP="008F5571">
      <w:pPr>
        <w:pStyle w:val="BodyTextNL"/>
        <w:keepNext/>
        <w:keepLines/>
        <w:rPr>
          <w:rFonts w:ascii="Arial" w:hAnsi="Arial" w:cs="Arial"/>
        </w:rPr>
      </w:pPr>
      <w:r>
        <w:rPr>
          <w:rFonts w:ascii="Arial" w:hAnsi="Arial"/>
        </w:rPr>
        <w:t>In demselben Gesetz wird ein Kapitel IV</w:t>
      </w:r>
      <w:r>
        <w:rPr>
          <w:rStyle w:val="Italic"/>
          <w:rFonts w:ascii="Arial" w:hAnsi="Arial"/>
        </w:rPr>
        <w:t xml:space="preserve">a </w:t>
      </w:r>
      <w:r>
        <w:rPr>
          <w:rFonts w:ascii="Arial" w:hAnsi="Arial"/>
        </w:rPr>
        <w:t>mit folgendem Wortlaut eingefügt:</w:t>
      </w:r>
    </w:p>
    <w:p w14:paraId="3518C363" w14:textId="77777777" w:rsidR="00994A23" w:rsidRDefault="00224C6A">
      <w:pPr>
        <w:pStyle w:val="BodyTextNL"/>
        <w:rPr>
          <w:rFonts w:ascii="Arial" w:hAnsi="Arial" w:cs="Arial"/>
        </w:rPr>
      </w:pPr>
      <w:r>
        <w:rPr>
          <w:rFonts w:ascii="Arial" w:hAnsi="Arial"/>
        </w:rPr>
        <w:t>„Kapitel IV</w:t>
      </w:r>
      <w:r>
        <w:rPr>
          <w:rStyle w:val="Italic"/>
          <w:rFonts w:ascii="Arial" w:hAnsi="Arial"/>
        </w:rPr>
        <w:t>a.</w:t>
      </w:r>
      <w:r>
        <w:rPr>
          <w:rFonts w:ascii="Arial" w:hAnsi="Arial"/>
        </w:rPr>
        <w:t xml:space="preserve"> Sonderbestimmungen für </w:t>
      </w:r>
      <w:r>
        <w:rPr>
          <w:rFonts w:ascii="Arial" w:hAnsi="Arial"/>
          <w:u w:val="thick"/>
        </w:rPr>
        <w:t>Kunststoffprodukte</w:t>
      </w:r>
      <w:r>
        <w:rPr>
          <w:rFonts w:ascii="Arial" w:hAnsi="Arial"/>
        </w:rPr>
        <w:t>“.</w:t>
      </w:r>
    </w:p>
    <w:p w14:paraId="120C8156" w14:textId="77777777" w:rsidR="00994A23" w:rsidRDefault="00224C6A">
      <w:pPr>
        <w:pStyle w:val="centeredARTICLE"/>
        <w:rPr>
          <w:rFonts w:ascii="Arial" w:hAnsi="Arial" w:cs="Arial"/>
        </w:rPr>
      </w:pPr>
      <w:r>
        <w:rPr>
          <w:rFonts w:ascii="Arial" w:hAnsi="Arial"/>
        </w:rPr>
        <w:t>Artikel </w:t>
      </w:r>
      <w:r>
        <w:rPr>
          <w:rFonts w:ascii="Arial" w:hAnsi="Arial"/>
          <w:u w:val="thick"/>
        </w:rPr>
        <w:t>5</w:t>
      </w:r>
      <w:r>
        <w:rPr>
          <w:rFonts w:ascii="Arial" w:hAnsi="Arial"/>
        </w:rPr>
        <w:t xml:space="preserve"> (früher Artikel 4)</w:t>
      </w:r>
    </w:p>
    <w:p w14:paraId="04CA87F4" w14:textId="77777777" w:rsidR="00994A23" w:rsidRDefault="00224C6A" w:rsidP="008F5571">
      <w:pPr>
        <w:pStyle w:val="BodyTextNL"/>
        <w:keepNext/>
        <w:keepLines/>
        <w:rPr>
          <w:rFonts w:ascii="Arial" w:hAnsi="Arial" w:cs="Arial"/>
        </w:rPr>
      </w:pPr>
      <w:r>
        <w:rPr>
          <w:rFonts w:ascii="Arial" w:hAnsi="Arial"/>
        </w:rPr>
        <w:t>In dem oben genannten Kapitel IV</w:t>
      </w:r>
      <w:r>
        <w:rPr>
          <w:rStyle w:val="Italic"/>
          <w:rFonts w:ascii="Arial" w:hAnsi="Arial"/>
        </w:rPr>
        <w:t>a</w:t>
      </w:r>
      <w:r>
        <w:rPr>
          <w:rFonts w:ascii="Arial" w:hAnsi="Arial"/>
        </w:rPr>
        <w:t xml:space="preserve"> wird ein Artikel </w:t>
      </w:r>
      <w:r>
        <w:rPr>
          <w:rFonts w:ascii="Arial" w:hAnsi="Arial"/>
          <w:u w:val="thick"/>
        </w:rPr>
        <w:t>9a</w:t>
      </w:r>
      <w:r>
        <w:rPr>
          <w:rFonts w:ascii="Arial" w:hAnsi="Arial"/>
        </w:rPr>
        <w:t xml:space="preserve"> mit folgendem Wortlaut eingefügt:</w:t>
      </w:r>
    </w:p>
    <w:p w14:paraId="68CE4898" w14:textId="77777777" w:rsidR="00994A23" w:rsidRDefault="00224C6A">
      <w:pPr>
        <w:pStyle w:val="BodyTextNL"/>
        <w:rPr>
          <w:rFonts w:ascii="Arial" w:hAnsi="Arial" w:cs="Arial"/>
        </w:rPr>
      </w:pPr>
      <w:r>
        <w:rPr>
          <w:rFonts w:ascii="Arial" w:hAnsi="Arial"/>
        </w:rPr>
        <w:t>„Artikel </w:t>
      </w:r>
      <w:r>
        <w:rPr>
          <w:rFonts w:ascii="Arial" w:hAnsi="Arial"/>
          <w:u w:val="thick"/>
        </w:rPr>
        <w:t>9a</w:t>
      </w:r>
      <w:r>
        <w:rPr>
          <w:rFonts w:ascii="Arial" w:hAnsi="Arial"/>
        </w:rPr>
        <w:t xml:space="preserve"> Es ist untersagt, Produkte auf Basis von oxo-abbaubarem Kunststoff in Verkehr zu bringen.“</w:t>
      </w:r>
    </w:p>
    <w:p w14:paraId="4CC3EED2" w14:textId="77777777" w:rsidR="00994A23" w:rsidRDefault="00224C6A">
      <w:pPr>
        <w:pStyle w:val="centeredARTICLE"/>
        <w:rPr>
          <w:rFonts w:ascii="Arial" w:hAnsi="Arial" w:cs="Arial"/>
        </w:rPr>
      </w:pPr>
      <w:r>
        <w:rPr>
          <w:rFonts w:ascii="Arial" w:hAnsi="Arial"/>
        </w:rPr>
        <w:lastRenderedPageBreak/>
        <w:t>Artikel </w:t>
      </w:r>
      <w:r>
        <w:rPr>
          <w:rFonts w:ascii="Arial" w:hAnsi="Arial"/>
          <w:u w:val="thick"/>
        </w:rPr>
        <w:t>6</w:t>
      </w:r>
      <w:r>
        <w:rPr>
          <w:rFonts w:ascii="Arial" w:hAnsi="Arial"/>
        </w:rPr>
        <w:t xml:space="preserve"> (früher Artikel 5)</w:t>
      </w:r>
    </w:p>
    <w:p w14:paraId="13ADD4F2" w14:textId="77777777" w:rsidR="00994A23" w:rsidRDefault="00224C6A" w:rsidP="008F5571">
      <w:pPr>
        <w:pStyle w:val="BodyTextNL"/>
        <w:keepNext/>
        <w:keepLines/>
        <w:rPr>
          <w:rFonts w:ascii="Arial" w:hAnsi="Arial" w:cs="Arial"/>
        </w:rPr>
      </w:pPr>
      <w:r>
        <w:rPr>
          <w:rFonts w:ascii="Arial" w:hAnsi="Arial"/>
        </w:rPr>
        <w:t>In dem oben genannten Kapitel IV</w:t>
      </w:r>
      <w:r>
        <w:rPr>
          <w:rStyle w:val="Italic"/>
          <w:rFonts w:ascii="Arial" w:hAnsi="Arial"/>
        </w:rPr>
        <w:t>a</w:t>
      </w:r>
      <w:r>
        <w:rPr>
          <w:rFonts w:ascii="Arial" w:hAnsi="Arial"/>
        </w:rPr>
        <w:t xml:space="preserve"> wird ein Artikel </w:t>
      </w:r>
      <w:r>
        <w:rPr>
          <w:rFonts w:ascii="Arial" w:hAnsi="Arial"/>
          <w:u w:val="thick"/>
        </w:rPr>
        <w:t>9b</w:t>
      </w:r>
      <w:r>
        <w:rPr>
          <w:rFonts w:ascii="Arial" w:hAnsi="Arial"/>
        </w:rPr>
        <w:t xml:space="preserve"> mit folgendem Wortlaut eingefügt:</w:t>
      </w:r>
    </w:p>
    <w:p w14:paraId="0ECEF58C" w14:textId="77777777" w:rsidR="00994A23" w:rsidRDefault="00224C6A" w:rsidP="008F5571">
      <w:pPr>
        <w:pStyle w:val="BodyTextNL"/>
        <w:keepNext/>
        <w:keepLines/>
        <w:rPr>
          <w:rFonts w:ascii="Arial" w:hAnsi="Arial" w:cs="Arial"/>
        </w:rPr>
      </w:pPr>
      <w:r>
        <w:rPr>
          <w:rFonts w:ascii="Arial" w:hAnsi="Arial"/>
        </w:rPr>
        <w:t>„Artikel </w:t>
      </w:r>
      <w:r>
        <w:rPr>
          <w:rFonts w:ascii="Arial" w:hAnsi="Arial"/>
          <w:u w:val="thick"/>
        </w:rPr>
        <w:t>9b</w:t>
      </w:r>
      <w:r>
        <w:rPr>
          <w:rFonts w:ascii="Arial" w:hAnsi="Arial"/>
        </w:rPr>
        <w:t xml:space="preserve"> Es ist untersagt, die folgenden Einweg-Kunststoffprodukte in Verkehr zu bringen:</w:t>
      </w:r>
    </w:p>
    <w:p w14:paraId="34AEC717" w14:textId="77777777" w:rsidR="00994A23" w:rsidRDefault="00224C6A">
      <w:pPr>
        <w:pStyle w:val="BodyTextNL"/>
        <w:rPr>
          <w:rFonts w:ascii="Arial" w:hAnsi="Arial" w:cs="Arial"/>
        </w:rPr>
      </w:pPr>
      <w:r>
        <w:rPr>
          <w:rFonts w:ascii="Arial" w:hAnsi="Arial"/>
        </w:rPr>
        <w:t xml:space="preserve">1. Wattestäbchen, es sei denn, diese fallen in den Geltungsbereich der Richtlinie 90/385/EWG des Rates </w:t>
      </w:r>
      <w:r>
        <w:rPr>
          <w:rFonts w:ascii="Arial" w:hAnsi="Arial"/>
          <w:u w:val="thick"/>
        </w:rPr>
        <w:t>vom 20. Juni 1990 zur Angleichung der Rechtsvorschriften der Mitgliedstaaten über aktive implantierbare medizinische Geräte</w:t>
      </w:r>
      <w:r>
        <w:rPr>
          <w:rFonts w:ascii="Arial" w:hAnsi="Arial"/>
        </w:rPr>
        <w:t xml:space="preserve"> oder der Richtlinie 93/42/EWG </w:t>
      </w:r>
      <w:r>
        <w:rPr>
          <w:rFonts w:ascii="Arial" w:hAnsi="Arial"/>
          <w:u w:val="thick"/>
        </w:rPr>
        <w:t>des Rates vom 14. Juni 1993 über Medizinprodukte</w:t>
      </w:r>
      <w:r>
        <w:rPr>
          <w:rFonts w:ascii="Arial" w:hAnsi="Arial"/>
        </w:rPr>
        <w:t>;</w:t>
      </w:r>
    </w:p>
    <w:p w14:paraId="30187EEB" w14:textId="77777777" w:rsidR="00994A23" w:rsidRDefault="00224C6A">
      <w:pPr>
        <w:pStyle w:val="BodyTextNL"/>
        <w:rPr>
          <w:rFonts w:ascii="Arial" w:hAnsi="Arial" w:cs="Arial"/>
        </w:rPr>
      </w:pPr>
      <w:r>
        <w:rPr>
          <w:rFonts w:ascii="Arial" w:hAnsi="Arial"/>
        </w:rPr>
        <w:t>2. Besteck (Gabeln, Messer, Löffel, Essstäbchen);</w:t>
      </w:r>
    </w:p>
    <w:p w14:paraId="36C9D4BD" w14:textId="77777777" w:rsidR="00994A23" w:rsidRDefault="00224C6A">
      <w:pPr>
        <w:pStyle w:val="BodyTextNL"/>
        <w:spacing w:before="240"/>
        <w:rPr>
          <w:rFonts w:ascii="Arial" w:hAnsi="Arial" w:cs="Arial"/>
        </w:rPr>
      </w:pPr>
      <w:r>
        <w:rPr>
          <w:rFonts w:ascii="Arial" w:hAnsi="Arial"/>
        </w:rPr>
        <w:t>3. Teller;</w:t>
      </w:r>
    </w:p>
    <w:p w14:paraId="77F3288E" w14:textId="77777777" w:rsidR="00994A23" w:rsidRDefault="00224C6A">
      <w:pPr>
        <w:pStyle w:val="BodyTextNL"/>
        <w:rPr>
          <w:rFonts w:ascii="Arial" w:hAnsi="Arial" w:cs="Arial"/>
        </w:rPr>
      </w:pPr>
      <w:r>
        <w:rPr>
          <w:rFonts w:ascii="Arial" w:hAnsi="Arial"/>
        </w:rPr>
        <w:t xml:space="preserve">4. Strohhalme, es sei denn, diese fallen in den Geltungsbereich der Richtlinie 90/385/EWG des Rates </w:t>
      </w:r>
      <w:r>
        <w:rPr>
          <w:rFonts w:ascii="Arial" w:hAnsi="Arial"/>
          <w:u w:val="thick"/>
        </w:rPr>
        <w:t>vom 20. Juni 1990 zur Angleichung der Rechtsvorschriften der Mitgliedstaaten über aktive implantierbare medizinische Geräte</w:t>
      </w:r>
      <w:r>
        <w:rPr>
          <w:rFonts w:ascii="Arial" w:hAnsi="Arial"/>
        </w:rPr>
        <w:t xml:space="preserve"> oder der Richtlinie 93/42/EWG </w:t>
      </w:r>
      <w:r>
        <w:rPr>
          <w:rFonts w:ascii="Arial" w:hAnsi="Arial"/>
          <w:u w:val="thick"/>
        </w:rPr>
        <w:t>des Rates vom 14. Juni 1993 über Medizinprodukte</w:t>
      </w:r>
      <w:r>
        <w:rPr>
          <w:rFonts w:ascii="Arial" w:hAnsi="Arial"/>
        </w:rPr>
        <w:t>;</w:t>
      </w:r>
    </w:p>
    <w:p w14:paraId="4667BDE1" w14:textId="77777777" w:rsidR="00994A23" w:rsidRDefault="00224C6A">
      <w:pPr>
        <w:pStyle w:val="BodyTextNL"/>
        <w:rPr>
          <w:rFonts w:ascii="Arial" w:hAnsi="Arial" w:cs="Arial"/>
        </w:rPr>
      </w:pPr>
      <w:r>
        <w:rPr>
          <w:rFonts w:ascii="Arial" w:hAnsi="Arial"/>
        </w:rPr>
        <w:t>5. Rührstäbchen für Getränke;</w:t>
      </w:r>
    </w:p>
    <w:p w14:paraId="14EC48F7" w14:textId="77777777" w:rsidR="00994A23" w:rsidRPr="00DF5859" w:rsidRDefault="00224C6A">
      <w:pPr>
        <w:pStyle w:val="BodyTextNL"/>
        <w:rPr>
          <w:rFonts w:ascii="Arial" w:hAnsi="Arial" w:cs="Arial"/>
          <w:spacing w:val="-4"/>
        </w:rPr>
      </w:pPr>
      <w:r w:rsidRPr="00DF5859">
        <w:rPr>
          <w:rFonts w:ascii="Arial" w:hAnsi="Arial"/>
          <w:spacing w:val="-4"/>
        </w:rPr>
        <w:t>6. Stäbchen und ihre Mechanismen, die zur Befestigung an und zur Stützung von Ballons bestimmt sind, mit Ausnahme von Ballons für industrielle oder andere professionelle Anwendungen, die nicht an Verbraucher abgegeben werden;</w:t>
      </w:r>
    </w:p>
    <w:p w14:paraId="47B7F89B" w14:textId="77777777" w:rsidR="00994A23" w:rsidRDefault="00224C6A" w:rsidP="008F5571">
      <w:pPr>
        <w:pStyle w:val="BodyTextNL"/>
        <w:keepNext/>
        <w:keepLines/>
        <w:rPr>
          <w:rFonts w:ascii="Arial" w:hAnsi="Arial" w:cs="Arial"/>
        </w:rPr>
      </w:pPr>
      <w:r>
        <w:rPr>
          <w:rFonts w:ascii="Arial" w:hAnsi="Arial"/>
        </w:rPr>
        <w:t xml:space="preserve">7. Lebensmittelverpackungen aus expandiertem Polystyrol, d. h. </w:t>
      </w:r>
      <w:r>
        <w:rPr>
          <w:rFonts w:ascii="Arial" w:hAnsi="Arial"/>
          <w:u w:val="thick"/>
        </w:rPr>
        <w:t>Behälter</w:t>
      </w:r>
      <w:r>
        <w:rPr>
          <w:rFonts w:ascii="Arial" w:hAnsi="Arial"/>
        </w:rPr>
        <w:t xml:space="preserve"> wie Schachteln, mit oder ohne Deckel, für Lebensmittel, die:</w:t>
      </w:r>
    </w:p>
    <w:p w14:paraId="77C93A15" w14:textId="77777777" w:rsidR="00994A23" w:rsidRDefault="00224C6A">
      <w:pPr>
        <w:pStyle w:val="BodyTextNL"/>
        <w:spacing w:before="240"/>
        <w:rPr>
          <w:rFonts w:ascii="Arial" w:hAnsi="Arial" w:cs="Arial"/>
        </w:rPr>
      </w:pPr>
      <w:r>
        <w:rPr>
          <w:rFonts w:ascii="Arial" w:hAnsi="Arial"/>
        </w:rPr>
        <w:t>a) für den unmittelbaren Verzehr bestimmt sind, vor Ort oder zum Mitnehmen,</w:t>
      </w:r>
    </w:p>
    <w:p w14:paraId="7DC6276B" w14:textId="77777777" w:rsidR="00994A23" w:rsidRDefault="00224C6A">
      <w:pPr>
        <w:pStyle w:val="BodyTextNL"/>
        <w:rPr>
          <w:rFonts w:ascii="Arial" w:hAnsi="Arial" w:cs="Arial"/>
        </w:rPr>
      </w:pPr>
      <w:r>
        <w:rPr>
          <w:rFonts w:ascii="Arial" w:hAnsi="Arial"/>
        </w:rPr>
        <w:t xml:space="preserve">b) </w:t>
      </w:r>
      <w:r>
        <w:rPr>
          <w:rFonts w:ascii="Arial" w:hAnsi="Arial"/>
          <w:u w:val="thick"/>
        </w:rPr>
        <w:t>typischerweise</w:t>
      </w:r>
      <w:r>
        <w:rPr>
          <w:rFonts w:ascii="Arial" w:hAnsi="Arial"/>
        </w:rPr>
        <w:t xml:space="preserve"> direkt aus dem </w:t>
      </w:r>
      <w:r>
        <w:rPr>
          <w:rFonts w:ascii="Arial" w:hAnsi="Arial"/>
          <w:u w:val="thick"/>
        </w:rPr>
        <w:t>Behälter</w:t>
      </w:r>
      <w:r>
        <w:rPr>
          <w:rFonts w:ascii="Arial" w:hAnsi="Arial"/>
        </w:rPr>
        <w:t xml:space="preserve"> verzehrt werden und</w:t>
      </w:r>
    </w:p>
    <w:p w14:paraId="35E33460" w14:textId="77777777" w:rsidR="00994A23" w:rsidRDefault="00224C6A">
      <w:pPr>
        <w:pStyle w:val="BodyTextNL"/>
        <w:rPr>
          <w:rFonts w:ascii="Arial" w:hAnsi="Arial" w:cs="Arial"/>
        </w:rPr>
      </w:pPr>
      <w:r>
        <w:rPr>
          <w:rFonts w:ascii="Arial" w:hAnsi="Arial"/>
        </w:rPr>
        <w:t>c) ohne weitere Zubereitung wie Backen, Kochen oder Erhitzen zum Verzehr bereit sind,</w:t>
      </w:r>
    </w:p>
    <w:p w14:paraId="685D0E21" w14:textId="77777777" w:rsidR="00994A23" w:rsidRDefault="00224C6A">
      <w:pPr>
        <w:pStyle w:val="BodyTextNL"/>
        <w:spacing w:before="240"/>
        <w:rPr>
          <w:rFonts w:ascii="Arial" w:hAnsi="Arial" w:cs="Arial"/>
        </w:rPr>
      </w:pPr>
      <w:r>
        <w:rPr>
          <w:rFonts w:ascii="Arial" w:hAnsi="Arial"/>
        </w:rPr>
        <w:t>einschließlich Lebensmittelverpackungen für Fastfood oder andere Mahlzeiten, die für den unmittelbaren Verzehr bereit sind, mit Ausnahme von Getränkeverpackungen, Tellern, Beuteln und Verpackungen, die Lebensmittel enthalten;</w:t>
      </w:r>
    </w:p>
    <w:p w14:paraId="54F3FE39" w14:textId="77777777" w:rsidR="00994A23" w:rsidRDefault="00224C6A">
      <w:pPr>
        <w:pStyle w:val="BodyTextNL"/>
        <w:spacing w:before="240"/>
        <w:rPr>
          <w:rFonts w:ascii="Arial" w:hAnsi="Arial" w:cs="Arial"/>
        </w:rPr>
      </w:pPr>
      <w:r>
        <w:rPr>
          <w:rFonts w:ascii="Arial" w:hAnsi="Arial"/>
        </w:rPr>
        <w:t>8. Getränkeverpackungen aus expandiertem Polystyrol, einschließlich Kappen und Deckeln;</w:t>
      </w:r>
    </w:p>
    <w:p w14:paraId="2F6CC2AD" w14:textId="77777777" w:rsidR="00994A23" w:rsidRDefault="00224C6A">
      <w:pPr>
        <w:pStyle w:val="BodyTextNL"/>
        <w:rPr>
          <w:rFonts w:ascii="Arial" w:hAnsi="Arial" w:cs="Arial"/>
        </w:rPr>
      </w:pPr>
      <w:r>
        <w:rPr>
          <w:rFonts w:ascii="Arial" w:hAnsi="Arial"/>
        </w:rPr>
        <w:t>9. Trinkbecher aus expandiertem Polystyrol, einschließlich Kappen und Deckeln.“</w:t>
      </w:r>
    </w:p>
    <w:p w14:paraId="7A7524E3" w14:textId="77777777" w:rsidR="00994A23" w:rsidRDefault="00224C6A">
      <w:pPr>
        <w:pStyle w:val="centeredARTICLE"/>
        <w:rPr>
          <w:rFonts w:ascii="Arial" w:hAnsi="Arial" w:cs="Arial"/>
        </w:rPr>
      </w:pPr>
      <w:r>
        <w:rPr>
          <w:rFonts w:ascii="Arial" w:hAnsi="Arial"/>
        </w:rPr>
        <w:t>Artikel </w:t>
      </w:r>
      <w:r>
        <w:rPr>
          <w:rFonts w:ascii="Arial" w:hAnsi="Arial"/>
          <w:u w:val="thick"/>
        </w:rPr>
        <w:t>7</w:t>
      </w:r>
      <w:r>
        <w:rPr>
          <w:rFonts w:ascii="Arial" w:hAnsi="Arial"/>
        </w:rPr>
        <w:t xml:space="preserve"> (früher Artikel 6)</w:t>
      </w:r>
    </w:p>
    <w:p w14:paraId="7B150196" w14:textId="77777777" w:rsidR="00994A23" w:rsidRDefault="00224C6A" w:rsidP="008F5571">
      <w:pPr>
        <w:pStyle w:val="BodyTextNL"/>
        <w:keepNext/>
        <w:keepLines/>
        <w:rPr>
          <w:rFonts w:ascii="Arial" w:hAnsi="Arial" w:cs="Arial"/>
        </w:rPr>
      </w:pPr>
      <w:r>
        <w:rPr>
          <w:rFonts w:ascii="Arial" w:hAnsi="Arial"/>
        </w:rPr>
        <w:t>In dem oben genannten Kapitel IV</w:t>
      </w:r>
      <w:r>
        <w:rPr>
          <w:rStyle w:val="Italic"/>
          <w:rFonts w:ascii="Arial" w:hAnsi="Arial"/>
        </w:rPr>
        <w:t>a</w:t>
      </w:r>
      <w:r>
        <w:rPr>
          <w:rFonts w:ascii="Arial" w:hAnsi="Arial"/>
        </w:rPr>
        <w:t xml:space="preserve"> wird ein Artikel </w:t>
      </w:r>
      <w:r>
        <w:rPr>
          <w:rFonts w:ascii="Arial" w:hAnsi="Arial"/>
          <w:u w:val="thick"/>
        </w:rPr>
        <w:t>9c</w:t>
      </w:r>
      <w:r>
        <w:rPr>
          <w:rFonts w:ascii="Arial" w:hAnsi="Arial"/>
        </w:rPr>
        <w:t xml:space="preserve"> mit folgendem Wortlaut eingefügt:</w:t>
      </w:r>
    </w:p>
    <w:p w14:paraId="6FEAD1B3" w14:textId="77777777" w:rsidR="00994A23" w:rsidRDefault="00224C6A" w:rsidP="008F5571">
      <w:pPr>
        <w:pStyle w:val="BodyTextNL"/>
        <w:keepNext/>
        <w:keepLines/>
        <w:rPr>
          <w:rFonts w:ascii="Arial" w:hAnsi="Arial" w:cs="Arial"/>
        </w:rPr>
      </w:pPr>
      <w:r>
        <w:rPr>
          <w:rFonts w:ascii="Arial" w:hAnsi="Arial"/>
        </w:rPr>
        <w:t>„Artikel </w:t>
      </w:r>
      <w:r>
        <w:rPr>
          <w:rFonts w:ascii="Arial" w:hAnsi="Arial"/>
          <w:u w:val="thick"/>
        </w:rPr>
        <w:t>9c</w:t>
      </w:r>
      <w:r>
        <w:rPr>
          <w:rFonts w:ascii="Arial" w:hAnsi="Arial"/>
        </w:rPr>
        <w:t xml:space="preserve"> Es ist untersagt, Einweg-Kunststofftragetaschen, die dazu bestimmt sind, an Verkaufsstellen in Räumlichkeiten oder im Freien verwendet zu werden, um Waren beim Einkaufen zu verpacken und/oder zu transportieren oder in Verkehr zu bringen, ausgenommen:</w:t>
      </w:r>
    </w:p>
    <w:p w14:paraId="1E7BA3C2" w14:textId="77777777" w:rsidR="00994A23" w:rsidRDefault="00224C6A">
      <w:pPr>
        <w:pStyle w:val="BodyTextNL"/>
        <w:rPr>
          <w:rFonts w:ascii="Arial" w:hAnsi="Arial" w:cs="Arial"/>
        </w:rPr>
      </w:pPr>
      <w:r>
        <w:rPr>
          <w:rFonts w:ascii="Arial" w:hAnsi="Arial"/>
        </w:rPr>
        <w:t>1. auf Flughäfen, jene, die mit einem haftenden Hochsicherheitsverschluss und/oder stabilen Nähten versehen sind;</w:t>
      </w:r>
    </w:p>
    <w:p w14:paraId="08461A54" w14:textId="46343887" w:rsidR="00994A23" w:rsidRDefault="00224C6A">
      <w:pPr>
        <w:pStyle w:val="BodyTextNL"/>
        <w:rPr>
          <w:rFonts w:ascii="Arial" w:hAnsi="Arial" w:cs="Arial"/>
        </w:rPr>
      </w:pPr>
      <w:r>
        <w:rPr>
          <w:rFonts w:ascii="Arial" w:hAnsi="Arial"/>
        </w:rPr>
        <w:t>2. jene, die für die Abfallsammlung bestimmt sind;</w:t>
      </w:r>
    </w:p>
    <w:p w14:paraId="046CBB9F" w14:textId="77777777" w:rsidR="00994A23" w:rsidRDefault="00224C6A">
      <w:pPr>
        <w:pStyle w:val="BodyTextNL"/>
        <w:rPr>
          <w:rFonts w:ascii="Arial" w:hAnsi="Arial" w:cs="Arial"/>
        </w:rPr>
      </w:pPr>
      <w:r>
        <w:rPr>
          <w:rFonts w:ascii="Arial" w:hAnsi="Arial"/>
        </w:rPr>
        <w:t>3. jene, die für medizinische Zwecke bestimmt sind;</w:t>
      </w:r>
    </w:p>
    <w:p w14:paraId="5A667197" w14:textId="77777777" w:rsidR="00994A23" w:rsidRDefault="00224C6A" w:rsidP="00DF5859">
      <w:pPr>
        <w:pStyle w:val="BodyTextNL"/>
        <w:keepLines/>
        <w:rPr>
          <w:rFonts w:ascii="Arial" w:hAnsi="Arial" w:cs="Arial"/>
        </w:rPr>
      </w:pPr>
      <w:r>
        <w:rPr>
          <w:rFonts w:ascii="Arial" w:hAnsi="Arial"/>
        </w:rPr>
        <w:lastRenderedPageBreak/>
        <w:t>4. jene, die zur Verpackung von Lebensmitteln bestimmt sind, die in kleinen Mengen verkauft werden und die feucht oder flüssig sind oder Flüssigkeiten enthalten, die auslaufen können, sofern es sich um Tragetaschen auf biologischer Basis handelt, die für die Kompostierung zu Hause geeignet sind;</w:t>
      </w:r>
    </w:p>
    <w:p w14:paraId="27209BDA" w14:textId="77777777" w:rsidR="00994A23" w:rsidRDefault="00224C6A">
      <w:pPr>
        <w:pStyle w:val="BodyTextNL"/>
        <w:rPr>
          <w:rFonts w:ascii="Arial" w:hAnsi="Arial" w:cs="Arial"/>
        </w:rPr>
      </w:pPr>
      <w:r>
        <w:rPr>
          <w:rFonts w:ascii="Arial" w:hAnsi="Arial"/>
        </w:rPr>
        <w:t xml:space="preserve">5. sehr leichte Kunststofftragetaschen zur Primärverpackung von Wasserpflanzen und -tieren. </w:t>
      </w:r>
    </w:p>
    <w:p w14:paraId="2907C68D" w14:textId="77777777" w:rsidR="00994A23" w:rsidRDefault="00224C6A">
      <w:pPr>
        <w:pStyle w:val="BodyTextNL"/>
        <w:spacing w:before="240"/>
        <w:rPr>
          <w:rFonts w:ascii="Arial" w:hAnsi="Arial" w:cs="Arial"/>
        </w:rPr>
      </w:pPr>
      <w:r>
        <w:rPr>
          <w:rFonts w:ascii="Arial" w:hAnsi="Arial"/>
          <w:u w:val="thick"/>
        </w:rPr>
        <w:t xml:space="preserve">Nach Ablauf von sechs Monaten nach der Veröffentlichung des Gesetzes vom ... zur Änderung des Gesetzes vom 21. Dezember 1998 über Produktnormen zur Förderung umweltverträglicher Produktions- und Konsummuster und zum Schutz der Umwelt, der Gesundheit und der Arbeitnehmer, um ein Verbot der Verwendung von oxo-abbaubaren Kunststoffprodukten und einigen anderen Einweg-Kunststoffprodukten zu erlassen, im </w:t>
      </w:r>
      <w:r>
        <w:rPr>
          <w:rFonts w:ascii="Arial" w:hAnsi="Arial"/>
          <w:i/>
          <w:u w:val="thick"/>
        </w:rPr>
        <w:t>Belgischen Staatsblatt</w:t>
      </w:r>
      <w:r>
        <w:rPr>
          <w:rFonts w:ascii="Arial" w:hAnsi="Arial"/>
        </w:rPr>
        <w:t xml:space="preserve">, bestehen die in Absatz 1 Ziffer 4 genannten Tragetaschen zu mindestens 40% aus Biomaterial und ab dem 1. Januar 2025 aus mindestens 60% Biomaterial. </w:t>
      </w:r>
    </w:p>
    <w:p w14:paraId="2A58C639" w14:textId="77777777" w:rsidR="00994A23" w:rsidRDefault="00224C6A">
      <w:pPr>
        <w:pStyle w:val="BodyTextNL"/>
        <w:rPr>
          <w:rFonts w:ascii="Arial" w:hAnsi="Arial" w:cs="Arial"/>
        </w:rPr>
      </w:pPr>
      <w:r>
        <w:rPr>
          <w:rFonts w:ascii="Arial" w:hAnsi="Arial"/>
          <w:u w:val="thick"/>
        </w:rPr>
        <w:t xml:space="preserve">Der König kann unter Berücksichtigung der in der Richtlinie 94/62/EG des Europäischen Parlaments und des Rates vom 20. Dezember 1994 über Verpackungen und Verpackungsabfälle festgelegten Vorschriften zur Verhältnismäßigkeit und </w:t>
      </w:r>
      <w:r>
        <w:rPr>
          <w:rStyle w:val="ItalicUnderline"/>
          <w:rFonts w:ascii="Arial" w:hAnsi="Arial"/>
          <w:i w:val="0"/>
        </w:rPr>
        <w:t>Nichtdiskriminierung</w:t>
      </w:r>
      <w:r>
        <w:rPr>
          <w:rFonts w:ascii="Arial" w:hAnsi="Arial"/>
          <w:u w:val="thick"/>
        </w:rPr>
        <w:t xml:space="preserve"> nur dann zusätzliche Ausnahmen von dem im ersten Absatz genannten Verbot vorsehen, wenn die Situation dies erfordert und keine Alternative zu Einweg-Kunststoff zur Verfügung steht.“</w:t>
      </w:r>
    </w:p>
    <w:p w14:paraId="2AB9389F" w14:textId="77777777" w:rsidR="00994A23" w:rsidRDefault="00224C6A">
      <w:pPr>
        <w:pStyle w:val="centeredARTICLE"/>
        <w:rPr>
          <w:rFonts w:ascii="Arial" w:hAnsi="Arial" w:cs="Arial"/>
        </w:rPr>
      </w:pPr>
      <w:r>
        <w:rPr>
          <w:rStyle w:val="Underline"/>
          <w:rFonts w:ascii="Arial" w:hAnsi="Arial"/>
        </w:rPr>
        <w:t>Artikel 8</w:t>
      </w:r>
      <w:r>
        <w:rPr>
          <w:rFonts w:ascii="Arial" w:hAnsi="Arial"/>
        </w:rPr>
        <w:t xml:space="preserve"> (früher Artikel 7)</w:t>
      </w:r>
    </w:p>
    <w:p w14:paraId="1EBE0348" w14:textId="77777777" w:rsidR="00994A23" w:rsidRDefault="00224C6A">
      <w:pPr>
        <w:pStyle w:val="BodyTextNL"/>
        <w:rPr>
          <w:rFonts w:ascii="Arial" w:hAnsi="Arial" w:cs="Arial"/>
        </w:rPr>
      </w:pPr>
      <w:r>
        <w:rPr>
          <w:rFonts w:ascii="Arial" w:hAnsi="Arial"/>
        </w:rPr>
        <w:t>In Artikel 17 § 2 Ziffer 2 desselben Gesetzes vom 21 Dezember 1998 werden die Worte „von den Artikeln 10 bis 14“ ersetzt durch die Worte „von den Artikeln </w:t>
      </w:r>
      <w:r>
        <w:rPr>
          <w:rFonts w:ascii="Arial" w:hAnsi="Arial"/>
          <w:u w:val="thick"/>
        </w:rPr>
        <w:t>9a</w:t>
      </w:r>
      <w:r>
        <w:rPr>
          <w:rFonts w:ascii="Arial" w:hAnsi="Arial"/>
        </w:rPr>
        <w:t xml:space="preserve"> bis 14“.</w:t>
      </w:r>
    </w:p>
    <w:p w14:paraId="7A909A9F" w14:textId="77777777" w:rsidR="00994A23" w:rsidRDefault="00224C6A">
      <w:pPr>
        <w:pStyle w:val="centeredARTICLE"/>
        <w:rPr>
          <w:rFonts w:ascii="Arial" w:hAnsi="Arial" w:cs="Arial"/>
        </w:rPr>
      </w:pPr>
      <w:r>
        <w:rPr>
          <w:rStyle w:val="Underline"/>
          <w:rFonts w:ascii="Arial" w:hAnsi="Arial"/>
        </w:rPr>
        <w:t>Artikel 9</w:t>
      </w:r>
      <w:r>
        <w:rPr>
          <w:rFonts w:ascii="Arial" w:hAnsi="Arial"/>
        </w:rPr>
        <w:t xml:space="preserve"> </w:t>
      </w:r>
      <w:r>
        <w:rPr>
          <w:rFonts w:ascii="Arial" w:hAnsi="Arial"/>
          <w:i/>
        </w:rPr>
        <w:t>(neu)</w:t>
      </w:r>
    </w:p>
    <w:p w14:paraId="1888D22E" w14:textId="77777777" w:rsidR="00994A23" w:rsidRDefault="00224C6A">
      <w:pPr>
        <w:pStyle w:val="BodyTextNL"/>
        <w:rPr>
          <w:rStyle w:val="Italic"/>
          <w:rFonts w:ascii="Arial" w:hAnsi="Arial" w:cs="Arial"/>
        </w:rPr>
      </w:pPr>
      <w:r>
        <w:rPr>
          <w:rFonts w:ascii="Arial" w:hAnsi="Arial"/>
        </w:rPr>
        <w:t>Die Kunststofftragetaschen, deren Inverkehrbringen gemäß Artikel </w:t>
      </w:r>
      <w:r>
        <w:rPr>
          <w:rFonts w:ascii="Arial" w:hAnsi="Arial"/>
          <w:u w:val="thick"/>
        </w:rPr>
        <w:t>9c</w:t>
      </w:r>
      <w:r>
        <w:rPr>
          <w:rFonts w:ascii="Arial" w:hAnsi="Arial"/>
        </w:rPr>
        <w:t xml:space="preserve"> desselben Gesetzes untersagt ist und die vom Einzelhändler vor dem Datum des Inkrafttretens im Sinne von Artikel </w:t>
      </w:r>
      <w:r>
        <w:rPr>
          <w:rStyle w:val="Underline"/>
          <w:rFonts w:ascii="Arial" w:hAnsi="Arial"/>
        </w:rPr>
        <w:t>10</w:t>
      </w:r>
      <w:r>
        <w:rPr>
          <w:rFonts w:ascii="Arial" w:hAnsi="Arial"/>
        </w:rPr>
        <w:t xml:space="preserve"> Absatz 2 dieses Gesetzes bezahlt wurden, dürfen ab diesem Datum noch </w:t>
      </w:r>
      <w:r>
        <w:rPr>
          <w:rStyle w:val="Italic"/>
          <w:rFonts w:ascii="Arial" w:hAnsi="Arial"/>
          <w:i w:val="0"/>
        </w:rPr>
        <w:t>innerhalb von sechs Monaten entsorgt werden.</w:t>
      </w:r>
      <w:r>
        <w:rPr>
          <w:rStyle w:val="Italic"/>
          <w:rFonts w:ascii="Arial" w:hAnsi="Arial"/>
        </w:rPr>
        <w:t xml:space="preserve"> </w:t>
      </w:r>
    </w:p>
    <w:p w14:paraId="53F3F179" w14:textId="77777777" w:rsidR="00994A23" w:rsidRDefault="00224C6A">
      <w:pPr>
        <w:pStyle w:val="centeredARTICLE"/>
        <w:rPr>
          <w:rStyle w:val="Underline"/>
          <w:rFonts w:ascii="Arial" w:hAnsi="Arial" w:cs="Arial"/>
        </w:rPr>
      </w:pPr>
      <w:r>
        <w:rPr>
          <w:rStyle w:val="Underline"/>
          <w:rFonts w:ascii="Arial" w:hAnsi="Arial"/>
          <w:u w:val="none"/>
        </w:rPr>
        <w:t>Artikel </w:t>
      </w:r>
      <w:r>
        <w:rPr>
          <w:rStyle w:val="Underline"/>
          <w:rFonts w:ascii="Arial" w:hAnsi="Arial"/>
        </w:rPr>
        <w:t>10</w:t>
      </w:r>
      <w:r>
        <w:rPr>
          <w:rStyle w:val="Underline"/>
          <w:rFonts w:ascii="Arial" w:hAnsi="Arial"/>
          <w:u w:val="none"/>
        </w:rPr>
        <w:t xml:space="preserve"> </w:t>
      </w:r>
      <w:r>
        <w:rPr>
          <w:rFonts w:ascii="Arial" w:hAnsi="Arial"/>
        </w:rPr>
        <w:t>(früher Artikel 8)</w:t>
      </w:r>
    </w:p>
    <w:p w14:paraId="508382BA" w14:textId="77777777" w:rsidR="00994A23" w:rsidRDefault="00224C6A" w:rsidP="008F5571">
      <w:pPr>
        <w:pStyle w:val="BodyTextNL"/>
        <w:keepNext/>
        <w:keepLines/>
        <w:rPr>
          <w:rFonts w:ascii="Arial" w:hAnsi="Arial" w:cs="Arial"/>
        </w:rPr>
      </w:pPr>
      <w:r>
        <w:rPr>
          <w:rFonts w:ascii="Arial" w:hAnsi="Arial"/>
        </w:rPr>
        <w:t>Dieses Gesetz tritt zum 3. Juli 2021 in Kraft.</w:t>
      </w:r>
    </w:p>
    <w:p w14:paraId="603AF641" w14:textId="77777777" w:rsidR="00994A23" w:rsidRDefault="00224C6A">
      <w:pPr>
        <w:pStyle w:val="BodyTextNL"/>
        <w:rPr>
          <w:rFonts w:ascii="Arial" w:hAnsi="Arial" w:cs="Arial"/>
        </w:rPr>
      </w:pPr>
      <w:r>
        <w:rPr>
          <w:rFonts w:ascii="Arial" w:hAnsi="Arial"/>
        </w:rPr>
        <w:t>Der König kann ein Datum des Inkrafttretens festlegen, das vor dem im ersten Absatz genannten Datum liegt.</w:t>
      </w:r>
    </w:p>
    <w:p w14:paraId="51060FE7" w14:textId="77777777" w:rsidR="00994A23" w:rsidRDefault="00224C6A">
      <w:pPr>
        <w:pStyle w:val="BodyTextNL"/>
      </w:pPr>
      <w:r>
        <w:rPr>
          <w:rFonts w:ascii="Arial" w:hAnsi="Arial"/>
        </w:rPr>
        <w:t xml:space="preserve">Abweichend von Absatz 1 und 2 </w:t>
      </w:r>
      <w:r>
        <w:rPr>
          <w:rFonts w:ascii="Arial" w:hAnsi="Arial"/>
          <w:u w:val="thick"/>
        </w:rPr>
        <w:t>treten die Artikel 3, 4, 7 und 8</w:t>
      </w:r>
      <w:r>
        <w:rPr>
          <w:rFonts w:ascii="Arial" w:hAnsi="Arial"/>
        </w:rPr>
        <w:t xml:space="preserve"> sechs Monate nach der Veröffentlichung dieses Gesetzes im </w:t>
      </w:r>
      <w:r>
        <w:rPr>
          <w:rStyle w:val="Italic"/>
          <w:rFonts w:ascii="Arial" w:hAnsi="Arial"/>
        </w:rPr>
        <w:t xml:space="preserve">Belgischen </w:t>
      </w:r>
      <w:r>
        <w:rPr>
          <w:rStyle w:val="Italic"/>
          <w:rFonts w:ascii="Arial" w:hAnsi="Arial"/>
          <w:u w:val="thick"/>
        </w:rPr>
        <w:t>Staatsblatt</w:t>
      </w:r>
      <w:r>
        <w:rPr>
          <w:rFonts w:ascii="Arial" w:hAnsi="Arial"/>
        </w:rPr>
        <w:t xml:space="preserve"> in Kraft.</w:t>
      </w:r>
    </w:p>
    <w:sectPr w:rsidR="00994A23">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C6A"/>
    <w:rsid w:val="00224C6A"/>
    <w:rsid w:val="00272AB1"/>
    <w:rsid w:val="003D5C5A"/>
    <w:rsid w:val="008F5571"/>
    <w:rsid w:val="00994A23"/>
    <w:rsid w:val="00B6116D"/>
    <w:rsid w:val="00DF58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CEC5B"/>
  <w14:defaultImageDpi w14:val="0"/>
  <w15:docId w15:val="{C6B2BA8E-28E1-4DE1-8A66-0220D7F8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Helvetica LT Std" w:hAnsi="Helvetica LT Std" w:cs="Helvetica LT Std"/>
      <w:color w:val="000000"/>
      <w:sz w:val="24"/>
      <w:szCs w:val="24"/>
    </w:rPr>
  </w:style>
  <w:style w:type="paragraph" w:customStyle="1" w:styleId="BodyTextNL">
    <w:name w:val="BodyText_NL"/>
    <w:basedOn w:val="NoParagraphStyle"/>
    <w:uiPriority w:val="99"/>
    <w:pPr>
      <w:spacing w:after="240"/>
      <w:ind w:firstLine="227"/>
      <w:jc w:val="both"/>
    </w:pPr>
    <w:rPr>
      <w:sz w:val="20"/>
      <w:szCs w:val="20"/>
    </w:rPr>
  </w:style>
  <w:style w:type="paragraph" w:customStyle="1" w:styleId="centeredARTICLE">
    <w:name w:val="centered ARTICLE"/>
    <w:basedOn w:val="BodyTextNL"/>
    <w:next w:val="NoParagraphStyle"/>
    <w:uiPriority w:val="99"/>
    <w:pPr>
      <w:keepNext/>
      <w:keepLines/>
      <w:suppressAutoHyphens/>
      <w:spacing w:before="240"/>
      <w:ind w:firstLine="0"/>
      <w:jc w:val="center"/>
    </w:pPr>
  </w:style>
  <w:style w:type="character" w:customStyle="1" w:styleId="Underline">
    <w:name w:val="_Underline"/>
    <w:uiPriority w:val="99"/>
    <w:rPr>
      <w:u w:val="thick"/>
    </w:rPr>
  </w:style>
  <w:style w:type="character" w:customStyle="1" w:styleId="Italic">
    <w:name w:val="_Italic"/>
    <w:uiPriority w:val="99"/>
    <w:rPr>
      <w:i/>
      <w:iCs/>
    </w:rPr>
  </w:style>
  <w:style w:type="character" w:customStyle="1" w:styleId="ItalicUnderline">
    <w:name w:val="_Italic_Underline"/>
    <w:basedOn w:val="Italic"/>
    <w:uiPriority w:val="99"/>
    <w:rPr>
      <w:i/>
      <w:iCs/>
      <w:u w:val="thick"/>
    </w:rPr>
  </w:style>
  <w:style w:type="character" w:customStyle="1" w:styleId="Sup">
    <w:name w:val="_Sup"/>
    <w:uiPriority w:val="99"/>
    <w:rPr>
      <w:vertAlign w:val="superscript"/>
    </w:rPr>
  </w:style>
  <w:style w:type="character" w:customStyle="1" w:styleId="Bold">
    <w:name w:val="_Bold"/>
    <w:uiPriority w:val="99"/>
    <w:rPr>
      <w:b/>
      <w:bCs/>
    </w:rPr>
  </w:style>
  <w:style w:type="character" w:customStyle="1" w:styleId="BoldUnderline">
    <w:name w:val="_Bold_Underline"/>
    <w:basedOn w:val="Bold"/>
    <w:uiPriority w:val="99"/>
    <w:rPr>
      <w:b/>
      <w:bCs/>
      <w:u w:val="thick"/>
    </w:rPr>
  </w:style>
  <w:style w:type="character" w:customStyle="1" w:styleId="Caps">
    <w:name w:val="_Caps"/>
    <w:uiPriority w:val="99"/>
    <w:rPr>
      <w:caps/>
    </w:rPr>
  </w:style>
  <w:style w:type="character" w:customStyle="1" w:styleId="BoldCaps">
    <w:name w:val="_Bold_Caps"/>
    <w:basedOn w:val="Bold"/>
    <w:uiPriority w:val="99"/>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981</Words>
  <Characters>6494</Characters>
  <Application>Microsoft Office Word</Application>
  <DocSecurity>0</DocSecurity>
  <Lines>54</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
  <dc:description/>
  <cp:lastModifiedBy>Diana STOICA</cp:lastModifiedBy>
  <cp:revision>4</cp:revision>
  <dcterms:created xsi:type="dcterms:W3CDTF">2020-09-04T09:56:00Z</dcterms:created>
  <dcterms:modified xsi:type="dcterms:W3CDTF">2020-09-11T13:53:00Z</dcterms:modified>
</cp:coreProperties>
</file>