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392" w:type="dxa"/>
        <w:jc w:val="center"/>
        <w:tblLayout w:type="fixed"/>
        <w:tblCellMar>
          <w:left w:w="70" w:type="dxa"/>
          <w:right w:w="70" w:type="dxa"/>
        </w:tblCellMar>
        <w:tblLook w:val="0000" w:firstRow="0" w:lastRow="0" w:firstColumn="0" w:lastColumn="0" w:noHBand="0" w:noVBand="0"/>
      </w:tblPr>
      <w:tblGrid>
        <w:gridCol w:w="18"/>
        <w:gridCol w:w="4356"/>
        <w:gridCol w:w="18"/>
      </w:tblGrid>
      <w:tr w:rsidR="002A3E7E" w:rsidRPr="002A3E7E" w14:paraId="45FC5679" w14:textId="77777777" w:rsidTr="002A3E7E">
        <w:trPr>
          <w:gridAfter w:val="1"/>
          <w:wAfter w:w="18" w:type="dxa"/>
          <w:trHeight w:val="151"/>
          <w:jc w:val="center"/>
        </w:trPr>
        <w:tc>
          <w:tcPr>
            <w:tcW w:w="4374" w:type="dxa"/>
            <w:gridSpan w:val="2"/>
          </w:tcPr>
          <w:p w14:paraId="53BAF2AA" w14:textId="77777777" w:rsidR="002A3E7E" w:rsidRPr="002A3E7E" w:rsidRDefault="002A3E7E" w:rsidP="002A3E7E">
            <w:pPr>
              <w:keepNext/>
              <w:spacing w:after="0" w:line="240" w:lineRule="auto"/>
              <w:jc w:val="center"/>
              <w:outlineLvl w:val="2"/>
              <w:rPr>
                <w:rFonts w:ascii="Garamond" w:eastAsia="Times New Roman" w:hAnsi="Garamond" w:cs="Times New Roman"/>
                <w:b/>
                <w:lang w:eastAsia="nl-NL"/>
              </w:rPr>
            </w:pPr>
            <w:r w:rsidRPr="002A3E7E">
              <w:rPr>
                <w:rFonts w:ascii="Garamond" w:eastAsia="Times New Roman" w:hAnsi="Garamond" w:cs="Times New Roman"/>
                <w:b/>
                <w:lang w:eastAsia="nl-NL"/>
              </w:rPr>
              <w:t>Koninkrijk België</w:t>
            </w:r>
          </w:p>
        </w:tc>
      </w:tr>
      <w:tr w:rsidR="002A3E7E" w:rsidRPr="002A3E7E" w14:paraId="77D332B3" w14:textId="77777777" w:rsidTr="002A3E7E">
        <w:trPr>
          <w:gridAfter w:val="1"/>
          <w:wAfter w:w="18" w:type="dxa"/>
          <w:jc w:val="center"/>
        </w:trPr>
        <w:tc>
          <w:tcPr>
            <w:tcW w:w="4374" w:type="dxa"/>
            <w:gridSpan w:val="2"/>
          </w:tcPr>
          <w:p w14:paraId="7C8E3D50" w14:textId="77777777" w:rsidR="002A3E7E" w:rsidRPr="002A3E7E" w:rsidRDefault="002A3E7E" w:rsidP="002A3E7E">
            <w:pPr>
              <w:tabs>
                <w:tab w:val="left" w:pos="2268"/>
              </w:tabs>
              <w:spacing w:after="0" w:line="240" w:lineRule="auto"/>
              <w:jc w:val="center"/>
              <w:rPr>
                <w:rFonts w:ascii="Garamond" w:eastAsia="Times New Roman" w:hAnsi="Garamond" w:cs="Times New Roman"/>
                <w:lang w:eastAsia="nl-NL"/>
              </w:rPr>
            </w:pPr>
            <w:r w:rsidRPr="002A3E7E">
              <w:rPr>
                <w:rFonts w:ascii="Garamond" w:eastAsia="Times New Roman" w:hAnsi="Garamond" w:cs="Times New Roman"/>
                <w:lang w:eastAsia="nl-NL"/>
              </w:rPr>
              <w:t>_________</w:t>
            </w:r>
          </w:p>
        </w:tc>
      </w:tr>
      <w:tr w:rsidR="002A3E7E" w:rsidRPr="002A3E7E" w14:paraId="30455610" w14:textId="77777777" w:rsidTr="002A3E7E">
        <w:trPr>
          <w:gridAfter w:val="1"/>
          <w:wAfter w:w="18" w:type="dxa"/>
          <w:jc w:val="center"/>
        </w:trPr>
        <w:tc>
          <w:tcPr>
            <w:tcW w:w="4374" w:type="dxa"/>
            <w:gridSpan w:val="2"/>
          </w:tcPr>
          <w:p w14:paraId="7C4CFAFA" w14:textId="77777777" w:rsidR="002A3E7E" w:rsidRPr="002A3E7E" w:rsidRDefault="002A3E7E" w:rsidP="002A3E7E">
            <w:pPr>
              <w:tabs>
                <w:tab w:val="left" w:pos="2268"/>
              </w:tabs>
              <w:spacing w:after="0" w:line="240" w:lineRule="auto"/>
              <w:jc w:val="center"/>
              <w:rPr>
                <w:rFonts w:ascii="Garamond" w:eastAsia="Times New Roman" w:hAnsi="Garamond" w:cs="Times New Roman"/>
                <w:lang w:eastAsia="nl-NL"/>
              </w:rPr>
            </w:pPr>
          </w:p>
        </w:tc>
      </w:tr>
      <w:tr w:rsidR="002A3E7E" w:rsidRPr="002A3E7E" w14:paraId="707D296E" w14:textId="77777777" w:rsidTr="002A3E7E">
        <w:trPr>
          <w:gridAfter w:val="1"/>
          <w:wAfter w:w="18" w:type="dxa"/>
          <w:jc w:val="center"/>
        </w:trPr>
        <w:tc>
          <w:tcPr>
            <w:tcW w:w="4374" w:type="dxa"/>
            <w:gridSpan w:val="2"/>
          </w:tcPr>
          <w:p w14:paraId="6F03666C" w14:textId="77777777" w:rsidR="002A3E7E" w:rsidRPr="002A3E7E" w:rsidRDefault="002A3E7E" w:rsidP="002A3E7E">
            <w:pPr>
              <w:tabs>
                <w:tab w:val="left" w:pos="2268"/>
              </w:tabs>
              <w:spacing w:after="0" w:line="240" w:lineRule="auto"/>
              <w:jc w:val="center"/>
              <w:rPr>
                <w:rFonts w:ascii="Garamond" w:eastAsia="Times New Roman" w:hAnsi="Garamond" w:cs="Times New Roman"/>
                <w:b/>
                <w:bCs/>
                <w:lang w:val="nl-NL" w:eastAsia="nl-NL"/>
              </w:rPr>
            </w:pPr>
            <w:r w:rsidRPr="002A3E7E">
              <w:rPr>
                <w:rFonts w:ascii="Garamond" w:eastAsia="Times New Roman" w:hAnsi="Garamond" w:cs="Times New Roman"/>
                <w:b/>
                <w:bCs/>
                <w:lang w:val="nl-NL" w:eastAsia="nl-NL"/>
              </w:rPr>
              <w:t xml:space="preserve">FEDERALE OVERHEIDSDIENST VOLKSGEZONDHEID, VEILIGHEID VAN DE VOEDSELKETEN EN LEEFMILIEU </w:t>
            </w:r>
          </w:p>
        </w:tc>
      </w:tr>
      <w:tr w:rsidR="002A3E7E" w:rsidRPr="002A3E7E" w14:paraId="21A50915" w14:textId="77777777" w:rsidTr="002A3E7E">
        <w:trPr>
          <w:gridAfter w:val="1"/>
          <w:wAfter w:w="18" w:type="dxa"/>
          <w:jc w:val="center"/>
        </w:trPr>
        <w:tc>
          <w:tcPr>
            <w:tcW w:w="4374" w:type="dxa"/>
            <w:gridSpan w:val="2"/>
          </w:tcPr>
          <w:p w14:paraId="0CAB45E5" w14:textId="77777777" w:rsidR="002A3E7E" w:rsidRPr="002A3E7E" w:rsidRDefault="002A3E7E" w:rsidP="002A3E7E">
            <w:pPr>
              <w:tabs>
                <w:tab w:val="left" w:pos="2268"/>
              </w:tabs>
              <w:spacing w:after="0" w:line="240" w:lineRule="auto"/>
              <w:jc w:val="center"/>
              <w:rPr>
                <w:rFonts w:ascii="Garamond" w:eastAsia="Times New Roman" w:hAnsi="Garamond" w:cs="Times New Roman"/>
                <w:lang w:val="fr-FR" w:eastAsia="nl-NL"/>
              </w:rPr>
            </w:pPr>
            <w:r w:rsidRPr="002A3E7E">
              <w:rPr>
                <w:rFonts w:ascii="Garamond" w:eastAsia="Times New Roman" w:hAnsi="Garamond" w:cs="Times New Roman"/>
                <w:lang w:val="fr-FR" w:eastAsia="nl-NL"/>
              </w:rPr>
              <w:t>________________________</w:t>
            </w:r>
          </w:p>
        </w:tc>
      </w:tr>
      <w:tr w:rsidR="002A3E7E" w:rsidRPr="002A3E7E" w14:paraId="44D15181" w14:textId="77777777" w:rsidTr="002A3E7E">
        <w:trPr>
          <w:gridAfter w:val="1"/>
          <w:wAfter w:w="18" w:type="dxa"/>
          <w:jc w:val="center"/>
        </w:trPr>
        <w:tc>
          <w:tcPr>
            <w:tcW w:w="4374" w:type="dxa"/>
            <w:gridSpan w:val="2"/>
          </w:tcPr>
          <w:p w14:paraId="535A2885" w14:textId="77777777" w:rsidR="002A3E7E" w:rsidRPr="002A3E7E" w:rsidRDefault="002A3E7E" w:rsidP="002A3E7E">
            <w:pPr>
              <w:tabs>
                <w:tab w:val="left" w:pos="2268"/>
              </w:tabs>
              <w:spacing w:after="0" w:line="240" w:lineRule="auto"/>
              <w:jc w:val="center"/>
              <w:rPr>
                <w:rFonts w:ascii="Garamond" w:eastAsia="Times New Roman" w:hAnsi="Garamond" w:cs="Times New Roman"/>
                <w:lang w:val="fr-FR" w:eastAsia="nl-NL"/>
              </w:rPr>
            </w:pPr>
          </w:p>
        </w:tc>
      </w:tr>
      <w:tr w:rsidR="002A3E7E" w:rsidRPr="002A3E7E" w14:paraId="3D257650" w14:textId="77777777" w:rsidTr="002A3E7E">
        <w:trPr>
          <w:gridAfter w:val="1"/>
          <w:wAfter w:w="18" w:type="dxa"/>
          <w:jc w:val="center"/>
        </w:trPr>
        <w:tc>
          <w:tcPr>
            <w:tcW w:w="4374" w:type="dxa"/>
            <w:gridSpan w:val="2"/>
          </w:tcPr>
          <w:p w14:paraId="2D309DE0" w14:textId="77777777" w:rsidR="002A3E7E" w:rsidRPr="002A3E7E" w:rsidRDefault="002A3E7E" w:rsidP="002A3E7E">
            <w:pPr>
              <w:tabs>
                <w:tab w:val="left" w:pos="2268"/>
              </w:tabs>
              <w:spacing w:after="0" w:line="240" w:lineRule="auto"/>
              <w:jc w:val="center"/>
              <w:rPr>
                <w:rFonts w:ascii="Garamond" w:eastAsia="Times New Roman" w:hAnsi="Garamond" w:cs="Times New Roman"/>
                <w:b/>
                <w:bCs/>
                <w:lang w:val="nl-NL" w:eastAsia="nl-NL"/>
              </w:rPr>
            </w:pPr>
            <w:r w:rsidRPr="002A3E7E">
              <w:rPr>
                <w:rFonts w:ascii="Garamond" w:eastAsia="Times New Roman" w:hAnsi="Garamond" w:cs="Times New Roman"/>
                <w:b/>
                <w:bCs/>
                <w:color w:val="000000"/>
                <w:lang w:val="nl-BE" w:eastAsia="nl-NL"/>
              </w:rPr>
              <w:t>Koninklijk besluit betreffende het verbod op fabriceren en het in de handel brengen van  bepaalde soortgelijke producten</w:t>
            </w:r>
          </w:p>
        </w:tc>
      </w:tr>
      <w:tr w:rsidR="002A3E7E" w:rsidRPr="002A3E7E" w14:paraId="04613E5B" w14:textId="77777777" w:rsidTr="002A3E7E">
        <w:trPr>
          <w:gridAfter w:val="1"/>
          <w:wAfter w:w="18" w:type="dxa"/>
          <w:jc w:val="center"/>
        </w:trPr>
        <w:tc>
          <w:tcPr>
            <w:tcW w:w="4374" w:type="dxa"/>
            <w:gridSpan w:val="2"/>
          </w:tcPr>
          <w:p w14:paraId="6138B008" w14:textId="77777777" w:rsidR="002A3E7E" w:rsidRPr="002A3E7E" w:rsidRDefault="002A3E7E" w:rsidP="002A3E7E">
            <w:pPr>
              <w:spacing w:after="0" w:line="240" w:lineRule="auto"/>
              <w:rPr>
                <w:rFonts w:ascii="Garamond" w:eastAsia="Times New Roman" w:hAnsi="Garamond" w:cs="Times New Roman"/>
                <w:b/>
                <w:lang w:val="nl-BE" w:eastAsia="nl-NL"/>
              </w:rPr>
            </w:pPr>
          </w:p>
          <w:p w14:paraId="56C5FBFF" w14:textId="77777777" w:rsidR="002A3E7E" w:rsidRPr="002A3E7E" w:rsidRDefault="002A3E7E" w:rsidP="002A3E7E">
            <w:pPr>
              <w:spacing w:after="0" w:line="240" w:lineRule="auto"/>
              <w:rPr>
                <w:rFonts w:ascii="Garamond" w:eastAsia="Times New Roman" w:hAnsi="Garamond" w:cs="Times New Roman"/>
                <w:b/>
                <w:lang w:val="nl-BE" w:eastAsia="nl-NL"/>
              </w:rPr>
            </w:pPr>
          </w:p>
        </w:tc>
      </w:tr>
      <w:tr w:rsidR="002A3E7E" w:rsidRPr="002A3E7E" w14:paraId="59F2414D" w14:textId="77777777" w:rsidTr="002A3E7E">
        <w:trPr>
          <w:gridAfter w:val="1"/>
          <w:wAfter w:w="18" w:type="dxa"/>
          <w:jc w:val="center"/>
        </w:trPr>
        <w:tc>
          <w:tcPr>
            <w:tcW w:w="4374" w:type="dxa"/>
            <w:gridSpan w:val="2"/>
          </w:tcPr>
          <w:p w14:paraId="21A1DEEF" w14:textId="77777777" w:rsidR="002A3E7E" w:rsidRPr="002A3E7E" w:rsidRDefault="002A3E7E" w:rsidP="002A3E7E">
            <w:pPr>
              <w:spacing w:after="0" w:line="240" w:lineRule="auto"/>
              <w:jc w:val="center"/>
              <w:rPr>
                <w:rFonts w:ascii="Garamond" w:eastAsia="Times New Roman" w:hAnsi="Garamond" w:cs="Times New Roman"/>
                <w:b/>
                <w:lang w:val="de-DE" w:eastAsia="nl-NL"/>
              </w:rPr>
            </w:pPr>
            <w:r w:rsidRPr="002A3E7E">
              <w:rPr>
                <w:rFonts w:ascii="Garamond" w:eastAsia="Times New Roman" w:hAnsi="Garamond" w:cs="Times New Roman"/>
                <w:b/>
                <w:lang w:val="de-DE" w:eastAsia="nl-NL"/>
              </w:rPr>
              <w:t>FILIP, Koning der Belgen,</w:t>
            </w:r>
          </w:p>
        </w:tc>
      </w:tr>
      <w:tr w:rsidR="002A3E7E" w:rsidRPr="002A3E7E" w14:paraId="36EF655B" w14:textId="77777777" w:rsidTr="002A3E7E">
        <w:trPr>
          <w:gridAfter w:val="1"/>
          <w:wAfter w:w="18" w:type="dxa"/>
          <w:jc w:val="center"/>
        </w:trPr>
        <w:tc>
          <w:tcPr>
            <w:tcW w:w="4374" w:type="dxa"/>
            <w:gridSpan w:val="2"/>
          </w:tcPr>
          <w:p w14:paraId="3DC015F1" w14:textId="77777777" w:rsidR="002A3E7E" w:rsidRPr="002A3E7E" w:rsidRDefault="002A3E7E" w:rsidP="002A3E7E">
            <w:pPr>
              <w:spacing w:after="0" w:line="240" w:lineRule="auto"/>
              <w:jc w:val="center"/>
              <w:rPr>
                <w:rFonts w:ascii="Garamond" w:eastAsia="Times New Roman" w:hAnsi="Garamond" w:cs="Times New Roman"/>
                <w:bCs/>
                <w:lang w:eastAsia="nl-NL"/>
              </w:rPr>
            </w:pPr>
          </w:p>
          <w:p w14:paraId="0D1698C5" w14:textId="77777777" w:rsidR="002A3E7E" w:rsidRPr="002A3E7E" w:rsidRDefault="002A3E7E" w:rsidP="002A3E7E">
            <w:pPr>
              <w:spacing w:after="0" w:line="240" w:lineRule="auto"/>
              <w:jc w:val="center"/>
              <w:rPr>
                <w:rFonts w:ascii="Garamond" w:eastAsia="Times New Roman" w:hAnsi="Garamond" w:cs="Times New Roman"/>
                <w:bCs/>
                <w:lang w:eastAsia="nl-NL"/>
              </w:rPr>
            </w:pPr>
          </w:p>
        </w:tc>
      </w:tr>
      <w:tr w:rsidR="002A3E7E" w:rsidRPr="002A3E7E" w14:paraId="1995E692" w14:textId="77777777" w:rsidTr="002A3E7E">
        <w:trPr>
          <w:gridAfter w:val="1"/>
          <w:wAfter w:w="18" w:type="dxa"/>
          <w:jc w:val="center"/>
        </w:trPr>
        <w:tc>
          <w:tcPr>
            <w:tcW w:w="4374" w:type="dxa"/>
            <w:gridSpan w:val="2"/>
          </w:tcPr>
          <w:p w14:paraId="191018D8" w14:textId="77777777" w:rsidR="002A3E7E" w:rsidRPr="002A3E7E" w:rsidRDefault="002A3E7E" w:rsidP="002A3E7E">
            <w:pPr>
              <w:tabs>
                <w:tab w:val="left" w:pos="356"/>
                <w:tab w:val="left" w:pos="2268"/>
              </w:tabs>
              <w:spacing w:after="0" w:line="240" w:lineRule="auto"/>
              <w:jc w:val="center"/>
              <w:rPr>
                <w:rFonts w:ascii="Garamond" w:eastAsia="Times New Roman" w:hAnsi="Garamond" w:cs="Times New Roman"/>
                <w:lang w:val="nl-NL" w:eastAsia="nl-NL"/>
              </w:rPr>
            </w:pPr>
            <w:r w:rsidRPr="002A3E7E">
              <w:rPr>
                <w:rFonts w:ascii="Garamond" w:eastAsia="Times New Roman" w:hAnsi="Garamond" w:cs="Times New Roman"/>
                <w:lang w:val="nl-NL" w:eastAsia="nl-NL"/>
              </w:rPr>
              <w:t>Aan allen die nu zijn en hierna wezen zullen, Onze Groet.</w:t>
            </w:r>
          </w:p>
        </w:tc>
      </w:tr>
      <w:tr w:rsidR="002A3E7E" w:rsidRPr="002A3E7E" w14:paraId="1234EAC9" w14:textId="77777777" w:rsidTr="002A3E7E">
        <w:trPr>
          <w:gridAfter w:val="1"/>
          <w:wAfter w:w="18" w:type="dxa"/>
          <w:jc w:val="center"/>
        </w:trPr>
        <w:tc>
          <w:tcPr>
            <w:tcW w:w="4374" w:type="dxa"/>
            <w:gridSpan w:val="2"/>
          </w:tcPr>
          <w:p w14:paraId="26BB292F" w14:textId="77777777" w:rsidR="002A3E7E" w:rsidRPr="002A3E7E" w:rsidRDefault="002A3E7E" w:rsidP="002A3E7E">
            <w:pPr>
              <w:tabs>
                <w:tab w:val="left" w:pos="567"/>
                <w:tab w:val="left" w:pos="2268"/>
              </w:tabs>
              <w:spacing w:after="0" w:line="240" w:lineRule="auto"/>
              <w:rPr>
                <w:rFonts w:ascii="Garamond" w:eastAsia="Times New Roman" w:hAnsi="Garamond" w:cs="Times New Roman"/>
                <w:lang w:val="nl-BE" w:eastAsia="nl-NL"/>
              </w:rPr>
            </w:pPr>
          </w:p>
          <w:p w14:paraId="7527C81D" w14:textId="77777777" w:rsidR="002A3E7E" w:rsidRPr="002A3E7E" w:rsidRDefault="002A3E7E" w:rsidP="002A3E7E">
            <w:pPr>
              <w:tabs>
                <w:tab w:val="left" w:pos="567"/>
                <w:tab w:val="left" w:pos="2268"/>
              </w:tabs>
              <w:spacing w:after="0" w:line="240" w:lineRule="auto"/>
              <w:rPr>
                <w:rFonts w:ascii="Garamond" w:eastAsia="Times New Roman" w:hAnsi="Garamond" w:cs="Times New Roman"/>
                <w:lang w:val="nl-BE" w:eastAsia="nl-NL"/>
              </w:rPr>
            </w:pPr>
          </w:p>
        </w:tc>
      </w:tr>
      <w:tr w:rsidR="002A3E7E" w:rsidRPr="002A3E7E" w14:paraId="4A6F380C" w14:textId="77777777" w:rsidTr="002A3E7E">
        <w:trPr>
          <w:gridAfter w:val="1"/>
          <w:wAfter w:w="18" w:type="dxa"/>
          <w:trHeight w:val="824"/>
          <w:jc w:val="center"/>
        </w:trPr>
        <w:tc>
          <w:tcPr>
            <w:tcW w:w="4374" w:type="dxa"/>
            <w:gridSpan w:val="2"/>
          </w:tcPr>
          <w:p w14:paraId="131FEA61"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Gelet op de wet van 24 januari 1977 betreffende de bescherming van de gezondheid van de gebruikers op het stuk van de voedingsmiddelen en andere produkten, artikel 6, § 1, a), gewijzigd bij de wet van 22 maart 1989 en artikel 18, §1,  vervangen bij de wet van 22 maart 1989 en gewijzigd bij de wet van 22 december 2003;</w:t>
            </w:r>
          </w:p>
        </w:tc>
      </w:tr>
      <w:tr w:rsidR="002A3E7E" w:rsidRPr="002A3E7E" w14:paraId="6F881549" w14:textId="77777777" w:rsidTr="002A3E7E">
        <w:trPr>
          <w:gridAfter w:val="1"/>
          <w:wAfter w:w="18" w:type="dxa"/>
          <w:trHeight w:val="206"/>
          <w:jc w:val="center"/>
        </w:trPr>
        <w:tc>
          <w:tcPr>
            <w:tcW w:w="4374" w:type="dxa"/>
            <w:gridSpan w:val="2"/>
          </w:tcPr>
          <w:p w14:paraId="27C5EFAA"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tc>
      </w:tr>
      <w:tr w:rsidR="002A3E7E" w:rsidRPr="002A3E7E" w14:paraId="33D74356" w14:textId="77777777" w:rsidTr="002A3E7E">
        <w:trPr>
          <w:gridAfter w:val="1"/>
          <w:wAfter w:w="18" w:type="dxa"/>
          <w:jc w:val="center"/>
        </w:trPr>
        <w:tc>
          <w:tcPr>
            <w:tcW w:w="4374" w:type="dxa"/>
            <w:gridSpan w:val="2"/>
          </w:tcPr>
          <w:p w14:paraId="52A58B21"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 xml:space="preserve">Gelet op het advies van de inspecteur van Financiën, gegeven op </w:t>
            </w:r>
            <w:r w:rsidRPr="002A3E7E">
              <w:rPr>
                <w:rFonts w:ascii="Garamond" w:eastAsia="Times New Roman" w:hAnsi="Garamond" w:cs="Times New Roman"/>
                <w:highlight w:val="yellow"/>
                <w:lang w:val="nl-BE" w:eastAsia="nl-NL"/>
              </w:rPr>
              <w:t>XXX</w:t>
            </w:r>
            <w:r w:rsidRPr="002A3E7E">
              <w:rPr>
                <w:rFonts w:ascii="Garamond" w:eastAsia="Times New Roman" w:hAnsi="Garamond" w:cs="Times New Roman"/>
                <w:lang w:val="nl-BE" w:eastAsia="nl-NL"/>
              </w:rPr>
              <w:t>;</w:t>
            </w:r>
          </w:p>
        </w:tc>
      </w:tr>
      <w:tr w:rsidR="002A3E7E" w:rsidRPr="002A3E7E" w14:paraId="60C77442" w14:textId="77777777" w:rsidTr="002A3E7E">
        <w:trPr>
          <w:gridAfter w:val="1"/>
          <w:wAfter w:w="18" w:type="dxa"/>
          <w:jc w:val="center"/>
        </w:trPr>
        <w:tc>
          <w:tcPr>
            <w:tcW w:w="4374" w:type="dxa"/>
            <w:gridSpan w:val="2"/>
          </w:tcPr>
          <w:p w14:paraId="643F059E"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tc>
      </w:tr>
      <w:tr w:rsidR="002A3E7E" w:rsidRPr="002A3E7E" w14:paraId="1FDF90E1" w14:textId="77777777" w:rsidTr="002A3E7E">
        <w:trPr>
          <w:gridAfter w:val="1"/>
          <w:wAfter w:w="18" w:type="dxa"/>
          <w:jc w:val="center"/>
        </w:trPr>
        <w:tc>
          <w:tcPr>
            <w:tcW w:w="4374" w:type="dxa"/>
            <w:gridSpan w:val="2"/>
          </w:tcPr>
          <w:p w14:paraId="5EC3FD76"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 xml:space="preserve">Gelet op de akkoordbevinding van de Staatssecretaris voor Begroting, d.d. </w:t>
            </w:r>
            <w:r w:rsidRPr="002A3E7E">
              <w:rPr>
                <w:rFonts w:ascii="Garamond" w:eastAsia="Times New Roman" w:hAnsi="Garamond" w:cs="Times New Roman"/>
                <w:highlight w:val="yellow"/>
                <w:lang w:val="nl-BE" w:eastAsia="nl-NL"/>
              </w:rPr>
              <w:t>XXX</w:t>
            </w:r>
            <w:r w:rsidRPr="002A3E7E">
              <w:rPr>
                <w:rFonts w:ascii="Garamond" w:eastAsia="Times New Roman" w:hAnsi="Garamond" w:cs="Times New Roman"/>
                <w:lang w:val="nl-BE" w:eastAsia="nl-NL"/>
              </w:rPr>
              <w:t>;</w:t>
            </w:r>
          </w:p>
        </w:tc>
      </w:tr>
      <w:tr w:rsidR="002A3E7E" w:rsidRPr="002A3E7E" w14:paraId="64AE8780" w14:textId="77777777" w:rsidTr="002A3E7E">
        <w:trPr>
          <w:gridAfter w:val="1"/>
          <w:wAfter w:w="18" w:type="dxa"/>
          <w:jc w:val="center"/>
        </w:trPr>
        <w:tc>
          <w:tcPr>
            <w:tcW w:w="4374" w:type="dxa"/>
            <w:gridSpan w:val="2"/>
          </w:tcPr>
          <w:p w14:paraId="5EC5C8A0"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tc>
      </w:tr>
      <w:tr w:rsidR="002A3E7E" w:rsidRPr="002A3E7E" w14:paraId="5AFDEFF8" w14:textId="77777777" w:rsidTr="002A3E7E">
        <w:trPr>
          <w:gridAfter w:val="1"/>
          <w:wAfter w:w="18" w:type="dxa"/>
          <w:jc w:val="center"/>
        </w:trPr>
        <w:tc>
          <w:tcPr>
            <w:tcW w:w="4374" w:type="dxa"/>
            <w:gridSpan w:val="2"/>
          </w:tcPr>
          <w:p w14:paraId="1691307D"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 xml:space="preserve">Gelet op de impactanalyse van de regelgeving van </w:t>
            </w:r>
            <w:r w:rsidRPr="002A3E7E">
              <w:rPr>
                <w:rFonts w:ascii="Garamond" w:eastAsia="Times New Roman" w:hAnsi="Garamond" w:cs="Times New Roman"/>
                <w:highlight w:val="yellow"/>
                <w:lang w:val="nl-BE" w:eastAsia="nl-NL"/>
              </w:rPr>
              <w:t>XXX</w:t>
            </w:r>
            <w:r w:rsidRPr="002A3E7E">
              <w:rPr>
                <w:rFonts w:ascii="Garamond" w:eastAsia="Times New Roman" w:hAnsi="Garamond" w:cs="Times New Roman"/>
                <w:lang w:val="nl-BE" w:eastAsia="nl-NL"/>
              </w:rPr>
              <w:t>, uitgevoerd overeenkomstig artikelen 6 en 7 van de wet van 15 december 2013 houdende diverse bepalingen inzake administratieve vereenvoudiging;</w:t>
            </w:r>
            <w:r w:rsidRPr="002A3E7E">
              <w:rPr>
                <w:rFonts w:ascii="Garamond" w:eastAsia="Times New Roman" w:hAnsi="Garamond" w:cs="Times New Roman"/>
                <w:lang w:val="nl-BE" w:eastAsia="nl-NL"/>
              </w:rPr>
              <w:tab/>
            </w:r>
          </w:p>
        </w:tc>
      </w:tr>
      <w:tr w:rsidR="002A3E7E" w:rsidRPr="002A3E7E" w14:paraId="25C9732D" w14:textId="77777777" w:rsidTr="002A3E7E">
        <w:trPr>
          <w:gridAfter w:val="1"/>
          <w:wAfter w:w="18" w:type="dxa"/>
          <w:jc w:val="center"/>
        </w:trPr>
        <w:tc>
          <w:tcPr>
            <w:tcW w:w="4374" w:type="dxa"/>
            <w:gridSpan w:val="2"/>
          </w:tcPr>
          <w:p w14:paraId="5AEBDEA6"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tc>
      </w:tr>
      <w:tr w:rsidR="002A3E7E" w:rsidRPr="002A3E7E" w14:paraId="086B2318" w14:textId="77777777" w:rsidTr="002A3E7E">
        <w:trPr>
          <w:gridAfter w:val="1"/>
          <w:wAfter w:w="18" w:type="dxa"/>
          <w:jc w:val="center"/>
        </w:trPr>
        <w:tc>
          <w:tcPr>
            <w:tcW w:w="4374" w:type="dxa"/>
            <w:gridSpan w:val="2"/>
          </w:tcPr>
          <w:p w14:paraId="3C545C44"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 xml:space="preserve">Gelet op de mededeling ………. aan de Europese Commissie, op </w:t>
            </w:r>
            <w:r w:rsidRPr="002A3E7E">
              <w:rPr>
                <w:rFonts w:ascii="Garamond" w:eastAsia="Times New Roman" w:hAnsi="Garamond" w:cs="Times New Roman"/>
                <w:highlight w:val="yellow"/>
                <w:lang w:val="nl-BE" w:eastAsia="nl-NL"/>
              </w:rPr>
              <w:t>XX</w:t>
            </w:r>
            <w:r w:rsidRPr="002A3E7E">
              <w:rPr>
                <w:rFonts w:ascii="Garamond" w:eastAsia="Times New Roman" w:hAnsi="Garamond" w:cs="Times New Roman"/>
                <w:lang w:val="nl-BE" w:eastAsia="nl-NL"/>
              </w:rPr>
              <w:t>, met toepassing van artikel 5, lid 1, van richtlijn 2015/1535/EU van het Europees Parlement en de Raad van 9 september 2015 betreffende een informatieprocedure op het gebied van technische voorschriften en regels betreffende de diensten van de informatiemaatschappij;</w:t>
            </w:r>
          </w:p>
          <w:p w14:paraId="0B646B28"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p w14:paraId="266F97D4"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[Gelet op de opmerking van de Europese Commissie ingevolge de mededeling ……… van ………..;]</w:t>
            </w:r>
          </w:p>
          <w:p w14:paraId="22205FA2"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BE" w:eastAsia="nl-NL"/>
              </w:rPr>
            </w:pPr>
          </w:p>
          <w:p w14:paraId="4F01857E" w14:textId="77777777" w:rsidR="002A3E7E" w:rsidRPr="002A3E7E" w:rsidRDefault="002A3E7E" w:rsidP="002A3E7E">
            <w:pPr>
              <w:tabs>
                <w:tab w:val="left" w:pos="356"/>
                <w:tab w:val="left" w:pos="2268"/>
              </w:tabs>
              <w:spacing w:after="0" w:line="240" w:lineRule="auto"/>
              <w:jc w:val="both"/>
              <w:rPr>
                <w:rFonts w:ascii="Garamond" w:eastAsia="Times New Roman" w:hAnsi="Garamond" w:cs="Times New Roman"/>
                <w:lang w:val="nl-NL" w:eastAsia="nl-NL"/>
              </w:rPr>
            </w:pPr>
            <w:r w:rsidRPr="002A3E7E">
              <w:rPr>
                <w:rFonts w:ascii="Garamond" w:eastAsia="Times New Roman" w:hAnsi="Garamond" w:cs="Times New Roman"/>
                <w:lang w:val="nl-BE" w:eastAsia="nl-NL"/>
              </w:rPr>
              <w:t xml:space="preserve">Gelet op advies </w:t>
            </w:r>
            <w:r w:rsidRPr="002A3E7E">
              <w:rPr>
                <w:rFonts w:ascii="Garamond" w:eastAsia="Times New Roman" w:hAnsi="Garamond" w:cs="Times New Roman"/>
                <w:highlight w:val="yellow"/>
                <w:lang w:val="nl-BE" w:eastAsia="nl-NL"/>
              </w:rPr>
              <w:t>XX</w:t>
            </w:r>
            <w:r w:rsidRPr="002A3E7E">
              <w:rPr>
                <w:rFonts w:ascii="Garamond" w:eastAsia="Times New Roman" w:hAnsi="Garamond" w:cs="Times New Roman"/>
                <w:lang w:val="nl-BE" w:eastAsia="nl-NL"/>
              </w:rPr>
              <w:t xml:space="preserve"> van de Raad van State, gegeven op </w:t>
            </w:r>
            <w:r w:rsidRPr="002A3E7E">
              <w:rPr>
                <w:rFonts w:ascii="Garamond" w:eastAsia="Times New Roman" w:hAnsi="Garamond" w:cs="Times New Roman"/>
                <w:highlight w:val="yellow"/>
                <w:lang w:val="nl-BE" w:eastAsia="nl-NL"/>
              </w:rPr>
              <w:t>XX</w:t>
            </w:r>
            <w:r w:rsidRPr="002A3E7E">
              <w:rPr>
                <w:rFonts w:ascii="Garamond" w:eastAsia="Times New Roman" w:hAnsi="Garamond" w:cs="Times New Roman"/>
                <w:lang w:val="nl-BE" w:eastAsia="nl-NL"/>
              </w:rPr>
              <w:t xml:space="preserve">, met toepassing van artikel 84, § 1, </w:t>
            </w:r>
            <w:r w:rsidRPr="002A3E7E">
              <w:rPr>
                <w:rFonts w:ascii="Garamond" w:eastAsia="Times New Roman" w:hAnsi="Garamond" w:cs="Times New Roman"/>
                <w:lang w:val="nl-BE" w:eastAsia="nl-NL"/>
              </w:rPr>
              <w:lastRenderedPageBreak/>
              <w:t>eerste lid, 2°, van de wetten op de Raad van State, gecoördineerd op 12 januari 1973;</w:t>
            </w:r>
          </w:p>
        </w:tc>
      </w:tr>
      <w:tr w:rsidR="002A3E7E" w:rsidRPr="002A3E7E" w14:paraId="2ED87458" w14:textId="77777777" w:rsidTr="002A3E7E">
        <w:trPr>
          <w:gridAfter w:val="1"/>
          <w:wAfter w:w="18" w:type="dxa"/>
          <w:jc w:val="center"/>
        </w:trPr>
        <w:tc>
          <w:tcPr>
            <w:tcW w:w="4374" w:type="dxa"/>
            <w:gridSpan w:val="2"/>
          </w:tcPr>
          <w:p w14:paraId="112E0DEA"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p>
        </w:tc>
      </w:tr>
      <w:tr w:rsidR="002A3E7E" w:rsidRPr="002A3E7E" w14:paraId="70692892" w14:textId="77777777" w:rsidTr="002A3E7E">
        <w:trPr>
          <w:gridAfter w:val="1"/>
          <w:wAfter w:w="18" w:type="dxa"/>
          <w:jc w:val="center"/>
        </w:trPr>
        <w:tc>
          <w:tcPr>
            <w:tcW w:w="4374" w:type="dxa"/>
            <w:gridSpan w:val="2"/>
          </w:tcPr>
          <w:p w14:paraId="40F41F7F" w14:textId="77777777" w:rsidR="002A3E7E" w:rsidRPr="002A3E7E" w:rsidRDefault="002A3E7E" w:rsidP="002A3E7E">
            <w:pPr>
              <w:tabs>
                <w:tab w:val="left" w:pos="356"/>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Op de voordracht van de Minister van Volksgezondheid;</w:t>
            </w:r>
            <w:r w:rsidRPr="002A3E7E">
              <w:rPr>
                <w:rFonts w:ascii="Garamond" w:eastAsia="Times New Roman" w:hAnsi="Garamond" w:cs="Times New Roman"/>
                <w:bCs/>
                <w:lang w:val="nl-BE" w:eastAsia="nl-NL"/>
              </w:rPr>
              <w:t xml:space="preserve"> </w:t>
            </w:r>
          </w:p>
        </w:tc>
      </w:tr>
      <w:tr w:rsidR="002A3E7E" w:rsidRPr="002A3E7E" w14:paraId="7D810DF4" w14:textId="77777777" w:rsidTr="002A3E7E">
        <w:trPr>
          <w:gridAfter w:val="1"/>
          <w:wAfter w:w="18" w:type="dxa"/>
          <w:jc w:val="center"/>
        </w:trPr>
        <w:tc>
          <w:tcPr>
            <w:tcW w:w="4374" w:type="dxa"/>
            <w:gridSpan w:val="2"/>
          </w:tcPr>
          <w:p w14:paraId="0D46564A"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p>
          <w:p w14:paraId="5E690210"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p>
        </w:tc>
      </w:tr>
      <w:tr w:rsidR="002A3E7E" w:rsidRPr="002A3E7E" w14:paraId="5B8BF470" w14:textId="77777777" w:rsidTr="002A3E7E">
        <w:trPr>
          <w:gridAfter w:val="1"/>
          <w:wAfter w:w="18" w:type="dxa"/>
          <w:jc w:val="center"/>
        </w:trPr>
        <w:tc>
          <w:tcPr>
            <w:tcW w:w="4374" w:type="dxa"/>
            <w:gridSpan w:val="2"/>
          </w:tcPr>
          <w:p w14:paraId="5B014A4B" w14:textId="77777777" w:rsidR="002A3E7E" w:rsidRPr="002A3E7E" w:rsidRDefault="002A3E7E" w:rsidP="002A3E7E">
            <w:pPr>
              <w:tabs>
                <w:tab w:val="left" w:pos="356"/>
                <w:tab w:val="left" w:pos="567"/>
                <w:tab w:val="left" w:pos="2268"/>
              </w:tabs>
              <w:spacing w:after="0" w:line="240" w:lineRule="auto"/>
              <w:jc w:val="center"/>
              <w:rPr>
                <w:rFonts w:ascii="Garamond" w:eastAsia="Times New Roman" w:hAnsi="Garamond" w:cs="Times New Roman"/>
                <w:lang w:val="nl-BE" w:eastAsia="nl-NL"/>
              </w:rPr>
            </w:pPr>
            <w:r w:rsidRPr="002A3E7E">
              <w:rPr>
                <w:rFonts w:ascii="Garamond" w:eastAsia="Times New Roman" w:hAnsi="Garamond" w:cs="Times New Roman"/>
                <w:lang w:val="nl-NL" w:eastAsia="nl-NL"/>
              </w:rPr>
              <w:t>HEBBEN WIJ BESLOTEN EN BESLUITEN WIJ:</w:t>
            </w:r>
          </w:p>
        </w:tc>
      </w:tr>
      <w:tr w:rsidR="002A3E7E" w:rsidRPr="002A3E7E" w14:paraId="0328DC76" w14:textId="77777777" w:rsidTr="002A3E7E">
        <w:trPr>
          <w:gridAfter w:val="1"/>
          <w:wAfter w:w="18" w:type="dxa"/>
          <w:jc w:val="center"/>
        </w:trPr>
        <w:tc>
          <w:tcPr>
            <w:tcW w:w="4374" w:type="dxa"/>
            <w:gridSpan w:val="2"/>
          </w:tcPr>
          <w:p w14:paraId="232D5AAF" w14:textId="77777777" w:rsidR="002A3E7E" w:rsidRPr="002A3E7E" w:rsidRDefault="002A3E7E" w:rsidP="002A3E7E">
            <w:pPr>
              <w:tabs>
                <w:tab w:val="left" w:pos="567"/>
                <w:tab w:val="left" w:pos="2268"/>
              </w:tabs>
              <w:spacing w:after="0" w:line="240" w:lineRule="auto"/>
              <w:jc w:val="center"/>
              <w:rPr>
                <w:rFonts w:ascii="Garamond" w:eastAsia="Times New Roman" w:hAnsi="Garamond" w:cs="Times New Roman"/>
                <w:lang w:val="nl-BE" w:eastAsia="nl-NL"/>
              </w:rPr>
            </w:pPr>
          </w:p>
          <w:p w14:paraId="1DFCB7EE" w14:textId="77777777" w:rsidR="002A3E7E" w:rsidRPr="002A3E7E" w:rsidRDefault="002A3E7E" w:rsidP="002A3E7E">
            <w:pPr>
              <w:tabs>
                <w:tab w:val="left" w:pos="567"/>
                <w:tab w:val="left" w:pos="2268"/>
              </w:tabs>
              <w:spacing w:after="0" w:line="240" w:lineRule="auto"/>
              <w:jc w:val="center"/>
              <w:rPr>
                <w:rFonts w:ascii="Garamond" w:eastAsia="Times New Roman" w:hAnsi="Garamond" w:cs="Times New Roman"/>
                <w:lang w:val="nl-BE" w:eastAsia="nl-NL"/>
              </w:rPr>
            </w:pPr>
          </w:p>
        </w:tc>
      </w:tr>
      <w:tr w:rsidR="002A3E7E" w:rsidRPr="002A3E7E" w14:paraId="5210E63B" w14:textId="77777777" w:rsidTr="002A3E7E">
        <w:trPr>
          <w:gridAfter w:val="1"/>
          <w:wAfter w:w="18" w:type="dxa"/>
          <w:jc w:val="center"/>
        </w:trPr>
        <w:tc>
          <w:tcPr>
            <w:tcW w:w="4374" w:type="dxa"/>
            <w:gridSpan w:val="2"/>
          </w:tcPr>
          <w:p w14:paraId="519E5AC8"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sz w:val="20"/>
                <w:szCs w:val="20"/>
                <w:lang w:val="nl-NL" w:eastAsia="nl-NL"/>
              </w:rPr>
            </w:pPr>
            <w:r w:rsidRPr="002A3E7E">
              <w:rPr>
                <w:rFonts w:ascii="Garamond" w:eastAsia="Times New Roman" w:hAnsi="Garamond" w:cs="Times New Roman"/>
                <w:b/>
                <w:lang w:val="nl-BE" w:eastAsia="nl-NL"/>
              </w:rPr>
              <w:t>Artikel 1.</w:t>
            </w:r>
            <w:r w:rsidRPr="002A3E7E">
              <w:rPr>
                <w:rFonts w:ascii="Garamond" w:eastAsia="Times New Roman" w:hAnsi="Garamond" w:cs="Times New Roman"/>
                <w:sz w:val="20"/>
                <w:szCs w:val="20"/>
                <w:lang w:val="nl-NL" w:eastAsia="nl-NL"/>
              </w:rPr>
              <w:t xml:space="preserve"> </w:t>
            </w:r>
            <w:r w:rsidRPr="002A3E7E">
              <w:rPr>
                <w:rFonts w:ascii="Garamond" w:eastAsia="Times New Roman" w:hAnsi="Garamond" w:cs="Times New Roman"/>
                <w:b/>
                <w:bCs/>
                <w:lang w:val="nl-NL" w:eastAsia="nl-NL"/>
              </w:rPr>
              <w:t>Definities</w:t>
            </w:r>
          </w:p>
          <w:p w14:paraId="430D822D"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Voor de toepassing van dit besluit wordt verstaan onder:</w:t>
            </w:r>
          </w:p>
          <w:p w14:paraId="7847C8D1"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1° nicotinezakje: alle geheel of gedeeltelijk uit synthetische of natuurlijke nicotine bestaande producten voor oraal gebruik zonder tabak, in de vorm van poeder, fijne deeltjes, of pasta of een combinatie van deze vormen, met name diegene die in portiezakjes of poreuze builtjes worden aangeboden;</w:t>
            </w:r>
          </w:p>
          <w:p w14:paraId="74EFFD46"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2°</w:t>
            </w:r>
            <w:r w:rsidRPr="002A3E7E">
              <w:rPr>
                <w:rFonts w:ascii="Times New Roman" w:eastAsia="Times New Roman" w:hAnsi="Times New Roman" w:cs="Times New Roman"/>
                <w:sz w:val="20"/>
                <w:szCs w:val="20"/>
                <w:lang w:val="nl-BE" w:eastAsia="nl-NL"/>
              </w:rPr>
              <w:t xml:space="preserve"> </w:t>
            </w:r>
            <w:r w:rsidRPr="002A3E7E">
              <w:rPr>
                <w:rFonts w:ascii="Garamond" w:eastAsia="Times New Roman" w:hAnsi="Garamond" w:cs="Times New Roman"/>
                <w:lang w:val="nl-BE" w:eastAsia="nl-NL"/>
              </w:rPr>
              <w:t>cannabinoïdezakje: alle geheel of gedeeltelijk uit cannabinoide of derivaten bestaande producten voor oraal gebruik, in de vorm van poeder, fijne deeltjes of pasta of een combinatie van deze vormen, met name diegene die in portiezakjes of poreuze builtjes worden aangeboden;</w:t>
            </w:r>
          </w:p>
          <w:p w14:paraId="35D4504E"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Times New Roman" w:eastAsia="Times New Roman" w:hAnsi="Times New Roman" w:cs="Times New Roman"/>
                <w:sz w:val="20"/>
                <w:szCs w:val="20"/>
                <w:lang w:val="nl-BE" w:eastAsia="nl-NL"/>
              </w:rPr>
              <w:t xml:space="preserve">3° </w:t>
            </w:r>
            <w:r w:rsidRPr="002A3E7E">
              <w:rPr>
                <w:rFonts w:ascii="Garamond" w:eastAsia="Times New Roman" w:hAnsi="Garamond" w:cs="Times New Roman"/>
                <w:lang w:val="nl-BE" w:eastAsia="nl-NL"/>
              </w:rPr>
              <w:t>in de handel brengen: de terbeschikkingstelling van producten aan consumenten in België, al dan niet tegen betaling, inclusief via de verkoop op afstand, ongeacht de plaats van productie ervan;</w:t>
            </w:r>
          </w:p>
          <w:p w14:paraId="2D198D24"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4°</w:t>
            </w:r>
            <w:r w:rsidRPr="002A3E7E">
              <w:rPr>
                <w:rFonts w:ascii="Times New Roman" w:eastAsia="Times New Roman" w:hAnsi="Times New Roman" w:cs="Times New Roman"/>
                <w:sz w:val="20"/>
                <w:szCs w:val="20"/>
                <w:lang w:val="nl-BE" w:eastAsia="nl-NL"/>
              </w:rPr>
              <w:t xml:space="preserve"> </w:t>
            </w:r>
            <w:r w:rsidRPr="002A3E7E">
              <w:rPr>
                <w:rFonts w:ascii="Garamond" w:eastAsia="Times New Roman" w:hAnsi="Garamond" w:cs="Times New Roman"/>
                <w:lang w:val="nl-BE" w:eastAsia="nl-NL"/>
              </w:rPr>
              <w:t>fabrikant: een natuurlijke of rechtspersoon die een product vervaardigt, laat ontwerpen of laat vervaardigen onder zijn naam of merk en in de handel brengt;</w:t>
            </w:r>
          </w:p>
          <w:p w14:paraId="48485886"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5° invoerder in België: de eigenaar van producten die in het grondgebied van België zijn binnengebracht of een persoon die het recht heeft om over die producten te beschikken;</w:t>
            </w:r>
          </w:p>
          <w:p w14:paraId="1A78DA3C"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6°</w:t>
            </w:r>
            <w:r w:rsidRPr="002A3E7E">
              <w:rPr>
                <w:rFonts w:ascii="Times New Roman" w:eastAsia="Times New Roman" w:hAnsi="Times New Roman" w:cs="Times New Roman"/>
                <w:sz w:val="20"/>
                <w:szCs w:val="20"/>
                <w:lang w:val="nl-BE" w:eastAsia="nl-NL"/>
              </w:rPr>
              <w:t xml:space="preserve"> </w:t>
            </w:r>
            <w:r w:rsidRPr="002A3E7E">
              <w:rPr>
                <w:rFonts w:ascii="Garamond" w:eastAsia="Times New Roman" w:hAnsi="Garamond" w:cs="Times New Roman"/>
                <w:lang w:val="nl-BE" w:eastAsia="nl-NL"/>
              </w:rPr>
              <w:t>kleinhandelaar: verkooppunt waar  producten in de handel worden gebracht, ook als dat door een natuurlijk persoon gebeurt.</w:t>
            </w:r>
          </w:p>
          <w:p w14:paraId="2958E333"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BE" w:eastAsia="nl-NL"/>
              </w:rPr>
              <w:t xml:space="preserve"> </w:t>
            </w:r>
          </w:p>
        </w:tc>
      </w:tr>
      <w:tr w:rsidR="002A3E7E" w:rsidRPr="002A3E7E" w14:paraId="2DDE0BC4" w14:textId="77777777" w:rsidTr="002A3E7E">
        <w:trPr>
          <w:gridAfter w:val="1"/>
          <w:wAfter w:w="18" w:type="dxa"/>
          <w:trHeight w:val="331"/>
          <w:jc w:val="center"/>
        </w:trPr>
        <w:tc>
          <w:tcPr>
            <w:tcW w:w="4374" w:type="dxa"/>
            <w:gridSpan w:val="2"/>
          </w:tcPr>
          <w:p w14:paraId="6D5D42F1" w14:textId="77777777" w:rsidR="002A3E7E" w:rsidRPr="002A3E7E" w:rsidRDefault="002A3E7E" w:rsidP="002A3E7E">
            <w:pPr>
              <w:tabs>
                <w:tab w:val="left" w:pos="567"/>
                <w:tab w:val="left" w:pos="2268"/>
              </w:tabs>
              <w:spacing w:after="0" w:line="240" w:lineRule="auto"/>
              <w:jc w:val="center"/>
              <w:rPr>
                <w:rFonts w:ascii="Garamond" w:eastAsia="Times New Roman" w:hAnsi="Garamond" w:cs="Times New Roman"/>
                <w:lang w:val="nl-BE" w:eastAsia="nl-NL"/>
              </w:rPr>
            </w:pPr>
          </w:p>
        </w:tc>
      </w:tr>
      <w:tr w:rsidR="002A3E7E" w:rsidRPr="002A3E7E" w14:paraId="5A4EB505" w14:textId="77777777" w:rsidTr="002A3E7E">
        <w:trPr>
          <w:gridAfter w:val="1"/>
          <w:wAfter w:w="18" w:type="dxa"/>
          <w:trHeight w:val="322"/>
          <w:jc w:val="center"/>
        </w:trPr>
        <w:tc>
          <w:tcPr>
            <w:tcW w:w="4374" w:type="dxa"/>
            <w:gridSpan w:val="2"/>
          </w:tcPr>
          <w:p w14:paraId="3A762D8E"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r w:rsidRPr="002A3E7E">
              <w:rPr>
                <w:rFonts w:ascii="Garamond" w:eastAsia="Times New Roman" w:hAnsi="Garamond" w:cs="Times New Roman"/>
                <w:b/>
                <w:lang w:val="nl-BE" w:eastAsia="nl-NL"/>
              </w:rPr>
              <w:t>Art. 2. Verbod</w:t>
            </w:r>
          </w:p>
          <w:p w14:paraId="62BE61C6"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Het is verboden om</w:t>
            </w:r>
            <w:r w:rsidRPr="002A3E7E">
              <w:rPr>
                <w:rFonts w:ascii="Times New Roman" w:eastAsia="Times New Roman" w:hAnsi="Times New Roman" w:cs="Times New Roman"/>
                <w:sz w:val="20"/>
                <w:szCs w:val="20"/>
                <w:lang w:val="nl-BE" w:eastAsia="nl-NL"/>
              </w:rPr>
              <w:t xml:space="preserve"> </w:t>
            </w:r>
            <w:r w:rsidRPr="002A3E7E">
              <w:rPr>
                <w:rFonts w:ascii="Garamond" w:eastAsia="Times New Roman" w:hAnsi="Garamond" w:cs="Times New Roman"/>
                <w:bCs/>
                <w:lang w:val="nl-BE" w:eastAsia="nl-NL"/>
              </w:rPr>
              <w:t>nicotinezakjes en cannabinoïdezakjes in de handel te brengen.</w:t>
            </w:r>
          </w:p>
          <w:p w14:paraId="3CB9C3D1"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p>
          <w:p w14:paraId="3D9A0F6E"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 xml:space="preserve"> </w:t>
            </w:r>
          </w:p>
        </w:tc>
      </w:tr>
      <w:tr w:rsidR="002A3E7E" w:rsidRPr="002A3E7E" w14:paraId="01455BB3" w14:textId="77777777" w:rsidTr="002A3E7E">
        <w:trPr>
          <w:gridAfter w:val="1"/>
          <w:wAfter w:w="18" w:type="dxa"/>
          <w:trHeight w:val="322"/>
          <w:jc w:val="center"/>
        </w:trPr>
        <w:tc>
          <w:tcPr>
            <w:tcW w:w="4374" w:type="dxa"/>
            <w:gridSpan w:val="2"/>
          </w:tcPr>
          <w:p w14:paraId="1883544A"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p>
        </w:tc>
      </w:tr>
      <w:tr w:rsidR="002A3E7E" w:rsidRPr="002A3E7E" w14:paraId="1C5E63A4" w14:textId="77777777" w:rsidTr="002A3E7E">
        <w:trPr>
          <w:gridAfter w:val="1"/>
          <w:wAfter w:w="18" w:type="dxa"/>
          <w:trHeight w:val="322"/>
          <w:jc w:val="center"/>
        </w:trPr>
        <w:tc>
          <w:tcPr>
            <w:tcW w:w="4374" w:type="dxa"/>
            <w:gridSpan w:val="2"/>
          </w:tcPr>
          <w:p w14:paraId="5CDB9A13"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r w:rsidRPr="002A3E7E">
              <w:rPr>
                <w:rFonts w:ascii="Garamond" w:eastAsia="Times New Roman" w:hAnsi="Garamond" w:cs="Times New Roman"/>
                <w:b/>
                <w:lang w:val="nl-BE" w:eastAsia="nl-NL"/>
              </w:rPr>
              <w:t>Art. 3. Strafbepalingen</w:t>
            </w:r>
          </w:p>
          <w:p w14:paraId="6FB29FA5"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 xml:space="preserve">§1. De  producten vermeld in artikel 2 van dit besluit zijn als schadelijk te beschouwen in de zin van artikel 18 van de wet van 24 januari 1977 betreffende de bescherming van de gezondheid </w:t>
            </w:r>
            <w:r w:rsidRPr="002A3E7E">
              <w:rPr>
                <w:rFonts w:ascii="Garamond" w:eastAsia="Times New Roman" w:hAnsi="Garamond" w:cs="Times New Roman"/>
                <w:bCs/>
                <w:lang w:val="nl-BE" w:eastAsia="nl-NL"/>
              </w:rPr>
              <w:lastRenderedPageBreak/>
              <w:t>van de verbruikers op het stuk van de voedingsmiddelen en andere produkten.</w:t>
            </w:r>
          </w:p>
          <w:p w14:paraId="32A372F4"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§2. Overtredingen op dit besluit worden opgespoord, vastgesteld en vervolgd overeenkomstig de bepalingen van de voornoemde wet van 24 januari 1977.</w:t>
            </w:r>
          </w:p>
          <w:p w14:paraId="437DD7C7"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§3. Met de straffen bedoeld in artikel 13 van de wet van 24 januari 1977 betreffende de bescherming van de gezondheid van de gebruikers op het stuk van voedingsmiddelen en andere producten, wordt gestraft hij die de verbodsbepaling van artikel 2 van dit besluit, overtreedt.</w:t>
            </w:r>
          </w:p>
          <w:p w14:paraId="4DCBBEAA"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Cs/>
                <w:lang w:val="nl-BE" w:eastAsia="nl-NL"/>
              </w:rPr>
            </w:pPr>
            <w:r w:rsidRPr="002A3E7E">
              <w:rPr>
                <w:rFonts w:ascii="Garamond" w:eastAsia="Times New Roman" w:hAnsi="Garamond" w:cs="Times New Roman"/>
                <w:bCs/>
                <w:lang w:val="nl-BE" w:eastAsia="nl-NL"/>
              </w:rPr>
              <w:t>§4. De fabrikant, de invoerder in België en de kleinhandelaar kunnen aansprakelijk worden gesteld voor het niet-respecteren van artikel 2 van dit besluit.</w:t>
            </w:r>
          </w:p>
        </w:tc>
      </w:tr>
      <w:tr w:rsidR="002A3E7E" w:rsidRPr="002A3E7E" w14:paraId="5311485A" w14:textId="77777777" w:rsidTr="002A3E7E">
        <w:trPr>
          <w:gridAfter w:val="1"/>
          <w:wAfter w:w="18" w:type="dxa"/>
          <w:trHeight w:val="322"/>
          <w:jc w:val="center"/>
        </w:trPr>
        <w:tc>
          <w:tcPr>
            <w:tcW w:w="4374" w:type="dxa"/>
            <w:gridSpan w:val="2"/>
          </w:tcPr>
          <w:p w14:paraId="6C2142EC"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p>
        </w:tc>
      </w:tr>
      <w:tr w:rsidR="002A3E7E" w:rsidRPr="002A3E7E" w14:paraId="7D4CB300" w14:textId="77777777" w:rsidTr="002A3E7E">
        <w:trPr>
          <w:gridAfter w:val="1"/>
          <w:wAfter w:w="18" w:type="dxa"/>
          <w:trHeight w:val="322"/>
          <w:jc w:val="center"/>
        </w:trPr>
        <w:tc>
          <w:tcPr>
            <w:tcW w:w="4374" w:type="dxa"/>
            <w:gridSpan w:val="2"/>
          </w:tcPr>
          <w:p w14:paraId="59117ED5"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r w:rsidRPr="002A3E7E">
              <w:rPr>
                <w:rFonts w:ascii="Garamond" w:eastAsia="Times New Roman" w:hAnsi="Garamond" w:cs="Times New Roman"/>
                <w:b/>
                <w:lang w:val="nl-BE" w:eastAsia="nl-NL"/>
              </w:rPr>
              <w:t>Art. 4. Inwerkingtreding</w:t>
            </w:r>
          </w:p>
          <w:p w14:paraId="0F3B9EED"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r w:rsidRPr="002A3E7E">
              <w:rPr>
                <w:rFonts w:ascii="Garamond" w:eastAsia="Times New Roman" w:hAnsi="Garamond" w:cs="Times New Roman"/>
                <w:bCs/>
                <w:lang w:val="nl-BE" w:eastAsia="nl-NL"/>
              </w:rPr>
              <w:t>Dit besluit treedt in werking  drie maanden na de  bekendmaking ervan in het Belgisch Staatsblad, uitgezonderd voor de kleinhandelaar voor wie dit besluit in werking treedt zes maanden na de bekendmaking ervan in het Belgisch Staatsblad.</w:t>
            </w:r>
          </w:p>
        </w:tc>
      </w:tr>
      <w:tr w:rsidR="002A3E7E" w:rsidRPr="002A3E7E" w14:paraId="69A91905" w14:textId="77777777" w:rsidTr="002A3E7E">
        <w:trPr>
          <w:gridAfter w:val="1"/>
          <w:wAfter w:w="18" w:type="dxa"/>
          <w:trHeight w:val="322"/>
          <w:jc w:val="center"/>
        </w:trPr>
        <w:tc>
          <w:tcPr>
            <w:tcW w:w="4374" w:type="dxa"/>
            <w:gridSpan w:val="2"/>
          </w:tcPr>
          <w:p w14:paraId="027BFD17"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BE" w:eastAsia="nl-NL"/>
              </w:rPr>
            </w:pPr>
          </w:p>
        </w:tc>
      </w:tr>
      <w:tr w:rsidR="002A3E7E" w:rsidRPr="002A3E7E" w14:paraId="6A63B5AA" w14:textId="77777777" w:rsidTr="002A3E7E">
        <w:trPr>
          <w:gridBefore w:val="1"/>
          <w:wBefore w:w="18" w:type="dxa"/>
          <w:trHeight w:val="322"/>
          <w:jc w:val="center"/>
        </w:trPr>
        <w:tc>
          <w:tcPr>
            <w:tcW w:w="4374" w:type="dxa"/>
            <w:gridSpan w:val="2"/>
          </w:tcPr>
          <w:p w14:paraId="47A4B97C" w14:textId="77777777" w:rsidR="002A3E7E" w:rsidRPr="002A3E7E" w:rsidRDefault="002A3E7E" w:rsidP="002A3E7E">
            <w:pPr>
              <w:tabs>
                <w:tab w:val="left" w:pos="567"/>
                <w:tab w:val="left" w:pos="2268"/>
              </w:tabs>
              <w:spacing w:after="0" w:line="240" w:lineRule="auto"/>
              <w:jc w:val="both"/>
              <w:rPr>
                <w:rFonts w:ascii="Garamond" w:eastAsia="Times New Roman" w:hAnsi="Garamond" w:cs="Times New Roman"/>
                <w:b/>
                <w:lang w:val="nl-NL" w:eastAsia="nl-NL"/>
              </w:rPr>
            </w:pPr>
            <w:r w:rsidRPr="002A3E7E">
              <w:rPr>
                <w:rFonts w:ascii="Garamond" w:eastAsia="Times New Roman" w:hAnsi="Garamond" w:cs="Times New Roman"/>
                <w:lang w:val="nl-BE" w:eastAsia="nl-NL"/>
              </w:rPr>
              <w:t xml:space="preserve"> </w:t>
            </w:r>
            <w:r w:rsidRPr="002A3E7E">
              <w:rPr>
                <w:rFonts w:ascii="Garamond" w:eastAsia="Times New Roman" w:hAnsi="Garamond" w:cs="Times New Roman"/>
                <w:b/>
                <w:lang w:val="nl-NL" w:eastAsia="nl-NL"/>
              </w:rPr>
              <w:t xml:space="preserve">Art. 5. </w:t>
            </w:r>
            <w:r w:rsidRPr="002A3E7E">
              <w:rPr>
                <w:rFonts w:ascii="Garamond" w:eastAsia="Times New Roman" w:hAnsi="Garamond" w:cs="Times New Roman"/>
                <w:b/>
                <w:lang w:val="nl-BE" w:eastAsia="nl-NL"/>
              </w:rPr>
              <w:t>Slotbepaling</w:t>
            </w:r>
          </w:p>
          <w:p w14:paraId="6AD7CB3E" w14:textId="156CAF34" w:rsidR="002A3E7E" w:rsidRPr="002A3E7E" w:rsidRDefault="002A3E7E" w:rsidP="002A3E7E">
            <w:pPr>
              <w:tabs>
                <w:tab w:val="left" w:pos="2410"/>
              </w:tabs>
              <w:spacing w:after="0" w:line="240" w:lineRule="auto"/>
              <w:jc w:val="both"/>
              <w:rPr>
                <w:rFonts w:ascii="Garamond" w:eastAsia="Times New Roman" w:hAnsi="Garamond" w:cs="Times New Roman"/>
                <w:lang w:val="nl-BE" w:eastAsia="nl-NL"/>
              </w:rPr>
            </w:pPr>
            <w:r w:rsidRPr="002A3E7E">
              <w:rPr>
                <w:rFonts w:ascii="Garamond" w:eastAsia="Times New Roman" w:hAnsi="Garamond" w:cs="Times New Roman"/>
                <w:lang w:val="nl-NL" w:eastAsia="nl-NL"/>
              </w:rPr>
              <w:t>De Minister bevoegd voor Volksgezondheid is belast met de uitvoering van dit besluit</w:t>
            </w:r>
            <w:r w:rsidRPr="002A3E7E">
              <w:rPr>
                <w:rFonts w:ascii="Garamond" w:eastAsia="Times New Roman" w:hAnsi="Garamond" w:cs="Times New Roman"/>
                <w:sz w:val="20"/>
                <w:szCs w:val="20"/>
                <w:lang w:val="nl-NL" w:eastAsia="nl-NL"/>
              </w:rPr>
              <w:t>.</w:t>
            </w:r>
          </w:p>
        </w:tc>
      </w:tr>
      <w:tr w:rsidR="002A3E7E" w:rsidRPr="002A3E7E" w14:paraId="788FEF5B" w14:textId="77777777" w:rsidTr="002A3E7E">
        <w:trPr>
          <w:gridBefore w:val="1"/>
          <w:wBefore w:w="18" w:type="dxa"/>
          <w:trHeight w:val="322"/>
          <w:jc w:val="center"/>
        </w:trPr>
        <w:tc>
          <w:tcPr>
            <w:tcW w:w="4374" w:type="dxa"/>
            <w:gridSpan w:val="2"/>
          </w:tcPr>
          <w:p w14:paraId="0E3D3019"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5C6AF3CA"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0E177BE1"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35F82501"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0BB06F08"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0AA04D51"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42C2D3DF"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4746FBBC"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09344074"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34995DDC"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7AB291D7"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BE" w:eastAsia="nl-NL"/>
              </w:rPr>
            </w:pPr>
          </w:p>
          <w:p w14:paraId="2F91EBE7" w14:textId="37DE00DE" w:rsidR="002A3E7E" w:rsidRPr="002A3E7E" w:rsidRDefault="002A3E7E" w:rsidP="002A3E7E">
            <w:pPr>
              <w:tabs>
                <w:tab w:val="left" w:pos="2410"/>
              </w:tabs>
              <w:spacing w:after="0" w:line="240" w:lineRule="auto"/>
              <w:jc w:val="center"/>
              <w:rPr>
                <w:rFonts w:ascii="Garamond" w:eastAsia="Times New Roman" w:hAnsi="Garamond" w:cs="Times New Roman"/>
                <w:b/>
                <w:lang w:val="fr-FR" w:eastAsia="nl-NL"/>
              </w:rPr>
            </w:pPr>
            <w:r w:rsidRPr="002A3E7E">
              <w:rPr>
                <w:rFonts w:ascii="Garamond" w:eastAsia="Times New Roman" w:hAnsi="Garamond" w:cs="Times New Roman"/>
                <w:szCs w:val="20"/>
                <w:lang w:val="nl-NL" w:eastAsia="nl-NL"/>
              </w:rPr>
              <w:t>Van Koningswege:</w:t>
            </w:r>
          </w:p>
        </w:tc>
      </w:tr>
      <w:tr w:rsidR="002A3E7E" w:rsidRPr="002A3E7E" w14:paraId="758FF882" w14:textId="77777777" w:rsidTr="002A3E7E">
        <w:trPr>
          <w:gridBefore w:val="1"/>
          <w:wBefore w:w="18" w:type="dxa"/>
          <w:trHeight w:val="322"/>
          <w:jc w:val="center"/>
        </w:trPr>
        <w:tc>
          <w:tcPr>
            <w:tcW w:w="4374" w:type="dxa"/>
            <w:gridSpan w:val="2"/>
          </w:tcPr>
          <w:p w14:paraId="44DE7D01" w14:textId="77777777" w:rsidR="002A3E7E" w:rsidRPr="002A3E7E" w:rsidRDefault="002A3E7E" w:rsidP="002A3E7E">
            <w:pPr>
              <w:tabs>
                <w:tab w:val="left" w:pos="2410"/>
              </w:tabs>
              <w:spacing w:after="0" w:line="240" w:lineRule="auto"/>
              <w:jc w:val="center"/>
              <w:rPr>
                <w:rFonts w:ascii="Garamond" w:eastAsia="Times New Roman" w:hAnsi="Garamond" w:cs="Times New Roman"/>
                <w:b/>
                <w:lang w:val="fr-FR" w:eastAsia="nl-NL"/>
              </w:rPr>
            </w:pPr>
          </w:p>
        </w:tc>
      </w:tr>
      <w:tr w:rsidR="002A3E7E" w:rsidRPr="002A3E7E" w14:paraId="65126956" w14:textId="77777777" w:rsidTr="002A3E7E">
        <w:trPr>
          <w:gridBefore w:val="1"/>
          <w:wBefore w:w="18" w:type="dxa"/>
          <w:trHeight w:val="68"/>
          <w:jc w:val="center"/>
        </w:trPr>
        <w:tc>
          <w:tcPr>
            <w:tcW w:w="4374" w:type="dxa"/>
            <w:gridSpan w:val="2"/>
          </w:tcPr>
          <w:p w14:paraId="5D49E1DA" w14:textId="5BDADD38" w:rsidR="002A3E7E" w:rsidRPr="002A3E7E" w:rsidRDefault="002A3E7E" w:rsidP="002A3E7E">
            <w:pPr>
              <w:tabs>
                <w:tab w:val="left" w:pos="2410"/>
              </w:tabs>
              <w:spacing w:after="0" w:line="240" w:lineRule="auto"/>
              <w:jc w:val="center"/>
              <w:rPr>
                <w:rFonts w:ascii="Garamond" w:eastAsia="Times New Roman" w:hAnsi="Garamond" w:cs="Times New Roman"/>
                <w:b/>
                <w:lang w:val="fr-FR" w:eastAsia="nl-NL"/>
              </w:rPr>
            </w:pPr>
            <w:r w:rsidRPr="002A3E7E">
              <w:rPr>
                <w:rFonts w:ascii="Garamond" w:eastAsia="Times New Roman" w:hAnsi="Garamond" w:cs="Times New Roman"/>
                <w:szCs w:val="20"/>
                <w:lang w:val="nl-NL" w:eastAsia="nl-NL"/>
              </w:rPr>
              <w:t>De Minister van Volksgezondheid,</w:t>
            </w:r>
          </w:p>
        </w:tc>
      </w:tr>
      <w:tr w:rsidR="002A3E7E" w:rsidRPr="002A3E7E" w14:paraId="786A6235" w14:textId="77777777" w:rsidTr="002A3E7E">
        <w:trPr>
          <w:gridBefore w:val="1"/>
          <w:wBefore w:w="18" w:type="dxa"/>
          <w:trHeight w:val="68"/>
          <w:jc w:val="center"/>
        </w:trPr>
        <w:tc>
          <w:tcPr>
            <w:tcW w:w="4374" w:type="dxa"/>
            <w:gridSpan w:val="2"/>
          </w:tcPr>
          <w:p w14:paraId="11D37634" w14:textId="77777777" w:rsidR="002A3E7E" w:rsidRPr="002A3E7E" w:rsidRDefault="002A3E7E" w:rsidP="002A3E7E">
            <w:pPr>
              <w:tabs>
                <w:tab w:val="left" w:pos="2410"/>
              </w:tabs>
              <w:spacing w:after="0" w:line="240" w:lineRule="auto"/>
              <w:jc w:val="center"/>
              <w:rPr>
                <w:rFonts w:ascii="Garamond" w:eastAsia="Times New Roman" w:hAnsi="Garamond" w:cs="Times New Roman"/>
                <w:szCs w:val="20"/>
                <w:lang w:val="nl-NL" w:eastAsia="nl-NL"/>
              </w:rPr>
            </w:pPr>
          </w:p>
        </w:tc>
      </w:tr>
      <w:tr w:rsidR="002A3E7E" w:rsidRPr="002A3E7E" w14:paraId="28B4E2BB" w14:textId="77777777" w:rsidTr="002A3E7E">
        <w:trPr>
          <w:gridBefore w:val="1"/>
          <w:wBefore w:w="18" w:type="dxa"/>
          <w:trHeight w:val="68"/>
          <w:jc w:val="center"/>
        </w:trPr>
        <w:tc>
          <w:tcPr>
            <w:tcW w:w="4374" w:type="dxa"/>
            <w:gridSpan w:val="2"/>
          </w:tcPr>
          <w:p w14:paraId="4A152839" w14:textId="688C10F4" w:rsidR="002A3E7E" w:rsidRPr="002A3E7E" w:rsidRDefault="002A3E7E" w:rsidP="002A3E7E">
            <w:pPr>
              <w:tabs>
                <w:tab w:val="left" w:pos="2410"/>
              </w:tabs>
              <w:spacing w:after="0" w:line="240" w:lineRule="auto"/>
              <w:jc w:val="center"/>
              <w:rPr>
                <w:rFonts w:ascii="Garamond" w:eastAsia="Times New Roman" w:hAnsi="Garamond" w:cs="Times New Roman"/>
                <w:szCs w:val="20"/>
                <w:lang w:val="nl-NL" w:eastAsia="nl-NL"/>
              </w:rPr>
            </w:pPr>
            <w:r w:rsidRPr="002A3E7E">
              <w:rPr>
                <w:rFonts w:ascii="Garamond" w:eastAsia="Times New Roman" w:hAnsi="Garamond" w:cs="Times New Roman"/>
                <w:szCs w:val="20"/>
                <w:lang w:val="nl-NL" w:eastAsia="nl-NL"/>
              </w:rPr>
              <w:t>Frank VANDENBROUCKE</w:t>
            </w:r>
          </w:p>
        </w:tc>
      </w:tr>
    </w:tbl>
    <w:p w14:paraId="329E0386"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7E"/>
    <w:rsid w:val="002A3E7E"/>
    <w:rsid w:val="00493F25"/>
    <w:rsid w:val="00B42146"/>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7D45"/>
  <w15:chartTrackingRefBased/>
  <w15:docId w15:val="{9A206474-22DA-4CBF-B1A5-983EF20F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3812</Characters>
  <Application>Microsoft Office Word</Application>
  <DocSecurity>4</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Laurent Wenkin (FOD Economie - SPF Economie)</cp:lastModifiedBy>
  <cp:revision>2</cp:revision>
  <dcterms:created xsi:type="dcterms:W3CDTF">2022-06-15T09:12:00Z</dcterms:created>
  <dcterms:modified xsi:type="dcterms:W3CDTF">2022-06-15T09:12:00Z</dcterms:modified>
</cp:coreProperties>
</file>