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01"/>
        <w:gridCol w:w="1786"/>
        <w:gridCol w:w="1787"/>
        <w:gridCol w:w="1964"/>
        <w:gridCol w:w="1672"/>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Консолидирано законодателство</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Край</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7" w:anchor="hit1" w:tgtFrame="_self" w:history="1">
              <w:r w:rsidR="000F54ED">
                <w:rPr>
                  <w:rFonts w:ascii="Times New Roman" w:hAnsi="Times New Roman"/>
                  <w:b/>
                  <w:color w:val="0000FF"/>
                  <w:sz w:val="24"/>
                  <w:u w:val="single"/>
                </w:rPr>
                <w:t>Първа дума</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8" w:anchor="end" w:tgtFrame="_self" w:history="1">
              <w:r w:rsidR="000F54ED">
                <w:rPr>
                  <w:rFonts w:ascii="Times New Roman" w:hAnsi="Times New Roman"/>
                  <w:b/>
                  <w:color w:val="0000FF"/>
                  <w:sz w:val="24"/>
                  <w:u w:val="single"/>
                </w:rPr>
                <w:t>Последна дума</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9" w:anchor="preambule" w:history="1">
              <w:r w:rsidR="000F54ED">
                <w:rPr>
                  <w:rFonts w:ascii="Times New Roman" w:hAnsi="Times New Roman"/>
                  <w:b/>
                  <w:color w:val="0000FF"/>
                  <w:sz w:val="24"/>
                  <w:u w:val="single"/>
                </w:rPr>
                <w:t>Преамбюл</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10" w:anchor="rapportroi" w:history="1">
              <w:r w:rsidR="000F54ED">
                <w:rPr>
                  <w:rFonts w:ascii="Times New Roman" w:hAnsi="Times New Roman"/>
                  <w:b/>
                  <w:color w:val="0000FF"/>
                  <w:sz w:val="24"/>
                  <w:u w:val="single"/>
                </w:rPr>
                <w:t>Доклад до краля</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11" w:anchor="tablematiere" w:history="1">
              <w:r w:rsidR="000F54ED">
                <w:rPr>
                  <w:rFonts w:ascii="Times New Roman" w:hAnsi="Times New Roman"/>
                  <w:b/>
                  <w:color w:val="0000FF"/>
                  <w:sz w:val="24"/>
                  <w:u w:val="single"/>
                </w:rPr>
                <w:t>Съдържание</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12" w:anchor="signature" w:tgtFrame="_self" w:history="1">
              <w:r w:rsidR="000F54ED">
                <w:rPr>
                  <w:rFonts w:ascii="Times New Roman" w:hAnsi="Times New Roman"/>
                  <w:b/>
                  <w:color w:val="0000FF"/>
                  <w:sz w:val="24"/>
                  <w:u w:val="single"/>
                </w:rPr>
                <w:t>Подписи</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13" w:anchor="end" w:tgtFrame="_self" w:history="1">
              <w:r w:rsidR="000F54ED">
                <w:rPr>
                  <w:rFonts w:ascii="Times New Roman" w:hAnsi="Times New Roman"/>
                  <w:b/>
                  <w:color w:val="0000FF"/>
                  <w:sz w:val="24"/>
                  <w:u w:val="single"/>
                </w:rPr>
                <w:t>Край</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14" w:tgtFrame="_blank" w:history="1">
              <w:r w:rsidR="000F54ED">
                <w:rPr>
                  <w:rFonts w:ascii="Times New Roman" w:hAnsi="Times New Roman"/>
                  <w:b/>
                  <w:color w:val="FF0000"/>
                  <w:sz w:val="24"/>
                  <w:u w:val="single"/>
                </w:rPr>
                <w:t>Нидерландска версия</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 be — Banque Carrefour de la législation (Белгийска база данни за законодателството)</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навигационна система, използваща европейския идентификатор на законодателството</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Заглавие</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МАРТ 2023 г. - Кралски указ, забраняващ пускането на пазара на някои сходни продукти</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Източник: </w:t>
            </w:r>
            <w:r>
              <w:rPr>
                <w:rFonts w:ascii="Times New Roman" w:hAnsi="Times New Roman"/>
                <w:b/>
                <w:sz w:val="24"/>
              </w:rPr>
              <w:t>ОБЩЕСТВЕНО ЗДРАВЕ, БЕЗОПАСНОСТ НА ХРАНИТЕЛНАТА ВЕРИГА И ОКОЛНАТА СРЕДА</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Публикация: </w:t>
            </w:r>
            <w:r>
              <w:rPr>
                <w:rFonts w:ascii="Times New Roman" w:hAnsi="Times New Roman"/>
                <w:b/>
                <w:sz w:val="24"/>
              </w:rPr>
              <w:t xml:space="preserve">24-03-2023 </w:t>
            </w:r>
            <w:r>
              <w:rPr>
                <w:rFonts w:ascii="Times New Roman" w:hAnsi="Times New Roman"/>
                <w:b/>
                <w:color w:val="FF0000"/>
                <w:sz w:val="24"/>
              </w:rPr>
              <w:t>Номер: </w:t>
            </w:r>
            <w:r>
              <w:rPr>
                <w:rFonts w:ascii="Times New Roman" w:hAnsi="Times New Roman"/>
                <w:b/>
                <w:sz w:val="24"/>
              </w:rPr>
              <w:t xml:space="preserve">  2023041247 </w:t>
            </w:r>
            <w:r>
              <w:rPr>
                <w:rFonts w:ascii="Times New Roman" w:hAnsi="Times New Roman"/>
                <w:b/>
                <w:color w:val="FF0000"/>
                <w:sz w:val="24"/>
              </w:rPr>
              <w:t>страница: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5" w:anchor="Page343" w:tgtFrame="_blank" w:history="1">
              <w:r>
                <w:rPr>
                  <w:rFonts w:ascii="Times New Roman" w:hAnsi="Times New Roman"/>
                  <w:b/>
                  <w:color w:val="0000FF"/>
                  <w:sz w:val="24"/>
                  <w:u w:val="single"/>
                </w:rPr>
                <w:t>оригинална версия</w:t>
              </w:r>
            </w:hyperlink>
            <w:r>
              <w:rPr>
                <w:rFonts w:ascii="Times New Roman" w:hAnsi="Times New Roman"/>
                <w:b/>
                <w:sz w:val="24"/>
              </w:rPr>
              <w:t>    </w:t>
            </w:r>
            <w:hyperlink r:id="rId16" w:history="1">
              <w:r>
                <w:rPr>
                  <w:rFonts w:ascii="Times New Roman" w:hAnsi="Times New Roman"/>
                  <w:b/>
                  <w:color w:val="0000FF"/>
                  <w:sz w:val="24"/>
                  <w:u w:val="single"/>
                </w:rPr>
                <w:t>консолидирана версия</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Номер на досието: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Влизане в сила/действие: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4"/>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Съдържание</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17" w:anchor="texte" w:history="1">
              <w:r w:rsidR="000F54ED">
                <w:rPr>
                  <w:rFonts w:ascii="Times New Roman" w:hAnsi="Times New Roman"/>
                  <w:b/>
                  <w:color w:val="0000FF"/>
                  <w:sz w:val="24"/>
                  <w:u w:val="single"/>
                </w:rPr>
                <w:t>Текст</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Начало</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Член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Текст</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19" w:anchor="tablematiere" w:history="1">
              <w:r w:rsidR="000F54ED">
                <w:rPr>
                  <w:rFonts w:ascii="Times New Roman" w:hAnsi="Times New Roman"/>
                  <w:b/>
                  <w:color w:val="0000FF"/>
                  <w:sz w:val="24"/>
                  <w:u w:val="single"/>
                </w:rPr>
                <w:t>Съдържание</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20" w:anchor="top" w:history="1">
              <w:r w:rsidR="000F54ED">
                <w:rPr>
                  <w:rFonts w:ascii="Times New Roman" w:hAnsi="Times New Roman"/>
                  <w:b/>
                  <w:color w:val="0000FF"/>
                  <w:sz w:val="24"/>
                  <w:u w:val="single"/>
                </w:rPr>
                <w:t>Начало</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Член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Дефиниции</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За прилагането на настоящия Указ следното означава:</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никотинова торбичка: всеки продукт без тютюн за орална употреба, състоящ се изцяло или частично от синтетичен или естествен никотин, включително тези, представени на порции в пакетчета или в порести пакетчета, и тези под формата на прах, частици или паста или във всяка комбинация от такива форми;</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канабиноидна торбичка: всеки продукт за орална употреба, състоящ се от или съдържащ един или повече канабиноиди или техни производни, включително тези, представени на порции в пакетчета или в порести пакетчета и под формата на прах, частици или паста, или във всякаква комбинация от такива форми;</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(3) търговец на дребно: всеки пункт за продажба, на който продуктите се пускат на пазара, включително от физическо лице.</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Член</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21" w:anchor="Art.3" w:history="1">
              <w:r>
                <w:rPr>
                  <w:rFonts w:ascii="Times New Roman" w:hAnsi="Times New Roman"/>
                  <w:b/>
                  <w:color w:val="0000FF"/>
                  <w:sz w:val="24"/>
                  <w:u w:val="single"/>
                </w:rPr>
                <w:t>2</w:t>
              </w:r>
            </w:hyperlink>
            <w:r>
              <w:rPr>
                <w:rFonts w:ascii="Times New Roman" w:hAnsi="Times New Roman"/>
                <w:b/>
                <w:sz w:val="24"/>
              </w:rPr>
              <w:t>. Забранено</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Забранено е да се пускат никотинови торбички и канабиноидни торбички на пазара.</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Член</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2" w:anchor="Art.4" w:history="1">
              <w:r>
                <w:rPr>
                  <w:rFonts w:ascii="Times New Roman" w:hAnsi="Times New Roman"/>
                  <w:b/>
                  <w:color w:val="0000FF"/>
                  <w:sz w:val="24"/>
                  <w:u w:val="single"/>
                </w:rPr>
                <w:t>3</w:t>
              </w:r>
            </w:hyperlink>
            <w:r>
              <w:rPr>
                <w:rFonts w:ascii="Times New Roman" w:hAnsi="Times New Roman"/>
                <w:b/>
                <w:sz w:val="24"/>
              </w:rPr>
              <w:t>. Наказателноправни санкции</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Параграф 1. Продуктите, изброени в член 2 от този Указ, трябва да се считат за вредни по смисъла на Член 18 от Закона от 24 януари 1977 г. за защита на здравето на потребителите по отношение на храни и други продукти.</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Параграф 2. Нарушенията на настоящия Указ се разследват, записват, преследват и наказват съгласно Членове 11 — 19 от Закона от 24 януари 1977 г. за защита на здравето на потребителите по отношение на храните и другите продукти.</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Член</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3" w:anchor="Art.5" w:history="1">
              <w:r>
                <w:rPr>
                  <w:rFonts w:ascii="Times New Roman" w:hAnsi="Times New Roman"/>
                  <w:b/>
                  <w:color w:val="0000FF"/>
                  <w:sz w:val="24"/>
                  <w:u w:val="single"/>
                </w:rPr>
                <w:t>4</w:t>
              </w:r>
            </w:hyperlink>
            <w:r>
              <w:rPr>
                <w:rFonts w:ascii="Times New Roman" w:hAnsi="Times New Roman"/>
                <w:b/>
                <w:sz w:val="24"/>
              </w:rPr>
              <w:t>. Влизане в сила</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Настоящият Указ влиза в сила на първия ден от четвъртия месец след публикуването му в „Белгийски наблюдател“, с изключение на търговеца на дребно, за който настоящият Указ влиза в сила на първия ден от седмия месец след публикуването му в официалния вестник “Белгийски наблюдател”.</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Член</w:t>
            </w:r>
            <w:r w:rsidRPr="005F0E16">
              <w:rPr>
                <w:rFonts w:ascii="Times New Roman" w:eastAsia="Times New Roman" w:hAnsi="Times New Roman" w:cs="Times New Roman"/>
                <w:b/>
                <w:sz w:val="24"/>
              </w:rPr>
              <w:fldChar w:fldCharType="end"/>
            </w:r>
            <w:bookmarkEnd w:id="7"/>
            <w:r>
              <w:rPr>
                <w:rFonts w:ascii="Times New Roman" w:hAnsi="Times New Roman"/>
                <w:b/>
                <w:sz w:val="24"/>
              </w:rPr>
              <w:t> 5. Заключителна разпоредба</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Министърът на общественото здраве отговаря за изпълнението на настоящия указ.</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92"/>
        <w:gridCol w:w="720"/>
        <w:gridCol w:w="1476"/>
        <w:gridCol w:w="92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Подписи</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24" w:anchor="texte" w:history="1">
              <w:r w:rsidR="000F54ED">
                <w:rPr>
                  <w:rFonts w:ascii="Times New Roman" w:hAnsi="Times New Roman"/>
                  <w:b/>
                  <w:color w:val="0000FF"/>
                  <w:sz w:val="24"/>
                  <w:u w:val="single"/>
                </w:rPr>
                <w:t>Текст</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25" w:anchor="tablematiere" w:history="1">
              <w:r w:rsidR="000F54ED">
                <w:rPr>
                  <w:rFonts w:ascii="Times New Roman" w:hAnsi="Times New Roman"/>
                  <w:b/>
                  <w:color w:val="0000FF"/>
                  <w:sz w:val="24"/>
                  <w:u w:val="single"/>
                </w:rPr>
                <w:t>Съдържание</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26" w:anchor="top" w:history="1">
              <w:r w:rsidR="000F54ED">
                <w:rPr>
                  <w:rFonts w:ascii="Times New Roman" w:hAnsi="Times New Roman"/>
                  <w:b/>
                  <w:color w:val="0000FF"/>
                  <w:sz w:val="24"/>
                  <w:u w:val="single"/>
                </w:rPr>
                <w:t>Начало</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Брюксел, 14 март 2023 г.</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От името на Краля:</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Министърът на общественото здраве,</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Преамбюл</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27" w:anchor="texte" w:history="1">
              <w:r w:rsidR="000F54ED">
                <w:rPr>
                  <w:rFonts w:ascii="Times New Roman" w:hAnsi="Times New Roman"/>
                  <w:b/>
                  <w:color w:val="0000FF"/>
                  <w:sz w:val="24"/>
                  <w:u w:val="single"/>
                </w:rPr>
                <w:t>Текст</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28" w:anchor="tablematiere" w:history="1">
              <w:r w:rsidR="000F54ED">
                <w:rPr>
                  <w:rFonts w:ascii="Times New Roman" w:hAnsi="Times New Roman"/>
                  <w:b/>
                  <w:color w:val="0000FF"/>
                  <w:sz w:val="24"/>
                  <w:u w:val="single"/>
                </w:rPr>
                <w:t>Съдържание</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29" w:anchor="top" w:history="1">
              <w:r w:rsidR="000F54ED">
                <w:rPr>
                  <w:rFonts w:ascii="Times New Roman" w:hAnsi="Times New Roman"/>
                  <w:b/>
                  <w:color w:val="0000FF"/>
                  <w:sz w:val="24"/>
                  <w:u w:val="single"/>
                </w:rPr>
                <w:t>Начало</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ФИЛИП, Крал на белгийците,</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На всички присъстващи и на тези, които ще дойдат, поздрави.</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Като взех предвид Закона от 24 януари 1977 г. за защита на здравето на потребителите по отношение на храните и другите продукти, член 2, алинея 1, член 6, параграф 1, буква а), изменен със Закона от 22 март 1989 г. и Член 18, параграф 1, заменен със Закона от 22 март 1989 г. и изменен със Закона от 22 декември 2003 г.;</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Като взех предвид Становището на финансовия инспекторат, издадено на 4 февруари 2023 г.;</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Като взех предвид съобщението до Европейската комисия от 15 юни 2022 г., съгласно Член 5, параграф 1 от Директива (ЕС) 2015/1535 на Европейския парламент и на Съвета от 9 септември 2015 г. установяваща процедура за </w:t>
            </w:r>
            <w:r>
              <w:rPr>
                <w:rFonts w:ascii="Times New Roman" w:hAnsi="Times New Roman"/>
                <w:b/>
                <w:sz w:val="24"/>
              </w:rPr>
              <w:lastRenderedPageBreak/>
              <w:t>предоставянето на информация в сферата на техническите регламенти и правила относно услугите на информационното общество;</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Като взех предвид Становище 72.952/3 на Държавния съвет, издадено на 20 февруари 2023 г., съгласно Член 84, параграф 1, точки 1 и 2 от Законите за Държавния съвет, консолидирано на 12 януари 1973 г.;</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По предложението на Министъра на общественото здраве,</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РЕШИХ И С НАСТОЯЩОТО ПОСТАНОВИХ:</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Доклад до краля</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30" w:anchor="texte" w:history="1">
              <w:r w:rsidR="000F54ED">
                <w:rPr>
                  <w:rFonts w:ascii="Times New Roman" w:hAnsi="Times New Roman"/>
                  <w:b/>
                  <w:color w:val="0000FF"/>
                  <w:sz w:val="24"/>
                  <w:u w:val="single"/>
                </w:rPr>
                <w:t>Текст</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31" w:anchor="tablematiere" w:history="1">
              <w:r w:rsidR="000F54ED">
                <w:rPr>
                  <w:rFonts w:ascii="Times New Roman" w:hAnsi="Times New Roman"/>
                  <w:b/>
                  <w:color w:val="0000FF"/>
                  <w:sz w:val="24"/>
                  <w:u w:val="single"/>
                </w:rPr>
                <w:t>Съдържание</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2404F6" w:rsidP="005F0E16">
            <w:pPr>
              <w:spacing w:after="0" w:line="240" w:lineRule="auto"/>
              <w:jc w:val="center"/>
              <w:rPr>
                <w:rFonts w:ascii="Times New Roman" w:eastAsia="Times New Roman" w:hAnsi="Times New Roman" w:cs="Times New Roman"/>
                <w:b/>
                <w:bCs/>
                <w:sz w:val="24"/>
                <w:szCs w:val="24"/>
              </w:rPr>
            </w:pPr>
            <w:hyperlink r:id="rId32" w:anchor="top" w:history="1">
              <w:r w:rsidR="000F54ED">
                <w:rPr>
                  <w:rFonts w:ascii="Times New Roman" w:hAnsi="Times New Roman"/>
                  <w:b/>
                  <w:color w:val="0000FF"/>
                  <w:sz w:val="24"/>
                  <w:u w:val="single"/>
                </w:rPr>
                <w:t>Начало</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ДОКЛАД ДО КРАЛЯ</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Ваше Величество,</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Целта на този проект на кралски указ е да се забранят никотиновите торбички и канабиноидните торбички.</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Тези продукти са малки сашета с прах, съдържащи никотин, CBD или други канабиноиди, но не съдържащи тютюн. Те се поставят под горната устна и никотинът или канабиноидът се абсорбира от лигавиците и слюнката.</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Появата на никотинови торбички е опасна за общественото здраве.</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Целта на забраната е да се предотвратят известните и потенциални неблагоприятни последици за здравето от употребата на тези нови продукти, да се обезкуражи използването им от младите хора и да се избегнат евентуални отрицателни ефекти върху усилията за борба с тютюнопушенето.</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Те не са изрично регламентирани, що се отнася до техния състав или етикетиране. Те не са обхванати от Кралския указ от 5 февруари 2016 г. относно производството и търговията с изделия на тютюнева основа и растителни изделия за пушене.</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Те обаче могат да се разглеждат като изделия, подобни на тютюневите изделия. В решение от 16 декември 2021 г. пред Конституционния съд Съдът постанови следното:</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По определение „сходни продукти“ са продукти, които не съдържат тютюн, но приличат на тютюневи изделия. Това сходство трябва да се отнася до начина, по който се консумира сходният продукт, или до ефекта, който е предвиден чрез този продукт. Понятието „сходни продукти“ отговаря на изискването за предвидимост.</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В Белгия се стремим да постигнем много високо ниво на защита, когато става въпрос за контрол на тютюна. Същото се отнася и за подобни продукти.</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Никотиновите торбички служат като заместител на конвенционалните тютюневи изделия и могат да породят сходни рискове за здравето и социални последици.</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По-конкретно, те имат много сходно представяне и ефект с тези на снуса — изделие на основата на тютюн, което вече е забранено. Следователно има реална възможност потребител на никотинова торбичка да премине към снус.</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В обществото понятията често се използват взаимозаменяемо, дори и от полицейските сили. Говорят за снус, но всъщност имат предвид никотинови торбички. Объркването на езика е разбираемо, тъй като никотиновите торбички също се наричат снус от търговците умишлено, може би по търговски причини или несъзнателно. Например,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В преамбюла 32 от Директива 2014/40/ЕС относно производството, представянето и продажбата на тютюневи и свързани с тях изделия се посочва следното:</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Забраната за продажба на тютюн за орална употреба следва да се запази, за да се предотврати въвеждането в Съюза (с изключение на Швеция) на този продукт, което води до пристрастяване и оказва неблагоприятно въздействие върху човешкото здраве.“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Подобен аргумент важи и за никотиновите торбички.</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Що се отнася до отделната наредба за изделия, сходни на тютюневите изделия, съображение 55 от същата директива гласи следното: " Всяка държава членка следва да остане свободна да поддържа или въвежда национално законодателство, приложимо за всички продукти, пуснати на нейния национален пазар, по отношение на аспекти, които не са уредени от настоящата директива, при условие че е съвместимо с Договора за функционирането на Европейския съюз и не застрашава пълното прилагане на настоящата директива. Следователно и при тези условия държавите членки биха могли по-специално да регулират или забранят оборудването, използвано за тютюневи изделия (включително наргилета) и за растителни изделия за пушене, както и да регулират или забраняват изделия, които изглеждат подобни на даден вид тютюневи или свързани с тях изделия. Изисква се предварителна нотификация за националните технически регламенти в съответствие с Директива 98/34/ЕО“</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Освен това член 5.2, буква б) от Рамковата конвенция на СЗО за контрол на тютюна също оправдава стриктното регулиране на тези продукти:</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Член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За тази цел всяка страна в зависимост от своите възможности:</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б) приема и прилага ефективни законодателни, изпълнителни, административни и/или други мерки и си сътрудничи, когато е целесъобразно, с други страни за разработване на подходящи политики за предотвратяване и намаляване на употребата на тютюн, никотиновата зависимост и излагането на тютюнев дим.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В тази връзка „страните по Конвенцията се споразумяха да обмислят прилагането на регулаторни мерки за забрана или ограничаване на производството, вноса, разпространението, представянето, продажбата и използването на ENDS в съответствие с националното си законодателство и целите, свързани с общественото здраве. Ако се появят други нови тютюневи или никотинови изделия, начинът, по който те се третират, следва да се разглежда по същия начин.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В чужбина никотиновите торбички също се считат и регулират като сходни продукти. Страните, които ги регулират като заместител на тютюна, включват Австралия (с пълна забрана), Унгария, Дания, Латвия, Люксембург, Нова Зеландия и Норвегия. В последните две страни те са забранени, докато не се докаже, че са по-малко вредни от обикновените тютюневи изделия. До момента това не е направено.</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Никотиновите торбички са вредни за здравето, особено поради техния потенциал за пристрастяване.</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В Нидерландия вече е проведено разследване. Това проучване ясно показва опасността от никотинови торбички.</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„Те съдържат достатъчно никотин, за да имат ефект върху сърдечната честота, да предизвикат и поддържат никотинова зависимост и да имат неблагоприятно въздействие върху развитието на младия мозък.</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Никотиновите торбички могат също така да улеснят поддържането на никотиновата зависимост, тъй като те могат да се използват и на места, където тютюнопушенето е забранено.“</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Тези продукти представляват особена опасност за непълнолетните поради факта, че тяхната консумация е трудна за възприемане. В резултат на това има липса на социален контрол от страна на родители или други възрастни, което може да увековечи възможна зависимост. В допълнение, поради ниското си телесно тегло, децата са по-склонни към неблагоприятни странични ефекти.</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Поради това в Нидерландия понастоящем тези продукти също са забранени. Ако никотиновата торбичка съдържа повече от 0,035 mg никотин, тя се счита за опасен и вреден хранителен продукт.</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Фактът, че тези продукти представляват реална опасност за общественото здраве, се доказва не само от изследванията, проведени от RIVM в Нидерландия, но FAMHP също така посочва възможните рискове:</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Продуктът обаче остава продукт на основата на никотин, вещество, което може да се окаже токсично.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Случайната експозиция или прекомерната консумация на никотин могат да имат сериозни последици. Според центъра за контрол на отровите, доза от 10 mg никотин може да причини тежко отравяне при деца. Минималната фатална доза за възрастни е 0,5 до 1 g никотин, в зависимост от телесното тегло.</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Анализът на BfR (Германия) показва, че на пазара се предлагат никотинови торбички, съдържащи 47,5 mg никотин.</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Не на последно място, никотиновите торбички набират популярност.</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Неотдавнашно проучване в Нидерландия показва, че 75% от анкетираните млади хора знаят за никотиновите торбички; 25% също ги използват. Сред децата под 12-годишна възраст 1,2% използват никотинови торбички. Дания също съобщава, че никотиновите торбички се използват от младите хора. Използвани опаковъчни материали и торбички могат да бъдат намерени в училищните отпадъци, включително в началните училища.</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Няма съмнение, че присъствието на тези продукти се увеличава в Белгия.</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Фондацията за борба с рака вече предупреди през октомври 2021 г. за повишеното присъствие на тези продукти. Освен това няколко статии в пресата, публикувани през последните месеци, потвърждават тази тенденция.</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Това увеличение вероятно ще се отнася и за действителните продажби на тези продукти, въпреки че нямаме официални данни; никотиновите торбички не подлежат на уведомяване.</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Наблюдателите на общественото здраве на FPS наскоро откриха тези продукти на места, които привличат млади хора, като например танцувални кафенета, клубове и масови събития като фестивали.</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Показанията и оплакванията достигат и до училищата чрез отдела за инспекция. Едно училище отбеляза, че продуктите изглеждат популярни сред момчетата и че аспектът „да бъдеш корав“ тук влиза в играта. Никотиновите торбички също се разменят между децата в училищните помещения. Според учителите децата, които консумират никотин, ще бъдат по-малко внимателни в клас и по-раздразнителни.</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Освен това традиционните производители на тютюневи изделия, които са включили тези продукти в гамата си, все повече ги популяризират, включително чрез социалните мрежи.</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На уебсайта на British American Tobacco, никотиновите торбички са представени като здравословна алтернатива на традиционните тютюневи изделия, тъй като съдържат чисти съставки. Впечатлението е, че няма риск за здравето.</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Продуктите се предлагат и в различни аромати, включително ментолов аромат, който наскоро беше забранен за обикновените изделия на тютюнева основа. Това е елемент, който прави продукта още по-привлекателен както за младите хора, така и за непушачите.</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Никотиновите торбички също са много по-евтини от обикновените тютюневи изделия, което допълнително допринася за голямата им привлекателност както за населението като цяло, така и за непушачите.</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Накратко, никотиновите торбички са вредни, защото, подобно на тютюневите изделия, те имат потенциала да поддържат или предизвикват пристрастяване (към никотин). Такъв продукт няма място на пазара.</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Поради нарастващата популярност на тези продукти е необходима защита на децата и юношите от употребата на никотин и пристрастяването към това вещество чрез законодателството. Тази забрана се основава на принципа на предпазните мерки.</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За CBD продуктите има по-малко налична информация, но поради големите прилики (вид, начин на употреба), това също е забранено.</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Коментари член по член</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Член 1. Член 1 се отнася до определенията, посочени в указа.</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Член 2. Член 2 се отнася до самите забрани: забрана на никотиновите торбички и канабиноидните торбички.</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Член 3. Член 3 се отнася до разследването, разкриването, наказателното преследване и наказването на престъпления.</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Член 4. В член 4 се посочва датата, на която указът влиза в сила. За търговците на дребно указът ще влезе в сила 3 месеца по-късно.</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Член 5. Член 5 определя компетентния министър, който ще осигури прилагането на разпоредбите на настоящия указ. Това е министърът на здравеопазването.</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Имам честта да бъда,</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Ваше Величество,</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на Ваше Величество</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най-почитаният и верен служител,</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Министърът на общественото здраве,</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Бележки</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(5) Bast, Lotus S., и др. 2022 г. „Използването на тютюн и никотинови продукти сред младите хора в Дания — състояние при еднократна и двойна употреба“ Международен журнал за изследвания и обществено здраве 19, №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479"/>
        <w:gridCol w:w="1465"/>
        <w:gridCol w:w="1476"/>
        <w:gridCol w:w="1630"/>
        <w:gridCol w:w="1289"/>
        <w:gridCol w:w="1671"/>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33" w:anchor="top" w:tgtFrame="_self" w:history="1">
              <w:r w:rsidR="000F54ED">
                <w:rPr>
                  <w:rFonts w:ascii="Times New Roman" w:hAnsi="Times New Roman"/>
                  <w:b/>
                  <w:color w:val="0000FF"/>
                  <w:sz w:val="24"/>
                  <w:u w:val="single"/>
                </w:rPr>
                <w:t>Начало</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34" w:anchor="hit1" w:tgtFrame="_self" w:history="1">
              <w:r w:rsidR="000F54ED">
                <w:rPr>
                  <w:rFonts w:ascii="Times New Roman" w:hAnsi="Times New Roman"/>
                  <w:b/>
                  <w:color w:val="0000FF"/>
                  <w:sz w:val="24"/>
                  <w:u w:val="single"/>
                </w:rPr>
                <w:t>Първа дума</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35" w:anchor="hit0" w:tgtFrame="_self" w:history="1">
              <w:r w:rsidR="000F54ED">
                <w:rPr>
                  <w:rFonts w:ascii="Times New Roman" w:hAnsi="Times New Roman"/>
                  <w:b/>
                  <w:color w:val="0000FF"/>
                  <w:sz w:val="24"/>
                  <w:u w:val="single"/>
                </w:rPr>
                <w:t>Последна дума</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36" w:anchor="preambule" w:history="1">
              <w:r w:rsidR="000F54ED">
                <w:rPr>
                  <w:rFonts w:ascii="Times New Roman" w:hAnsi="Times New Roman"/>
                  <w:b/>
                  <w:color w:val="0000FF"/>
                  <w:sz w:val="24"/>
                  <w:u w:val="single"/>
                </w:rPr>
                <w:t>Преамбюл</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37" w:anchor="rapportroi" w:history="1">
              <w:r w:rsidR="000F54ED">
                <w:rPr>
                  <w:rFonts w:ascii="Times New Roman" w:hAnsi="Times New Roman"/>
                  <w:b/>
                  <w:color w:val="0000FF"/>
                  <w:sz w:val="24"/>
                  <w:u w:val="single"/>
                </w:rPr>
                <w:t>Доклад до краля</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38" w:anchor="tablematiere" w:history="1">
              <w:r w:rsidR="000F54ED">
                <w:rPr>
                  <w:rFonts w:ascii="Times New Roman" w:hAnsi="Times New Roman"/>
                  <w:b/>
                  <w:color w:val="0000FF"/>
                  <w:sz w:val="24"/>
                  <w:u w:val="single"/>
                </w:rPr>
                <w:t>Съдържание</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2404F6" w:rsidP="005F0E16">
            <w:pPr>
              <w:spacing w:after="0" w:line="240" w:lineRule="auto"/>
              <w:jc w:val="center"/>
              <w:rPr>
                <w:rFonts w:ascii="Times New Roman" w:eastAsia="Times New Roman" w:hAnsi="Times New Roman" w:cs="Times New Roman"/>
                <w:sz w:val="24"/>
                <w:szCs w:val="24"/>
              </w:rPr>
            </w:pPr>
            <w:hyperlink r:id="rId39" w:tgtFrame="_blank" w:history="1">
              <w:r w:rsidR="000F54ED">
                <w:rPr>
                  <w:rFonts w:ascii="Times New Roman" w:hAnsi="Times New Roman"/>
                  <w:b/>
                  <w:color w:val="FF0000"/>
                  <w:sz w:val="24"/>
                  <w:u w:val="single"/>
                </w:rPr>
                <w:t>Нидерландска версия</w:t>
              </w:r>
            </w:hyperlink>
          </w:p>
        </w:tc>
      </w:tr>
    </w:tbl>
    <w:p w14:paraId="69361C9E" w14:textId="77777777" w:rsidR="00493F25" w:rsidRDefault="00493F25" w:rsidP="00EE6A8B"/>
    <w:sectPr w:rsidR="00493F25" w:rsidSect="00CD028E">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2717" w14:textId="77777777" w:rsidR="002404F6" w:rsidRDefault="002404F6" w:rsidP="008B1271">
      <w:pPr>
        <w:spacing w:after="0" w:line="240" w:lineRule="auto"/>
      </w:pPr>
      <w:r>
        <w:separator/>
      </w:r>
    </w:p>
  </w:endnote>
  <w:endnote w:type="continuationSeparator" w:id="0">
    <w:p w14:paraId="48C9D053" w14:textId="77777777" w:rsidR="002404F6" w:rsidRDefault="002404F6" w:rsidP="008B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C60D" w14:textId="77777777" w:rsidR="008B1271" w:rsidRDefault="008B1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81D0" w14:textId="77777777" w:rsidR="008B1271" w:rsidRDefault="008B1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8F6E" w14:textId="77777777" w:rsidR="008B1271" w:rsidRDefault="008B1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95FB" w14:textId="77777777" w:rsidR="002404F6" w:rsidRDefault="002404F6" w:rsidP="008B1271">
      <w:pPr>
        <w:spacing w:after="0" w:line="240" w:lineRule="auto"/>
      </w:pPr>
      <w:r>
        <w:separator/>
      </w:r>
    </w:p>
  </w:footnote>
  <w:footnote w:type="continuationSeparator" w:id="0">
    <w:p w14:paraId="45B68644" w14:textId="77777777" w:rsidR="002404F6" w:rsidRDefault="002404F6" w:rsidP="008B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8703" w14:textId="77777777" w:rsidR="008B1271" w:rsidRDefault="008B1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29C2" w14:textId="77777777" w:rsidR="008B1271" w:rsidRDefault="008B1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9100" w14:textId="77777777" w:rsidR="008B1271" w:rsidRDefault="008B1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2404F6"/>
    <w:rsid w:val="00493F25"/>
    <w:rsid w:val="005F0E16"/>
    <w:rsid w:val="008B1271"/>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1271"/>
  </w:style>
  <w:style w:type="paragraph" w:styleId="Footer">
    <w:name w:val="footer"/>
    <w:basedOn w:val="Normal"/>
    <w:link w:val="FooterChar"/>
    <w:uiPriority w:val="99"/>
    <w:unhideWhenUsed/>
    <w:rsid w:val="008B12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eli/arrete/2023/03/14/2023041247/justel"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hyperlink" Target="https://www.ejustice.just.fgov.be/cgi_loi/change_lg.pl?language=nl&amp;la=N&amp;cn=2023031404&amp;table_name=wet" TargetMode="Externa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www.ejustice.just.fgov.be/eli/arrete/2023/03/14/2023041247/justel" TargetMode="External"/><Relationship Id="rId2" Type="http://schemas.openxmlformats.org/officeDocument/2006/relationships/settings" Target="settings.xml"/><Relationship Id="rId16" Type="http://schemas.openxmlformats.org/officeDocument/2006/relationships/hyperlink" Target="https://www.ejustice.just.fgov.be/img_l/pdf/2023/03/14/2023041247_F.pdf"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eli/arrete/2023/03/14/2023041247/juste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ejustice.just.fgov.be/mopdf/2023/03/24_1.pdf"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cgi_loi/change_lg.pl?language=nl&amp;la=N&amp;cn=2023031404&amp;table_name=wet"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43" Type="http://schemas.openxmlformats.org/officeDocument/2006/relationships/footer" Target="footer2.xm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 Id="rId12" Type="http://schemas.openxmlformats.org/officeDocument/2006/relationships/hyperlink" Target="https://www.ejustice.just.fgov.be/eli/arrete/2023/03/14/2023041247/justel"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hyperlink" Target="https://www.ejustice.just.fgov.be/eli/arrete/2023/03/14/2023041247/justel" TargetMode="External"/><Relationship Id="rId46" Type="http://schemas.openxmlformats.org/officeDocument/2006/relationships/fontTable" Target="fontTable.xml"/><Relationship Id="rId20" Type="http://schemas.openxmlformats.org/officeDocument/2006/relationships/hyperlink" Target="https://www.ejustice.just.fgov.be/eli/arrete/2023/03/14/2023041247/justel" TargetMode="External"/><Relationship Id="rId41"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2817</Words>
  <Characters>16903</Characters>
  <Application>Microsoft Office Word</Application>
  <DocSecurity>0</DocSecurity>
  <Lines>444</Lines>
  <Paragraphs>212</Paragraphs>
  <ScaleCrop>false</ScaleCrop>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2023-04-25T10:59:00Z</dcterms:created>
  <dcterms:modified xsi:type="dcterms:W3CDTF">2023-04-25T10:59:00Z</dcterms:modified>
</cp:coreProperties>
</file>