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Belgian kuningaskunta</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KANSANTERVEYDESTÄ, ELINTARVIKEKETJUN TURVALLISUUDESTA JA YMPÄRISTÖSTÄ VASTAAVA LIITTOVALTION VIRASTO</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Kuninkaan asetus sähkösavukkeiden valmistuksesta ja markkinoille saattamisesta 28 päivänä lokakuuta 2016 annetun kuninkaan asetuksen muuttamisesta</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Belgian kuningas,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tervehtii kaikkia nyt ja vastaisuudessa eläviä.</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Ottaen huomioon kuluttajien terveyden suojelusta elintarvikkeiden ja muiden tuotteiden osalta 24 päivänä tammikuuta 1977 annetun lain ja erityisesti sen 6 §:n 1 momentin a kohdan, sellaisena kuin se on muutettuna 22 päivänä maaliskuuta 1989 annetulla lailla, 10 §:n 1 momentin, sellaisena kuin se on korvattuna 9 päivänä helmikuuta 1994 annetulla lailla, 10 §:n 3 momentin, sellaisena kuin se on korvattuna 10 päivänä huhtikuuta 2014 annetulla lailla, sekä 18 §:n 1 momentin, sellaisena kuin se on korvattuna 22 päivänä maaliskuuta 1989 annetulla lailla ja muutettuna 22 päivänä joulukuuta 2003 annetulla lailla;</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ottaen huomioon sähkösavukkeiden valmistuksesta ja markkinoille saattamisesta 28 päivänä lokakuuta 2016 annetun kuninkaan asetuksen;</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ottaen huomioon [</w:t>
            </w:r>
            <w:r>
              <w:rPr>
                <w:sz w:val="22"/>
                <w:highlight w:val="yellow"/>
                <w:rFonts w:ascii="Garamond" w:hAnsi="Garamond"/>
              </w:rPr>
              <w:t xml:space="preserve">päivämäärä</w:t>
            </w:r>
            <w:r>
              <w:rPr>
                <w:sz w:val="22"/>
                <w:rFonts w:ascii="Garamond" w:hAnsi="Garamond"/>
              </w:rPr>
              <w:t xml:space="preserve">] annetun valtion tilintarkastajan lausunnon;</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ottaen huomioon korkeimmasta hallinto-oikeudesta annettujen, 12 päivänä tammikuuta 1973 koonnettujen lakien 84 §:n 1 momentin 1 kohdan 2°alakohdan mukaisesti [</w:t>
            </w:r>
            <w:r>
              <w:rPr>
                <w:sz w:val="22"/>
                <w:highlight w:val="yellow"/>
                <w:rFonts w:ascii="Garamond" w:hAnsi="Garamond"/>
              </w:rPr>
              <w:t xml:space="preserve">päivämäärä</w:t>
            </w:r>
            <w:r>
              <w:rPr>
                <w:sz w:val="22"/>
                <w:rFonts w:ascii="Garamond" w:hAnsi="Garamond"/>
              </w:rPr>
              <w:t xml:space="preserve">] annetun korkeimman hallinto-oikeuden lausunnon </w:t>
            </w:r>
            <w:r>
              <w:rPr>
                <w:sz w:val="22"/>
                <w:highlight w:val="yellow"/>
                <w:rFonts w:ascii="Garamond" w:hAnsi="Garamond"/>
              </w:rPr>
              <w:t xml:space="preserve">...</w:t>
            </w:r>
            <w:r>
              <w:rPr>
                <w:sz w:val="22"/>
                <w:rFonts w:ascii="Garamond" w:hAnsi="Garamond"/>
              </w:rPr>
              <w:t xml:space="preserve"> ja</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talousministerin, kansanterveysministerin ja vapaista ammateista vastaavan ministerin ehdotuksesta</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OLEN SÄÄTÄNYT JA SÄÄDÄN SEURAAVAA:</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1 §.</w:t>
            </w:r>
            <w:r>
              <w:rPr>
                <w:sz w:val="22"/>
                <w:rFonts w:ascii="Garamond" w:hAnsi="Garamond"/>
              </w:rPr>
              <w:t xml:space="preserve"> </w:t>
            </w:r>
            <w:r>
              <w:rPr>
                <w:sz w:val="22"/>
                <w:rFonts w:ascii="Garamond" w:hAnsi="Garamond"/>
              </w:rPr>
              <w:t xml:space="preserve">Muutetaan sähkösavukkeiden valmistuksesta ja markkinoille saattamisesta 28 päivänä lokakuuta 2016 annetun kuninkaan asetuksen 2 § seuraavasti:</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lisätään 1 kohdassa ilmaisun ”nikotiinipitoista” ja ilmaisun ”höyryä” väliin ilmaisu ”tai nikotiinitonta”;</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lisätään 2°/1 kohta seuraavasti:</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nikotiiniton täyttösäiliö: nikotiinitonta nestettä sisältävää astiaa, jota voidaan käyttää sähkösavukkeen täyttämiseen;”;</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lisätään 10°/1 kohta seuraavasti:</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rajatylittävä etämyynti: etämyynti kuluttajille, jossa kuluttaja on tuotetta vähittäismyyntiliikkeestä tilatessaan muussa jäsenvaltiossa kuin siinä jäsenvaltiossa tai kolmannessa maassa, johon vähittäismyyntiliike on sijoittautuneena;</w:t>
            </w:r>
            <w:r>
              <w:rPr>
                <w:sz w:val="22"/>
                <w:rFonts w:ascii="Garamond" w:hAnsi="Garamond"/>
              </w:rPr>
              <w:t xml:space="preserve"> </w:t>
            </w:r>
            <w:r>
              <w:rPr>
                <w:sz w:val="22"/>
                <w:rFonts w:ascii="Garamond" w:hAnsi="Garamond"/>
              </w:rPr>
              <w:t xml:space="preserve">vähittäismyyntiliikkeen katsotaan olevan sijoittautuneena jäsenvaltiossa:</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luonnollisen henkilön tapauksessa: jos liiketoimipaikka on kyseisessä jäsenvaltiossa;</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muussa tapauksessa: jos vähittäismyyntiliikkeellä on sääntömääräinen kotipaikka, hallinnollinen päätoimipaikka tai liiketoimipaikka, mukaan luettuna sivutoimipaikka, edustaja tai jokin muu toimipaikka, kyseisessä jäsenvaltiossa;”;</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korvataan 13 kohta seuraavasti:</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maahantuoja: Euroopan unionin alueelle tuotujen sähkösavukkeiden, täyttösäiliöiden ja nikotiinittomien täyttösäiliöiden omistaja tai henkilö, jolla on niihin määräämisoikeus;”;</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lisätään 13°/1 kohta seuraavasti:</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maahantuoja Belgiassa:</w:t>
            </w:r>
            <w:r>
              <w:rPr>
                <w:sz w:val="22"/>
                <w:rFonts w:ascii="Garamond" w:hAnsi="Garamond"/>
              </w:rPr>
              <w:t xml:space="preserve">  </w:t>
            </w:r>
            <w:r>
              <w:rPr>
                <w:sz w:val="22"/>
                <w:rFonts w:ascii="Garamond" w:hAnsi="Garamond"/>
              </w:rPr>
              <w:t xml:space="preserve">Belgian alueelle tuotujen sähkösavukkeiden, täyttösäiliöiden ja nikotiinittomien täyttösäiliöiden omistaja tai henkilö, jolla on niihin määräämisoikeus;”;</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täydennetään luetteloa 18, 19 ja 20 kohdalla seuraavasti:</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terveysvaroitus: tuotteen haitallisia vaikutuksia ihmisten terveydelle koskeva tai tuotteen kulutuksen muuta ei-toivottua seurausta koskeva varoitus;</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maku- ja aromiaine: lisäaine, joka antaa tuoksua ja/tai makua;</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vähittäismyyntiliike: liike, jossa sähkösavukkeet, täyttösäiliöt ja nikotiinittomat täyttösäiliöt saatetaan markkinoille, mukaan luettuna luonnollisen henkilön toimesta.”.</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2 §.</w:t>
            </w:r>
            <w:r>
              <w:rPr>
                <w:sz w:val="22"/>
                <w:rFonts w:ascii="Garamond" w:hAnsi="Garamond"/>
              </w:rPr>
              <w:t xml:space="preserve"> </w:t>
            </w:r>
            <w:r>
              <w:rPr>
                <w:sz w:val="22"/>
                <w:rFonts w:ascii="Garamond" w:hAnsi="Garamond"/>
              </w:rPr>
              <w:t xml:space="preserve">Korvataan saman asetuksen, sellaisena kuin se on muutettuna 17 päivänä toukokuuta 2017 annetulla kuninkaan asetuksella, 3 § seuraavasti:</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 Ilmoitus</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Sähkösavukkeiden ja täyttösäiliöiden markkinoille saattamisesta on ilmoitettava virastolle.</w:t>
            </w:r>
            <w:r>
              <w:rPr>
                <w:sz w:val="22"/>
                <w:rFonts w:ascii="Garamond" w:hAnsi="Garamond"/>
              </w:rPr>
              <w:t xml:space="preserve"> </w:t>
            </w:r>
            <w:r>
              <w:rPr>
                <w:sz w:val="22"/>
                <w:rFonts w:ascii="Garamond" w:hAnsi="Garamond"/>
              </w:rPr>
              <w:t xml:space="preserve">Valmistajan, maahantuojan tai maahantuojan Belgiassa, jos kahdella ensimmäisellä ei ole sääntömääräistä kotipaikkaa Belgiassa eivätkä ne ole ilmoittaneet tuotteesta, on ilmoitettava virastolle sähkösavukkeista ja täyttösäiliöistä, jotka se aikoo saattaa markkinoille.</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Kyseinen ilmoitus on toimitettava sähköisessä muodossa kuusi kuukautta ennen suunniteltua markkinoille saattamispäivää.</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Ilmoituksen on sisällettävä seuraavat tiedot sen mukaan, liittyykö se sähkösavukkeeseen vai täyttösäiliöön:</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valmistajan, maahantuojan ja maahantuojan Belgiassa nimi ja yhteystiedot;</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luettelo kaikista tuotteen sisältämistä ainesosista ja sen käytöstä aiheutuvista päästöistä tuotemerkin ja -tyypin mukaan, mukaan lukien ainesosien ja päästöjen määrät;</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tuotteen ainesosien ja päästöjen toksikologiset tiedot, myös kuumennettujen ainesosien tapauksessa, viitaten erityisesti vaikutuksiin, joita niistä aiheutuu kuluttajien terveydelle niitä hengitettäessä, ja ottaen huomioon muun muassa mahdollinen riippuvuutta aiheuttava vaikutus;</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tiedot nikotiinin annostuksesta ja imeytymisestä, kun tuotetta käytetään tavanomaisissa tai kohtuudella ennakoitavissa olevissa oloissa;</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kuvaus tuotteen komponenteista, mukaan lukien tarvittaessa sähkösavukkeen tai täyttösäiliön avaus- ja täyttömekanismi;</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kuvaus tuotantoprosessista, mukaan lukien tieto siitä, onko kyseessä sarjatuotanto, ja ilmoitus siitä, että tuotantoprosessissa varmistetaan tämän pykälän vaatimusten noudattaminen;</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ilmoitus siitä, että valmistaja, maahantuoja ja maahantuoja Belgiassa kantavat täyden vastuun tuotteen laadusta ja turvallisuudesta, kun se saatetaan markkinoille ja kun sitä käytetään tavanomaisissa tai kohtuudella ennakoitavissa olevissa oloissa;</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vähittäismyyntipakkausten ja myyntipäällysten merkinnät sekä tämän asetuksen 5 §:n 9 momentin mukainen lehtisen sisältö.</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Jos virasto katsoo, että toimitetut tiedot ovat puutteellisia, sillä on oikeus pyytää niiden täydentämistä.</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Tämän pykälän 3 momentin mukaisesti toimitetut tuotetiedot julkaistaan viraston verkkosivustolla, kun virasto katsoo, että ne ovat täydelliset, ja tämän pykälän 7 momentissa tarkoitettu lasku on maksettu.</w:t>
            </w:r>
            <w:r>
              <w:rPr>
                <w:sz w:val="22"/>
                <w:rFonts w:ascii="Garamond" w:hAnsi="Garamond"/>
              </w:rPr>
              <w:t xml:space="preserve"> </w:t>
            </w:r>
            <w:r>
              <w:rPr>
                <w:sz w:val="22"/>
                <w:rFonts w:ascii="Garamond" w:hAnsi="Garamond"/>
              </w:rPr>
              <w:t xml:space="preserve">Tuotteita, jotka eivät ole viraston verkkosivustolla julkaistussa hyväksyttyjen tuotteiden luettelossa, ei voida saattaa markkinoille.</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Tietoja annettaessa tiedot, jotka ovat liikesalaisuuksia tai jollakin muulla tavoin luottamuksellisia, on merkittävä.</w:t>
            </w:r>
            <w:r>
              <w:rPr>
                <w:sz w:val="22"/>
                <w:rFonts w:ascii="Garamond" w:hAnsi="Garamond"/>
              </w:rPr>
              <w:t xml:space="preserve"> </w:t>
            </w:r>
            <w:r>
              <w:rPr>
                <w:sz w:val="22"/>
                <w:rFonts w:ascii="Garamond" w:hAnsi="Garamond"/>
              </w:rPr>
              <w:t xml:space="preserve">Nämä väitteet on perusteltava pyydettäessä.</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Seuraavia tietoja ei pidetä luottamuksellisina tai liikesalaisuuksina:</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ainesosat, joita käytetään yli 0,1 prosentin suuruisina määrinä nesteen lopullisesta koostumuksesta;</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tämän pykälän mukaisesti toimitetut tutkimukset ja tiedot, erityisesti toksisuudesta ja riippuvuutta aiheuttavista ominaisuuksista.</w:t>
            </w:r>
            <w:r>
              <w:rPr>
                <w:sz w:val="22"/>
                <w:rFonts w:ascii="Garamond" w:hAnsi="Garamond"/>
              </w:rPr>
              <w:t xml:space="preserve"> </w:t>
            </w:r>
            <w:r>
              <w:rPr>
                <w:sz w:val="22"/>
                <w:rFonts w:ascii="Garamond" w:hAnsi="Garamond"/>
              </w:rPr>
              <w:t xml:space="preserve">Jos nämä tutkimukset liittyvät tiettyyn tuotemerkkiin, suorat ja epäsuorat viittaukset tuotemerkkiin on poistettava ja saataville on asetettava editoitu versio.</w:t>
            </w:r>
            <w:r>
              <w:rPr>
                <w:sz w:val="22"/>
                <w:rFonts w:ascii="Garamond" w:hAnsi="Garamond"/>
              </w:rPr>
              <w:t xml:space="preserve"> </w:t>
            </w:r>
            <w:r>
              <w:rPr>
                <w:sz w:val="22"/>
                <w:rFonts w:ascii="Garamond" w:hAnsi="Garamond"/>
              </w:rPr>
              <w:t xml:space="preserve">Ilmoituksen tekevän henkilön on toimitettava virastolle täydelliset tutkimukset ja tiedot sekä editoitu versio.</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Henkilön, joka tekee ilmoituksen virastolle 1–4 momentin mukaisesti, on maksettava 200 euron maksu tuotetta kohden raaka-aineita ja tuotteita koskevaan talousarviorahastoon.</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Maksu on maksettava 30 päivän kuluessa laskun lähettämisestä.</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Maksu on maksettava heti, kun tiedot on syötetty ministerin 3 §:n 13 momentin nojalla määrittämään ilmoitusjärjestelmään</w:t>
            </w:r>
            <w:r>
              <w:rPr>
                <w:sz w:val="22"/>
                <w:rFonts w:ascii="Garamond" w:hAnsi="Garamond"/>
              </w:rPr>
              <w:t xml:space="preserve">, ja maksua ei voida periä takaisin.</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Valmistajan, maahantuojan tai maahantuojan Belgiassa, jos kahdella ensimmäisellä ei ole sääntömääräistä kotipaikkaa Belgiassa eivätkä ne ole ilmoittaneet tuotteesta, on toimitettava uudet vastaavat tiedot jokaisesta tuotteen muutoksesta, josta seuraa 1–4 momentin mukaisesti toimitettujen tietojen muuttuminen.</w:t>
            </w:r>
            <w:r>
              <w:rPr>
                <w:sz w:val="22"/>
                <w:rFonts w:ascii="Garamond" w:hAnsi="Garamond"/>
              </w:rPr>
              <w:t xml:space="preserve"> </w:t>
            </w:r>
            <w:r>
              <w:rPr>
                <w:sz w:val="22"/>
                <w:rFonts w:ascii="Garamond" w:hAnsi="Garamond"/>
              </w:rPr>
              <w:t xml:space="preserve">Näitä muutoksia pidetään merkittävinä muutoksina, lukuun ottamatta viraston pyytämiä muutoksia, yhteystietojen muutoksia ja edellisen vuoden myyntimääriä koskevien tietojen syöttöä tämän pykälän 10 momentin mukaisesti.</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Henkilön, joka toimittaa virastolle merkittävän muutoksen 8 momentin nojalla, on maksettava 100 euron maksu tuotetta kohden raaka-aineita ja tuotteita koskevaan talousarviorahastoon.</w:t>
            </w:r>
            <w:r>
              <w:rPr>
                <w:sz w:val="22"/>
                <w:rFonts w:ascii="Garamond" w:hAnsi="Garamond"/>
              </w:rPr>
              <w:t xml:space="preserve"> </w:t>
            </w:r>
            <w:r>
              <w:rPr>
                <w:sz w:val="22"/>
                <w:rFonts w:ascii="Garamond" w:hAnsi="Garamond"/>
              </w:rPr>
              <w:t xml:space="preserve">Maksu on maksettava 30 päivän kuluessa laskun lähettämisestä.</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Maksu on maksettava heti, kun tietoja on muutettu ministerin 3 §:n 13 momentin mukaisesti määrittämässä ilmoitusjärjestelmässä, eikä sitä voida periä takaisin.</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Valmistajan, maahantuojan tai maahantuojan Belgiassa, jos kahdella ensimmäisellä ei ole sääntömääräistä kotipaikkaa Belgiassa eivätkä ne ole ilmoittaneet tuotteesta, on toimitettava virastolle vuosittain viimeistään maaliskuun ensimmäiseen päivään mennessä seuraavat tiedot:</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kattavat tiedot edellisen vuoden myyntimääristä tuotemerkin ja -tyypin mukaan;</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tiedot eri kuluttajaryhmien, muun muassa nuorten, tupakoimattomien ja tärkeimpien nykyisten käyttäjätyyppien mieltymyksistä;</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tuotteiden myyntitapa;</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tiivistelmät edellä mainittuja seikkoja koskevista mahdollisista markkinatutkimuksista sekä tiivistelmien englanninkielinen käännös.</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Henkilön, joka toimittaa virastolle vuotuiset tiedot 10 momentin nojalla, on maksettava 50 euron maksu tuotetta kohden raaka-aineita ja tuotteita koskevaan talousarviorahastoon.</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Maksu on maksettava 30 päivän kuluessa laskun lähettämisestä.</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Maksu on maksettava heti, kun tiedot on syötetty ministerin 3 §:n 13 momentin nojalla määrittämään ilmoitusjärjestelmään, eikä sitä voida periä takaisin.</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Valmistajan, maahantuojan tai maahantuojan Belgiassa, jos kahdella ensimmäisellä ei ole sääntömääräistä kotipaikkaa Belgiassa, on perustettava järjestelmä, jonka avulla kerätään tietoja kaikista näiden tuotteiden epäillyistä haittavaikutuksista ihmisten terveydelle, ja pidettävä sitä yllä.</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Jos jokin näistä talouden toimijoista katsoo tai sillä on syytä uskoa, että sen hallussa olevat ja markkinoille saatettavaksi tarkoitetut tai markkinoille saatetut sähkösavukkeet tai täyttösäiliöt eivät ole turvallisia tai laadukkaita tai muuten tämän asetuksen mukaisia, sen on ryhdyttävä välittömästi tapauksen mukaan tarpeellisiin korjaaviin toimiin kyseisen tuotteen saattamiseksi tämän asetuksen vaatimusten mukaiseksi, sen poistamiseksi markkinoilta tai sitä koskevan palautusmenettelyn järjestämiseksi.</w:t>
            </w:r>
            <w:r>
              <w:rPr>
                <w:sz w:val="22"/>
                <w:rFonts w:ascii="Garamond" w:hAnsi="Garamond"/>
              </w:rPr>
              <w:t xml:space="preserve"> </w:t>
            </w:r>
            <w:r>
              <w:rPr>
                <w:sz w:val="22"/>
                <w:rFonts w:ascii="Garamond" w:hAnsi="Garamond"/>
              </w:rPr>
              <w:t xml:space="preserve">Sellaisissa tapauksissa talouden toimijan on myös välittömästi ilmoitettava asiasta virastolle ja annettava yksityiskohtaiset tiedot erityisesti ihmisten terveyttä ja turvallisuutta koskevista riskistä sekä mahdollisesta korjaavasta toimesta ja sen tuloksista.</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Lisäksi virasto voi pyytää talouden toimijoilta lisätietoja esimerkiksi sähkösavukkeiden ja täyttösäiliöiden turvallisuus- ja laatunäkökohdista tai mahdollisista haittavaikutuksista.</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Ministeri voi täsmentää tässä pykälässä tarkoitettujen tietojen toimittamisen ja saataville asettamisen mallin sekä tässä pykälässä edellytettyjen tietojen toimittamistavan.</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3 §.</w:t>
            </w:r>
            <w:r>
              <w:rPr>
                <w:sz w:val="22"/>
                <w:rFonts w:ascii="Garamond" w:hAnsi="Garamond"/>
              </w:rPr>
              <w:t xml:space="preserve"> </w:t>
            </w:r>
            <w:r>
              <w:rPr>
                <w:sz w:val="22"/>
                <w:rFonts w:ascii="Garamond" w:hAnsi="Garamond"/>
              </w:rPr>
              <w:t xml:space="preserve">Korvataan saman asetuksen 4 § seuraavasti:</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”4 §. Koostumus ja tekniset standardit</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Nikotiinia sisältävää nestettä saa saattaa markkinoille ainoastaan</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erityisissä tilavuudeltaan enintään 10 millilitran täyttösäiliöissä;</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kertakäyttöisissä patruunoissa.</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Patruunoiden tai säiliöiden tilavuus saa olla enintään 2 millilitraa.</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Kertakäyttöiset sähkösavukkeet ovat kiellettyjä.</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Markkinoille ei saa saattaa sähkösavukkeita, joilla on houkuttelevia ominaisuuksia, jotka eivät ole hyödyllisiä laitteen käytön kannalta.</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Nikotiinia sisältävän nesteen nikotiinipitoisuus on enintään 20 milligrammaa millilitrassa.</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Nikotiinia sisältävä neste ei sisällä seuraavia lisäaineita:</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vitamiinit tai muut lisäaineet, jotka luovat vaikutelman, että sähkösavukkeella on terveysvaikutuksia tai sen aiheuttama terveysriski on alhaisempi;</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kofeiini tai tauriini sekä muut lisäaineet ja piristeet, jotka yhdistetään energiaan ja elinvoimaan;</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lisäaineet, joilla on päästöjä värjääviä ominaisuuksia;</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lisäaineet, joilla on CMR-ominaisuuksia polttamattomassa muodossa.</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Ministeri laatii luettelon muista kielletyistä lisäaineista ja/tai luettelon sallituista lisäaineista.</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Nikotiinia sisältävän nesteen valmistuksessa käytetään vain puhtaita ainesosia.</w:t>
            </w:r>
            <w:r>
              <w:rPr>
                <w:sz w:val="22"/>
                <w:rFonts w:ascii="Garamond" w:hAnsi="Garamond"/>
              </w:rPr>
              <w:t xml:space="preserve"> </w:t>
            </w:r>
            <w:r>
              <w:rPr>
                <w:sz w:val="22"/>
                <w:rFonts w:ascii="Garamond" w:hAnsi="Garamond"/>
              </w:rPr>
              <w:t xml:space="preserve">Muita kuin 3 §:n 3 momentin 2 kohdassa tarkoitettuja ainesosia esiintyy nikotiinia sisältävässä nesteessä ainoastaan jääminä, jollei jäämiä voida teknisesti välttää valmistuksen aikana.</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Nikotiinia lukuun ottamatta nikotiinia sisältävässä nesteessä käytetään ainoastaan ihmisten terveydelle vaarattomia ainesosia kuumennetussa tai kuumentamattomassa muodossa.</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Nikotiini vapautuu tasaisesti sähkösavukkeista tavanomaisissa käyttöolosuhteissa.</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Sähkösavukkeet ja täyttösäiliöt suojataan lapsilta ja väärinkäytöltä;</w:t>
            </w:r>
            <w:r>
              <w:rPr>
                <w:sz w:val="22"/>
                <w:rFonts w:ascii="Garamond" w:hAnsi="Garamond"/>
              </w:rPr>
              <w:t xml:space="preserve"> </w:t>
            </w:r>
            <w:r>
              <w:rPr>
                <w:sz w:val="22"/>
                <w:rFonts w:ascii="Garamond" w:hAnsi="Garamond"/>
              </w:rPr>
              <w:t xml:space="preserve">ne suojataan rikkoutumiselta ja vuodoilta ja niissä on vuotamattoman täytön varmistava mekanismi.</w:t>
            </w:r>
            <w:r>
              <w:rPr>
                <w:sz w:val="22"/>
                <w:rFonts w:ascii="Garamond" w:hAnsi="Garamond"/>
              </w:rPr>
              <w:t xml:space="preserve"> </w:t>
            </w:r>
            <w:r>
              <w:rPr>
                <w:sz w:val="22"/>
                <w:rFonts w:ascii="Garamond" w:hAnsi="Garamond"/>
              </w:rPr>
              <w:t xml:space="preserve">Ne ovat standardin ISO 8317:2003 mukaisia.</w:t>
            </w:r>
            <w:r>
              <w:rPr>
                <w:sz w:val="22"/>
                <w:rFonts w:ascii="Garamond" w:hAnsi="Garamond"/>
              </w:rPr>
              <w:t xml:space="preserve"> </w:t>
            </w:r>
            <w:r>
              <w:rPr>
                <w:sz w:val="22"/>
                <w:rFonts w:ascii="Garamond" w:hAnsi="Garamond"/>
              </w:rPr>
              <w:t xml:space="preserve">Ministeri määrittää täyttömekanismin tekniset standardit.</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Ministeri määrittää standardit ja analyysimenetelmät, joita käytetään tämän pykälän koostumusta ja päästöjä koskevien säännösten täytäntöönpanon tarkastamiseen.</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4 §.</w:t>
            </w:r>
            <w:r>
              <w:rPr>
                <w:sz w:val="22"/>
                <w:b/>
                <w:rFonts w:ascii="Garamond" w:hAnsi="Garamond"/>
              </w:rPr>
              <w:t xml:space="preserve"> </w:t>
            </w:r>
            <w:r>
              <w:rPr>
                <w:sz w:val="22"/>
                <w:rFonts w:ascii="Garamond" w:hAnsi="Garamond"/>
              </w:rPr>
              <w:t xml:space="preserve">Korvataan saman asetuksen 5 § seuraavasti:</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”5 §. Pakkausmerkinnät</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Kussakin sähkösavukkeen tai täyttösäiliön vähittäismyyntipakkauksessa ja mahdollisessa myyntipäällyksessä on oltava tässä pykälässä säädetty terveysvaroitus hollanniksi, ranskaksi ja saksaksi.</w:t>
            </w:r>
            <w:r>
              <w:rPr>
                <w:sz w:val="22"/>
                <w:rFonts w:ascii="Garamond" w:hAnsi="Garamond"/>
              </w:rPr>
              <w:t xml:space="preserve"> </w:t>
            </w:r>
            <w:r>
              <w:rPr>
                <w:sz w:val="22"/>
                <w:rFonts w:ascii="Garamond" w:hAnsi="Garamond"/>
              </w:rPr>
              <w:t xml:space="preserve">Kukin kieli on painettava uudelle riville.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Terveysvaroituksen on peitettävä kokonaan sille varattu vähittäismyyntipakkauksen tai myyntipäällyksen pinta. Sitä ei saa kommentoida, muuttaa tai esittää viittauksenomaisesti.</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Vähittäismyyntipakkauksessa tai mahdollisessa myyntipäällyksessä olevan terveysvaroituksen on oltava painettu pysyvästi niin, että sitä ei voi irrottaa, ja että se on näkyvissä.</w:t>
            </w:r>
            <w:r>
              <w:rPr>
                <w:sz w:val="22"/>
                <w:rFonts w:ascii="Garamond" w:hAnsi="Garamond"/>
              </w:rPr>
              <w:t xml:space="preserve"> </w:t>
            </w:r>
            <w:r>
              <w:rPr>
                <w:sz w:val="22"/>
                <w:rFonts w:ascii="Garamond" w:hAnsi="Garamond"/>
              </w:rPr>
              <w:t xml:space="preserve">Mikään veromerkki, hintamerkintä, turvaominaisuus, kääre, päällys, laatikko tai muu seikka ei peitä näitä sitä osittain tai kokonaan taikka häiritse sen lukemista.</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Terveysvaroitus ei saa rikkoutua vähittäismyyntipakkauksen avaamisen yhteydessä.</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Terveysvaroitus on kehystettävä mustalla rajauksella, joka on leveydeltään yksi millimetri; kyseisen rajauksen on oltava varoitukselle varatun pinta-alan sisäpuolella.</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Sähkösavukkeiden ja täyttösäiliöiden vähittäismyyntipakkauksissa ja mahdollisissa myyntipäällysteissä on oltava seuraava terveysvaroitus:</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[Tämä tuote sisältää nikotiinia, joka on voimakkaasti riippuvuutta aiheuttava aine.</w:t>
            </w:r>
            <w:r>
              <w:rPr>
                <w:sz w:val="22"/>
                <w:rFonts w:ascii="Garamond" w:hAnsi="Garamond"/>
              </w:rPr>
              <w:t xml:space="preserve"> </w:t>
            </w:r>
            <w:r>
              <w:rPr>
                <w:sz w:val="22"/>
                <w:rFonts w:ascii="Garamond" w:hAnsi="Garamond"/>
              </w:rPr>
              <w:t xml:space="preserve">Sitä ei suositella tupakoimattomille.]</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Terveysvaroituksen on täytettävä seuraavat vaatimukset:</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se on näyttävä vähittäismyyntipakkauksen ja mahdollisen myyntipäällyksen kahdella suurimmalla pinnalla.</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Suorakulmaisissa vähittäismyyntipakkauksissa, joissa on neljä samankokoista pintaa, varoituksen on näyttävä kahdella vastakkaisella pinnalla, joista toinen on tuotemerkin esittelevä pääpinta.</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Lieriömäisissä vähittäismyyntipakkauksissa terveysvaroitus näkyy vain kerran ja kattaa koko ympärysmitan;</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sen on katettava 35 prosenttia vähittäismyyntipakkauksen ja mahdollisen myyntipäällyksen pinnasta;</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sen on sijaittava vähittäismyyntipakkauksen ja mahdollisen myyntipäällyksen pinnan alareunassa, ja suorakulmaisissa vähittäismyyntipakkauksissa ja mahdollisessa myyntipäällyksessä sen on oltava yhdensuuntainen vähittäismyyntipakkauksen tai myyntipäällyksen sivulaidan kanssa.</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Terveysvaroituksen</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tekstin on oltava yhdensuuntainen tälle terveysvaroitukselle varatulla pinnalla olevan painetun päätekstin kanssa;</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teksti on painettava mustalla lihavoidulla Helvetica-kirjasimella valkoiselle taustalle, ja sen kirjasinkoko on sellainen, että teksti peittää mahdollisimman suuren osan varoitukselle varatusta alueesta vaikuttamatta sen luettavuuteen;</w:t>
            </w:r>
            <w:r>
              <w:rPr>
                <w:sz w:val="22"/>
                <w:rFonts w:ascii="Garamond" w:hAnsi="Garamond"/>
              </w:rPr>
              <w:t xml:space="preserve"> </w:t>
            </w:r>
            <w:r>
              <w:rPr>
                <w:sz w:val="22"/>
                <w:rFonts w:ascii="Garamond" w:hAnsi="Garamond"/>
              </w:rPr>
              <w:t xml:space="preserve">sekä</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tekstin on oltava keskellä sille varattua aluetta.</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Sähkösavukkeiden ja täyttösäiliöiden vähittäismyyntipakkauksissa on oltava vähintään hollannin-, ranskan- ja saksankielinen lehtinen, jossa on tietoa seuraavista:</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tuotteen käyttö- ja varastointiohjeet, mukaan lukien viittaus siihen, että tuotetta ei suositella nuorille ja tupakoimattomille;</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kontraindikaatiot;</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erityisille riskiryhmille suunnatut varoitukset;</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mahdolliset haittavaikutukset;</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riippuvuuden aiheuttaminen ja toksisuus;</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valmistajan tai maahantuojan tai maahantuojan Belgiassa ja unionissa olevan oikeushenkilön tai luonnollisen henkilön yhteystiedot;</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myrkytystietokeskuksen numero.</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Sähkösavukkeiden ja täyttösäiliöiden vähittäismyyntipakkauksissa ja mahdollisessa myyntipäällyksessä on oltava vähintään hollanniksi, ranskaksi ja saksaksi laadittu luettelo, joka sisältää seuraavat:</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kaikki tuotteen sisältämät ainesosat, mukaan lukien makuaineet ja allergeenit, alenevassa painojärjestyksessä;</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maininta tuotteen nikotiinipitoisuudesta ja annostuksesta;</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eränumero, jota edeltää sana ”erä”;</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tekstin tai logon muodossa oleva suositus tuotteen pitämisestä lasten ulottumattomissa;</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ministerin 3 §:n 13 momentin nojalla määrittämän ilmoitusjärjestelmän antama tuotetunnus.</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Täyttösäiliöillä on viimeinen käyttöpäivä.</w:t>
            </w:r>
            <w:r>
              <w:rPr>
                <w:sz w:val="22"/>
                <w:rFonts w:ascii="Garamond" w:hAnsi="Garamond"/>
              </w:rPr>
              <w:t xml:space="preserve"> </w:t>
            </w:r>
            <w:r>
              <w:rPr>
                <w:sz w:val="22"/>
                <w:rFonts w:ascii="Garamond" w:hAnsi="Garamond"/>
              </w:rPr>
              <w:t xml:space="preserve">Täyttösäiliötä, joiden viimeinen käyttöpäivä on kulunut umpeen, ei saa enää saattaa markkinoille.</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Sanotun rajoittamatta 10 momentin soveltamista sähkösavukkeiden ja täyttösäiliöiden vähittäismyyntipakkauksissa ja mahdollisissa myyntipäällysteissä ei saa olla mitään sellaista, joka</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antaa ymmärtää, että tietty sähkösavuke tai täyttösäiliö on vähemmän haitallinen kuin muut tai pyrkii vähentämään joidenkin savun haitallisten osien vaikutusta, tai antaa ymmärtää, että sillä on elinvoimaa ja energiaa lisääviä, parantavia, nuorentavia, luonnollisia tai orgaanisia ominaisuuksia tai että siitä on muuta terveyteen tai elämäntapoihin liittyvää hyötyä;</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muistuttaa elintarviketta tai kosmeettista tuotetta;</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antaa ymmärtää, että tietty sähkösavuke tai täyttösäiliö on parantanut biologista hajoavuutta tai että sillä on muita ympäristöetuja;</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viittaa makuun, tuoksuun, joihinkin aromi- tai makuaineisiin tai muihin lisäaineisiin tai niiden puutteeseen.</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Vähittäismyyntipakkauksissa ja myyntipäällyksissä ei saa tarjota taloudellista etua esimerkiksi painatetuin kupongein, joissa esitetään alennuksia, maksutonta jakelua, kaksi yhden hinnalla -tarjouksia tai vastaavia tarjouksia.</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14.</w:t>
            </w:r>
            <w:r>
              <w:rPr>
                <w:sz w:val="22"/>
                <w:rFonts w:ascii="Garamond" w:hAnsi="Garamond"/>
              </w:rPr>
              <w:t xml:space="preserve"> </w:t>
            </w:r>
            <w:r>
              <w:rPr>
                <w:sz w:val="22"/>
                <w:rFonts w:ascii="Garamond" w:hAnsi="Garamond"/>
              </w:rPr>
              <w:t xml:space="preserve">Edellä olevien 12 ja 13 momentin nojalla kiellettyjä tekijöitä ja piirteitä voivat olla muun muassa tekstit, symbolit, nimet, tavaramerkit taikka kuvalliset tai muut merkit.</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15.</w:t>
            </w:r>
            <w:r>
              <w:rPr>
                <w:sz w:val="22"/>
                <w:rFonts w:ascii="Garamond" w:hAnsi="Garamond"/>
              </w:rPr>
              <w:t xml:space="preserve"> </w:t>
            </w:r>
            <w:r>
              <w:rPr>
                <w:sz w:val="22"/>
                <w:rFonts w:ascii="Garamond" w:hAnsi="Garamond"/>
              </w:rPr>
              <w:t xml:space="preserve">Vähittäismyyntipakkauksessa ja myyntipäällyksessä olevan tuotemerkin ja alatuotemerkin on oltava identtiset niiden merkkien kanssa, jotka on syötetty ministerin 3 §:n 13 momentin nojalla määrittämään ilmoitusjärjestelmään.</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16.</w:t>
            </w:r>
            <w:r>
              <w:rPr>
                <w:sz w:val="22"/>
                <w:rFonts w:ascii="Garamond" w:hAnsi="Garamond"/>
              </w:rPr>
              <w:t xml:space="preserve"> </w:t>
            </w:r>
            <w:r>
              <w:rPr>
                <w:sz w:val="22"/>
                <w:rFonts w:ascii="Garamond" w:hAnsi="Garamond"/>
              </w:rPr>
              <w:t xml:space="preserve">Ministeri voi asettaa tässä pykälässä tarkoitettujen tietojen sisältöä ja esitystapaa koskevia lisäedellytyksiä.</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5 §.</w:t>
            </w:r>
            <w:r>
              <w:rPr>
                <w:sz w:val="22"/>
                <w:rFonts w:ascii="Garamond" w:hAnsi="Garamond"/>
              </w:rPr>
              <w:t xml:space="preserve"> </w:t>
            </w:r>
            <w:r>
              <w:rPr>
                <w:sz w:val="22"/>
                <w:rFonts w:ascii="Garamond" w:hAnsi="Garamond"/>
              </w:rPr>
              <w:t xml:space="preserve">Korvataan saman asetuksen 6 § seuraavasti:</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”6 §.</w:t>
            </w:r>
            <w:r>
              <w:rPr>
                <w:sz w:val="22"/>
                <w:rFonts w:ascii="Garamond" w:hAnsi="Garamond"/>
              </w:rPr>
              <w:t xml:space="preserve"> </w:t>
            </w:r>
            <w:r>
              <w:rPr>
                <w:sz w:val="22"/>
                <w:rFonts w:ascii="Garamond" w:hAnsi="Garamond"/>
              </w:rPr>
              <w:t xml:space="preserve">Sähkösavukkeiden etämyynti</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Sähkösavukkeiden ja täyttösäiliöiden etämyynti kuluttajille ja niitä koskevat kuluttajien etäostot ovat kiellettyjä.</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Poiketen siitä, mitä 1 momentissa säädetään, rajatylittävä etämyynti on sallittua, jos määräjäsenvaltion lainsäädäntö sen sallii.”</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6 §.</w:t>
            </w:r>
            <w:r>
              <w:rPr>
                <w:sz w:val="22"/>
                <w:b/>
                <w:rFonts w:ascii="Garamond" w:hAnsi="Garamond"/>
              </w:rPr>
              <w:t xml:space="preserve">  </w:t>
            </w:r>
            <w:r>
              <w:rPr>
                <w:sz w:val="22"/>
                <w:rFonts w:ascii="Garamond" w:hAnsi="Garamond"/>
              </w:rPr>
              <w:t xml:space="preserve">Lisätään samaan asetukseen 6/1 § seuraavasti:</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”6/1 §.</w:t>
            </w:r>
            <w:r>
              <w:rPr>
                <w:sz w:val="22"/>
                <w:rFonts w:ascii="Garamond" w:hAnsi="Garamond"/>
              </w:rPr>
              <w:t xml:space="preserve"> </w:t>
            </w:r>
            <w:r>
              <w:rPr>
                <w:sz w:val="22"/>
                <w:rFonts w:ascii="Garamond" w:hAnsi="Garamond"/>
              </w:rPr>
              <w:t xml:space="preserve">Nikotiinittomat täyttösäiliöt</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Ilmoittamista koskevan 3 §:n säännöksiä sovelletaan nikotiinittomiin täyttösäiliöihin.</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Koostumusta ja teknisiä standardeja koskevan 4 §:n säännöksiä, lukuun ottamatta 1, 4 ja 8 momenttia, sovelletaan nikotiinittomiin täyttösäiliöihin.</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Edellä olevan 5 §:n säännöksiä, lukuun ottamatta 6 momenttia, sovelletaan nikotiinittomiin täyttösäiliöihin.</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Tämäntyyppisen tuotteen terveysvaroitus on seuraava:</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[Tämä tuote vaarantaa terveytesi.</w:t>
            </w:r>
            <w:r>
              <w:rPr>
                <w:sz w:val="22"/>
                <w:rFonts w:ascii="Garamond" w:hAnsi="Garamond"/>
              </w:rPr>
              <w:t xml:space="preserve"> </w:t>
            </w:r>
            <w:r>
              <w:rPr>
                <w:sz w:val="22"/>
                <w:rFonts w:ascii="Garamond" w:hAnsi="Garamond"/>
              </w:rPr>
              <w:t xml:space="preserve">Sitä ei suositella tupakoimattomille.]</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Etämyyntiä koskevaa 6 §:ää sovelletaan nikotiinittomiin täyttösäiliöihin.”</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7 §.</w:t>
            </w:r>
            <w:r>
              <w:rPr>
                <w:sz w:val="22"/>
                <w:b/>
                <w:rFonts w:ascii="Garamond" w:hAnsi="Garamond"/>
              </w:rPr>
              <w:t xml:space="preserve">  </w:t>
            </w:r>
            <w:r>
              <w:rPr>
                <w:sz w:val="22"/>
                <w:rFonts w:ascii="Garamond" w:hAnsi="Garamond"/>
              </w:rPr>
              <w:t xml:space="preserve">Korvataan saman asetuksen 7 § seuraavasti:</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”7 §. Seuraamukset</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Sähkösavukkeita, täyttösäiliöitä ja nikotiinittomia täyttösäiliöitä, jotka eivät ole tämän asetuksen säännösten mukaisia, pidetään haitallisina kuluttajien terveyden suojelusta elintarvikkeiden ja muiden tuotteiden osalta 24 päivänä tammikuuta 1977 annetun lain 18 §:ssä tarkoitetulla tavalla.</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Tämän asetuksen säännösten rikkomiset tutkitaan, kirjataan ja niistä asetetaan syytteeseen ja rangaistaan edellä mainitun 24 päivänä tammikuuta 1977 annetun lain säännösten mukaisesti.</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Valmistajaa, maahantuojaa, maahantuojaa Belgiassa ja vähittäismyyntiliikettä voidaan pitää vastuullisina tämän asetuksen säännösten noudattamatta jättämisestä.”</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8 §.</w:t>
            </w:r>
            <w:r>
              <w:rPr>
                <w:sz w:val="22"/>
                <w:b/>
                <w:highlight w:val="yellow"/>
                <w:rFonts w:ascii="Garamond" w:hAnsi="Garamond"/>
              </w:rPr>
              <w:t xml:space="preserve"> </w:t>
            </w:r>
            <w:r>
              <w:rPr>
                <w:sz w:val="22"/>
                <w:highlight w:val="yellow"/>
                <w:rFonts w:ascii="Garamond" w:hAnsi="Garamond"/>
              </w:rPr>
              <w:t xml:space="preserve">Tämä asetus tulee voimaan [päivämäärä].</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9 §.</w:t>
            </w:r>
            <w:r>
              <w:rPr>
                <w:sz w:val="22"/>
                <w:rFonts w:ascii="Garamond" w:hAnsi="Garamond"/>
              </w:rPr>
              <w:t xml:space="preserve"> </w:t>
            </w:r>
            <w:r>
              <w:rPr>
                <w:sz w:val="22"/>
                <w:rFonts w:ascii="Garamond" w:hAnsi="Garamond"/>
              </w:rPr>
              <w:t xml:space="preserve">Talousministeri, kansanterveysministeri sekä vapaista ammateista vastaava ministeri vastaavat kukin omalta osalta tämän asetuksen täytäntöönpanosta.</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Brysselissä,</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Kuninkaan puolesta:</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Talousministeri</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Kansanterveysministeri</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Vapaista ammateista vastaava ministeri</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fi-FI"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fi-FI"/>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fi-FI"/>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fi-FI"/>
    </w:rPr>
  </w:style>
  <w:style w:type="paragraph" w:styleId="Titre9">
    <w:name w:val="heading 9"/>
    <w:basedOn w:val="Normal"/>
    <w:next w:val="Normal"/>
    <w:qFormat/>
    <w:pPr>
      <w:keepNext/>
      <w:tabs>
        <w:tab w:val="left" w:pos="567"/>
        <w:tab w:val="left" w:pos="2268"/>
      </w:tabs>
      <w:jc w:val="both"/>
      <w:outlineLvl w:val="8"/>
    </w:pPr>
    <w:rPr>
      <w:i/>
      <w:iCs/>
      <w:sz w:val="22"/>
      <w:lang w:val="fi-F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fi-FI"/>
    </w:rPr>
  </w:style>
  <w:style w:type="paragraph" w:styleId="Corpsdetexte3">
    <w:name w:val="Body Text 3"/>
    <w:basedOn w:val="Normal"/>
    <w:pPr>
      <w:widowControl w:val="0"/>
    </w:pPr>
    <w:rPr>
      <w:snapToGrid w:val="0"/>
      <w:sz w:val="22"/>
      <w:lang w:val="fi-FI"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fi-FI"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fi-FI"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fi-FI"/>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fi-FI"/>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fi-FI"/>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fi-FI"/>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fi-FI"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fi-FI"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fi-FI"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fi-FI" w:eastAsia="en-US"/>
    </w:rPr>
  </w:style>
  <w:style w:type="character" w:customStyle="1" w:styleId="En-tteCar">
    <w:name w:val="En-tête Car"/>
    <w:link w:val="En-tte"/>
    <w:uiPriority w:val="99"/>
    <w:rsid w:val="00792B2A"/>
    <w:rPr>
      <w:lang w:val="fi-FI" w:eastAsia="nl-NL"/>
    </w:rPr>
  </w:style>
  <w:style w:type="character" w:customStyle="1" w:styleId="PieddepageCar">
    <w:name w:val="Pied de page Car"/>
    <w:link w:val="Pieddepage"/>
    <w:uiPriority w:val="99"/>
    <w:rsid w:val="00792B2A"/>
    <w:rPr>
      <w:lang w:val="fi-FI" w:eastAsia="nl-NL"/>
    </w:rPr>
  </w:style>
  <w:style w:type="paragraph" w:styleId="Rvision">
    <w:name w:val="Revision"/>
    <w:hidden/>
    <w:uiPriority w:val="99"/>
    <w:semiHidden/>
    <w:rsid w:val="00B63DAF"/>
    <w:rPr>
      <w:lang w:val="fi-FI"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