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0A093" w14:textId="77777777" w:rsidR="00F3442A" w:rsidRPr="00006360" w:rsidRDefault="00E8180F" w:rsidP="0074486B">
      <w:r>
        <w:t>Preambuła</w:t>
      </w:r>
    </w:p>
    <w:p w14:paraId="6C4CF8C6" w14:textId="77777777" w:rsidR="00F3442A" w:rsidRPr="00006360" w:rsidRDefault="00F3442A" w:rsidP="0074486B"/>
    <w:p w14:paraId="2F406B97" w14:textId="59272201" w:rsidR="00EA20C6" w:rsidRPr="00006360" w:rsidRDefault="00E8180F" w:rsidP="0074486B">
      <w:r>
        <w:t>Tworzywa sztuczne ułatwiają nam życie na kilka sposobów i są często lżejsze i tańsze niż inne alternatywne materiały pod względem kosztów produkcji. Jednak ta zaleta, w połączeniu z innymi rodzajami dynamiki rynku prowadzi do nadmiernego wykorzystania tworzyw sztucznych i promowania kultury jednorazowego użytku.</w:t>
      </w:r>
    </w:p>
    <w:p w14:paraId="2E628EFC" w14:textId="76705B00" w:rsidR="00F3442A" w:rsidRPr="00006360" w:rsidRDefault="00EA20C6" w:rsidP="0074486B">
      <w:r>
        <w:t xml:space="preserve">Jeśli tworzywa sztuczne nie zostaną odpowiednio unieszkodliwione lub poddane recyklingowi mogą dostać się do środowiska, gdzie pozostają przez wieki, rozkładając się na mniejsze kawałki. Małe kawałki mierzące mniej niż 5 mm, są nazywane </w:t>
      </w:r>
      <w:r>
        <w:rPr>
          <w:rStyle w:val="Strong"/>
          <w:b w:val="0"/>
        </w:rPr>
        <w:t>„mikroplastikiem”</w:t>
      </w:r>
      <w:r>
        <w:t xml:space="preserve"> i stanowią powód do niepokoju ze względu na ich długą żywotność i możliwość nagromadzania się w środowisku.</w:t>
      </w:r>
    </w:p>
    <w:p w14:paraId="1EB99D83" w14:textId="60DBC92C" w:rsidR="00F3442A" w:rsidRPr="00006360" w:rsidRDefault="00E8180F" w:rsidP="0074486B">
      <w:r>
        <w:t xml:space="preserve">Mikroplastiki są cząstkami stałymi złożonymi z mieszanin polimerów i dodatków funkcjonalnych. Mikroplastiki mogą </w:t>
      </w:r>
      <w:r>
        <w:rPr>
          <w:rStyle w:val="Strong"/>
          <w:b w:val="0"/>
        </w:rPr>
        <w:t>tworzyć się nieumyślnie</w:t>
      </w:r>
      <w:r>
        <w:t xml:space="preserve">, na przykład z powodu utleniania materiałów polimerowych stosowanych w elementach z tworzyw sztucznych, oponach lub tkaninach syntetycznych. Jednakże są one również </w:t>
      </w:r>
      <w:r>
        <w:rPr>
          <w:rStyle w:val="Strong"/>
          <w:b w:val="0"/>
        </w:rPr>
        <w:t>celowo produkowane i dodawane</w:t>
      </w:r>
      <w:r>
        <w:t xml:space="preserve"> do różnych produktów, jak np. do złuszczających mikrogranulek w środkach złuszczających do twarzy lub ciała.</w:t>
      </w:r>
    </w:p>
    <w:p w14:paraId="2E262D6B" w14:textId="17837B55" w:rsidR="00F3442A" w:rsidRPr="008F4FB8" w:rsidRDefault="00E8180F" w:rsidP="008F4FB8">
      <w:r>
        <w:t>Z powodu obaw o środowisko i zdrowie kilka państw członkowskich UE już przyjęło lub zaproponowało państwowe zakazy zamierzonego stosowania mikroplastików w produktach konsumenckich. Zakazy dotyczą głównie stosowania mikrogranulek w kosmetykach, które są odprowadzane z wodą po użyciu, a w których są stosowane jako środki ścierne i polerujące.</w:t>
      </w:r>
    </w:p>
    <w:p w14:paraId="6449E11D" w14:textId="6BEC7738" w:rsidR="00F3442A" w:rsidRPr="00006360" w:rsidRDefault="00EA20C6" w:rsidP="0074486B">
      <w:r>
        <w:t xml:space="preserve">Bez uszczerbku dla ustawodawstwa krajowego mającego zastosowanie w kilku państwach członkowskich, na poziomie Unii Europejskiej opracowywany jest projekt ograniczenia mikroplastików w ramach rozporządzenia (WE) nr 1907/2006 Parlamentu Europejskiego i Rady z dnia 18 grudnia 2006 r. sprawie rejestracji, oceny, udzielania zezwoleń i stosowanych </w:t>
      </w:r>
      <w:r>
        <w:lastRenderedPageBreak/>
        <w:t>ograniczeń w zakresie chemikaliów (rozporządzenie REACH), o szerszym zakresie niż zakres objęty niniejszym aktem.</w:t>
      </w:r>
    </w:p>
    <w:p w14:paraId="61239819" w14:textId="3AEFBF48" w:rsidR="00814203" w:rsidRPr="008F4FB8" w:rsidRDefault="00BF7812" w:rsidP="0074486B">
      <w:pPr>
        <w:rPr>
          <w:iCs/>
        </w:rPr>
      </w:pPr>
      <w:r>
        <w:t xml:space="preserve">W 2017 r. Komisja Europejska zwróciła się do Europejskiej Agencji Chemikaliów (ECHA) o ocenę dowodów naukowych dotyczących przyjęcia na poziomie UE środków regulacyjnych dotyczących mikroplastików, które są celowo dodawane do produktów, a w styczniu 2019 r. ECHA zaproponowała szeroko zakrojony zakaz stosowania mikroplastików w produktach wprowadzanych do obrotu w Unii Europejskiej, aby zapobiec ich uwalnianiu do środowiska naturalnego lub je ograniczyć. </w:t>
      </w:r>
    </w:p>
    <w:p w14:paraId="22ED419D" w14:textId="69A685EB" w:rsidR="00814203" w:rsidRPr="008F4FB8" w:rsidRDefault="00814203" w:rsidP="0074486B">
      <w:r>
        <w:t>W ocenie przeprowadzonej przez ECHA stwierdzono, że w przypadku niektórych zastosowań mikroplastików na rynku istnieją już alternatywy, a mianowicie dla mikrogranulek złuszczających i czyszczących stosowanych w kosmetykach spłukiwanych wodą.</w:t>
      </w:r>
    </w:p>
    <w:p w14:paraId="25269A95" w14:textId="38FF5B8E" w:rsidR="00F3442A" w:rsidRPr="008F4FB8" w:rsidRDefault="00E8180F" w:rsidP="0074486B">
      <w:pPr>
        <w:rPr>
          <w:iCs/>
        </w:rPr>
      </w:pPr>
      <w:r>
        <w:t>Komisja Europejska powinna przygotować swój wniosek ustawodawczy dotyczący zmiany wykazu substancji podlegających zakazowi zgodnie z załącznikiem XVII do rozporządzenia REACH, na podstawie wniosku ECHA i opinii odpowiednich Komitetów naukowych.</w:t>
      </w:r>
    </w:p>
    <w:p w14:paraId="24AED4FB" w14:textId="77CE7ED8" w:rsidR="00927820" w:rsidRPr="008F4FB8" w:rsidRDefault="00927820" w:rsidP="0074486B">
      <w:r>
        <w:t>Artykuł 321 ustawy nr 75-B/2020 z dnia 31 grudnia 2021 r. zatwierdzającej budżet państwa nakłada na rząd obowiązek zakazu wprowadzania do obrotu kosmetyków, środków higieny osobistej, detergentów i środków czyszczących zawierających mikrogranulki z tworzyw sztucznych, składające się z cząstek syntetycznych o wymiarach poniżej 5 mm, co stanowi, że prawo to jest zgodne z tą ustawą. W odniesieniu do kategorii produktów, o których mowa, pojęcia „produktu kosmetycznego” i „detergentu” zawarte w przepisach Unii Europejskiej oznaczają produkty powszechnie określane odpowiednio jako produkty higieny osobistej i środki czyszczące, a ze względu na ich jednolitość odnoszą się wyłącznie do tych pierwszych.</w:t>
      </w:r>
    </w:p>
    <w:p w14:paraId="3B669B8C" w14:textId="77777777" w:rsidR="00586237" w:rsidRPr="008F4FB8" w:rsidRDefault="00586237" w:rsidP="008F4FB8">
      <w:r>
        <w:t>Państwa muszą promować zrównoważone wzorce produkcji i konsumpcji oraz ochronę środowiska, zdrowia publicznego i pracowników.</w:t>
      </w:r>
    </w:p>
    <w:p w14:paraId="3E50E9BB" w14:textId="346C7BD6" w:rsidR="00F3442A" w:rsidRPr="008F4FB8" w:rsidRDefault="00E8180F" w:rsidP="008F4FB8">
      <w:r>
        <w:lastRenderedPageBreak/>
        <w:t>Niniejszy dekret z mocą ustawy był przedmiotem konsultacji społecznych między xxx a xxx i podlegał procedurze informacyjnej w zakresie przepisów technicznych i zasad dotyczących usług społeczeństwa informacyjnego przewidzianych w dyrektywie Parlamentu Europejskiego i Rady (UE) 2015/1535 z dnia 9 września 2015 r.</w:t>
      </w:r>
    </w:p>
    <w:p w14:paraId="4123805A" w14:textId="67EDAA1A" w:rsidR="00F3442A" w:rsidRPr="008F4FB8" w:rsidRDefault="00E8180F" w:rsidP="0074486B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Wysłuchano opinii organów samorządowych regionów autonomicznych.</w:t>
      </w:r>
    </w:p>
    <w:p w14:paraId="2C120D7B" w14:textId="4DF43CB3" w:rsidR="008E7F87" w:rsidRDefault="008E7F87" w:rsidP="0074486B">
      <w:r>
        <w:t>Zgodnie z art. 198 ust. 1 lit. a) Konstytucji rząd niniejszym postanawia:</w:t>
      </w:r>
    </w:p>
    <w:p w14:paraId="2DC98CB9" w14:textId="77777777" w:rsidR="006E197F" w:rsidRPr="00006360" w:rsidRDefault="006E197F" w:rsidP="0074486B"/>
    <w:p w14:paraId="15C1DCD5" w14:textId="1D4B1246" w:rsidR="00F3442A" w:rsidRPr="00006360" w:rsidRDefault="00F44F9F" w:rsidP="00C23954">
      <w:pPr>
        <w:pStyle w:val="Heading1"/>
      </w:pPr>
      <w:r>
        <w:br/>
        <w:t>Przedmiot sprawy</w:t>
      </w:r>
    </w:p>
    <w:p w14:paraId="49419678" w14:textId="197BFC62" w:rsidR="00F3442A" w:rsidRPr="0074486B" w:rsidRDefault="00793018" w:rsidP="0074486B">
      <w:r>
        <w:t>Niniejsze rozporządzenie dotyczy produktów kosmetycznych i detergentów zawierających mikrogranulki z tworzywa sztucznego.</w:t>
      </w:r>
    </w:p>
    <w:p w14:paraId="2EA5994F" w14:textId="77777777" w:rsidR="00F3442A" w:rsidRPr="00006360" w:rsidRDefault="00F3442A" w:rsidP="0074486B"/>
    <w:p w14:paraId="22C6D840" w14:textId="79D09107" w:rsidR="00F3442A" w:rsidRPr="00006360" w:rsidRDefault="00F44F9F" w:rsidP="006E197F">
      <w:pPr>
        <w:pStyle w:val="Heading1"/>
        <w:ind w:firstLine="360"/>
      </w:pPr>
      <w:r>
        <w:t xml:space="preserve"> </w:t>
      </w:r>
      <w:r>
        <w:br/>
        <w:t>Definicje</w:t>
      </w:r>
    </w:p>
    <w:p w14:paraId="4162DF93" w14:textId="3FB417B2" w:rsidR="00F3442A" w:rsidRPr="0074486B" w:rsidRDefault="00E8180F" w:rsidP="0074486B">
      <w:r>
        <w:t>Do celów niniejszego dekretu z mocą ustawy stosuje się następujące definicje:</w:t>
      </w:r>
    </w:p>
    <w:p w14:paraId="0927D975" w14:textId="167548C8" w:rsidR="00F3442A" w:rsidRPr="00006360" w:rsidRDefault="00E8180F" w:rsidP="0074486B">
      <w:pPr>
        <w:pStyle w:val="ListParagraph"/>
        <w:numPr>
          <w:ilvl w:val="0"/>
          <w:numId w:val="3"/>
        </w:numPr>
        <w:ind w:left="284" w:firstLine="425"/>
      </w:pPr>
      <w:r>
        <w:rPr>
          <w:highlight w:val="white"/>
        </w:rPr>
        <w:t xml:space="preserve">„Wprowadzenie do obrotu” oznacza pierwsze udostępnienie produktu na rynku na terytorium kraju w ramach działalności zawodowej; </w:t>
      </w:r>
    </w:p>
    <w:p w14:paraId="58CE02D1" w14:textId="2C75E49E" w:rsidR="00F3442A" w:rsidRPr="0074486B" w:rsidRDefault="00E8180F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>„Detergent” oznacza detergent w rozumieniu rozporządzenia (WE) nr 648/2004 Parlamentu Europejskiego i Rady z dnia 31 marca 2004 r. w sprawie detergentów, w brzmieniu obecnym;</w:t>
      </w:r>
    </w:p>
    <w:p w14:paraId="1D364A13" w14:textId="044C69FA" w:rsidR="00441FBB" w:rsidRPr="0074486B" w:rsidRDefault="00441FBB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>„Udostępnienie na rynku” oznacza każdą dostawę produktu w celu jego dystrybucji, konsumpcji lub wykorzystania na portugalskim rynku, w ramach działalności handlowej, odpłatnie lub nieodpłatnie;</w:t>
      </w:r>
    </w:p>
    <w:p w14:paraId="5A72039D" w14:textId="40D7970F" w:rsidR="00F3442A" w:rsidRPr="0074486B" w:rsidRDefault="00816786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t xml:space="preserve">„Polimer” oznacza substancję w rozumieniu art. 3 ust. 5 </w:t>
      </w:r>
      <w:hyperlink r:id="rId7" w:tgtFrame="Link para Regulamento da União Europeia">
        <w:r>
          <w:rPr>
            <w:highlight w:val="white"/>
          </w:rPr>
          <w:t>rozporządzenia (WE) nr 1907/2006</w:t>
        </w:r>
      </w:hyperlink>
      <w:r>
        <w:t xml:space="preserve"> Parlamentu Europejskiego i Rady z dnia 18 grudnia 2006 r. w sprawie </w:t>
      </w:r>
      <w:r>
        <w:lastRenderedPageBreak/>
        <w:t>rejestracji, oceny, udzielania zezwoleń i ograniczeń w zakresie chemikaliów;</w:t>
      </w:r>
      <w:r>
        <w:rPr>
          <w:highlight w:val="white"/>
        </w:rPr>
        <w:t xml:space="preserve">  </w:t>
      </w:r>
    </w:p>
    <w:p w14:paraId="6301722E" w14:textId="1737CFE7" w:rsidR="00F3442A" w:rsidRPr="0074486B" w:rsidRDefault="0003023D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 xml:space="preserve">„Produkt kosmetyczny” oznacza produkt kosmetyczny w rozumieniu rozporządzenia (WE) nr 1223/2009 Parlamentu Europejskiego i Rady z dnia 30 listopada 2009 r. dotyczących produktów kosmetycznych w obecnym brzmieniu; </w:t>
      </w:r>
    </w:p>
    <w:p w14:paraId="56A66EC0" w14:textId="1E422C31" w:rsidR="0054554D" w:rsidRDefault="00816786" w:rsidP="0074486B">
      <w:pPr>
        <w:pStyle w:val="ListParagraph"/>
        <w:numPr>
          <w:ilvl w:val="0"/>
          <w:numId w:val="3"/>
        </w:numPr>
        <w:ind w:left="284" w:firstLine="425"/>
        <w:rPr>
          <w:highlight w:val="white"/>
        </w:rPr>
      </w:pPr>
      <w:r>
        <w:rPr>
          <w:highlight w:val="white"/>
        </w:rPr>
        <w:t>„Mikrogranulki z tworzywa sztucznego” oznaczają cząsteczki zawierające polimery stałe o dowolnej wielkości równej lub mniejszej niż 5 mm, do których mogły zostać dodane dodatki lub inne substancje, z wyjątkiem polimerów naturalnych, które nie zostały zmodyfikowane chemicznie, zastosowane jako materiał ścierny, tj. do złuszczania, polerowania lub czyszczenia.</w:t>
      </w:r>
    </w:p>
    <w:p w14:paraId="1A0E5587" w14:textId="77777777" w:rsidR="008F4FB8" w:rsidRPr="0074486B" w:rsidRDefault="008F4FB8" w:rsidP="008F4FB8">
      <w:pPr>
        <w:pStyle w:val="ListParagraph"/>
        <w:ind w:left="709" w:firstLine="0"/>
        <w:rPr>
          <w:highlight w:val="white"/>
        </w:rPr>
      </w:pPr>
    </w:p>
    <w:p w14:paraId="5F44AEB1" w14:textId="7B250D1E" w:rsidR="00F3442A" w:rsidRPr="00006360" w:rsidRDefault="004F08B1" w:rsidP="006E197F">
      <w:pPr>
        <w:pStyle w:val="Heading1"/>
        <w:ind w:firstLine="360"/>
      </w:pPr>
      <w:r>
        <w:br/>
        <w:t>Zakazy</w:t>
      </w:r>
    </w:p>
    <w:p w14:paraId="68EE9EC2" w14:textId="61796683" w:rsidR="00F3442A" w:rsidRPr="00006360" w:rsidRDefault="008C61F9" w:rsidP="0074486B">
      <w:pPr>
        <w:pStyle w:val="ListParagraph"/>
        <w:numPr>
          <w:ilvl w:val="0"/>
          <w:numId w:val="10"/>
        </w:numPr>
        <w:ind w:left="284" w:firstLine="425"/>
      </w:pPr>
      <w:r>
        <w:t xml:space="preserve">- Zakazane jest wprowadzanie do obrotu produktów kosmetycznych lub detergentów zawierających mikrogranulki z tworzywa sztucznego. </w:t>
      </w:r>
    </w:p>
    <w:p w14:paraId="7F5A858B" w14:textId="40B16146" w:rsidR="003D3843" w:rsidRPr="00006360" w:rsidRDefault="003D3843" w:rsidP="0074486B">
      <w:pPr>
        <w:pStyle w:val="ListParagraph"/>
        <w:numPr>
          <w:ilvl w:val="0"/>
          <w:numId w:val="10"/>
        </w:numPr>
        <w:ind w:left="284" w:firstLine="425"/>
      </w:pPr>
      <w:r>
        <w:t xml:space="preserve">- </w:t>
      </w:r>
      <w:bookmarkStart w:id="0" w:name="_Hlk66093173"/>
      <w:r>
        <w:t>Zakaz określony w poprzednim ustępie pozostaje bez uszczerbku dla udostępnienia lub wykorzystania produktów w nim objętych, pod warunkiem że są one wprowadzane do obrotu przed wejściem w życie niniejszego dekretu z mocą ustawy.</w:t>
      </w:r>
      <w:bookmarkEnd w:id="0"/>
    </w:p>
    <w:p w14:paraId="5278702E" w14:textId="783C81B6" w:rsidR="00F65A0D" w:rsidRPr="00006360" w:rsidRDefault="00442515" w:rsidP="0074486B">
      <w:pPr>
        <w:pStyle w:val="ListParagraph"/>
        <w:numPr>
          <w:ilvl w:val="0"/>
          <w:numId w:val="10"/>
        </w:numPr>
        <w:ind w:left="284" w:firstLine="425"/>
        <w:contextualSpacing w:val="0"/>
      </w:pPr>
      <w:r>
        <w:t>- Z zakresu zakazu przewidzianego w ust. 1 wyłączone są również następujące produkty:</w:t>
      </w:r>
    </w:p>
    <w:p w14:paraId="466B660A" w14:textId="29CAFDE1" w:rsidR="00F65A0D" w:rsidRPr="0074486B" w:rsidRDefault="00F65A0D" w:rsidP="0074486B">
      <w:pPr>
        <w:pStyle w:val="ListParagraph"/>
        <w:numPr>
          <w:ilvl w:val="0"/>
          <w:numId w:val="17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Produkty wytworzone na terytorium kraju przed datą wejścia w życie niniejszego dekretu z mocą ustawy;</w:t>
      </w:r>
    </w:p>
    <w:p w14:paraId="05929774" w14:textId="54F3EEFB" w:rsidR="00442515" w:rsidRPr="0074486B" w:rsidRDefault="00F65A0D" w:rsidP="0074486B">
      <w:pPr>
        <w:pStyle w:val="ListParagraph"/>
        <w:numPr>
          <w:ilvl w:val="0"/>
          <w:numId w:val="17"/>
        </w:numPr>
        <w:ind w:left="284" w:firstLine="425"/>
        <w:rPr>
          <w:highlight w:val="white"/>
        </w:rPr>
      </w:pPr>
      <w:r>
        <w:rPr>
          <w:highlight w:val="white"/>
        </w:rPr>
        <w:t>Produkty, których udostępnienie zostało uzgodnione przed datą wejścia w życie niniejszego dekretu z mocą ustawy i które miało miejsce przed końcem 2021 r.</w:t>
      </w:r>
    </w:p>
    <w:p w14:paraId="3057F9FD" w14:textId="77777777" w:rsidR="00F3442A" w:rsidRPr="00006360" w:rsidRDefault="00F3442A" w:rsidP="0074486B"/>
    <w:p w14:paraId="312C9530" w14:textId="1042E4FA" w:rsidR="00F3442A" w:rsidRPr="00006360" w:rsidRDefault="004F08B1" w:rsidP="0074486B">
      <w:pPr>
        <w:pStyle w:val="Heading1"/>
      </w:pPr>
      <w:r>
        <w:br/>
        <w:t>Inspekcja i monitorowanie</w:t>
      </w:r>
    </w:p>
    <w:p w14:paraId="1664138E" w14:textId="1855F9A7" w:rsidR="00F3442A" w:rsidRPr="00006360" w:rsidRDefault="00E46D1A" w:rsidP="0074486B">
      <w:pPr>
        <w:pStyle w:val="ListParagraph"/>
        <w:numPr>
          <w:ilvl w:val="0"/>
          <w:numId w:val="18"/>
        </w:numPr>
        <w:ind w:left="284" w:firstLine="425"/>
      </w:pPr>
      <w:r>
        <w:lastRenderedPageBreak/>
        <w:t>- Monitorowanie zgodności z przepisami niniejszego dekretu z mocą ustawy spoczywa na Urzędzie ds. Gospodarki i Bezpieczeństwa Żywności  (ASAE) oraz Urzędzie ds. Podatków i Ceł (AT).</w:t>
      </w:r>
    </w:p>
    <w:p w14:paraId="184EDC25" w14:textId="6F89EFA6" w:rsidR="00F3442A" w:rsidRDefault="00E46D1A" w:rsidP="0074486B">
      <w:pPr>
        <w:pStyle w:val="ListParagraph"/>
        <w:numPr>
          <w:ilvl w:val="0"/>
          <w:numId w:val="18"/>
        </w:numPr>
        <w:ind w:left="284" w:firstLine="425"/>
      </w:pPr>
      <w:r>
        <w:t>Przepisy poprzedniego ustępu pozostają bez uszczerbku dla wykonywania uprawnień w zakresie monitorowania i uprawnień Policji przyznanych innym organom publicznym.</w:t>
      </w:r>
    </w:p>
    <w:p w14:paraId="32F3C8C7" w14:textId="77777777" w:rsidR="008F4FB8" w:rsidRPr="00006360" w:rsidRDefault="008F4FB8" w:rsidP="008F4FB8">
      <w:pPr>
        <w:pStyle w:val="ListParagraph"/>
        <w:ind w:left="709" w:firstLine="0"/>
      </w:pPr>
    </w:p>
    <w:p w14:paraId="7EF765E4" w14:textId="275F5B6B" w:rsidR="00F3442A" w:rsidRPr="00006360" w:rsidRDefault="004F08B1" w:rsidP="0074486B">
      <w:pPr>
        <w:pStyle w:val="Heading1"/>
      </w:pPr>
      <w:r>
        <w:br/>
        <w:t>Wykroczenia administracyjne</w:t>
      </w:r>
    </w:p>
    <w:p w14:paraId="740CD79B" w14:textId="6FCEB11C" w:rsidR="00F3442A" w:rsidRPr="00006360" w:rsidRDefault="00E46D1A" w:rsidP="0074486B">
      <w:pPr>
        <w:pStyle w:val="ListParagraph"/>
        <w:numPr>
          <w:ilvl w:val="0"/>
          <w:numId w:val="19"/>
        </w:numPr>
        <w:ind w:left="284" w:firstLine="425"/>
      </w:pPr>
      <w:r>
        <w:t xml:space="preserve">- Niestosowanie się do przepisów art. 3 ust. 1 stanowi poważne przestępstwo administracyjne o charakterze gospodarczym, podlegające karze na podstawie ram prawnych dotyczących gospodarczych przestępstw administracyjnych, zatwierdzonych dekretem z mocą ustawy nr 9/2021 z dnia 29 stycznia. </w:t>
      </w:r>
    </w:p>
    <w:p w14:paraId="1E582BAB" w14:textId="6D9CE48D" w:rsidR="00F3442A" w:rsidRPr="00006360" w:rsidRDefault="00E8180F" w:rsidP="0074486B">
      <w:pPr>
        <w:pStyle w:val="ListParagraph"/>
        <w:numPr>
          <w:ilvl w:val="0"/>
          <w:numId w:val="19"/>
        </w:numPr>
        <w:ind w:left="284" w:firstLine="425"/>
      </w:pPr>
      <w:r>
        <w:t xml:space="preserve">- Próby popełnienia przestępstwa i zaniedbania podlegają karze, w którym to przypadku minimalne i maksymalne progi grzywny zostają obniżone o połowę. </w:t>
      </w:r>
    </w:p>
    <w:p w14:paraId="378FF05A" w14:textId="2776DB1F" w:rsidR="00F3442A" w:rsidRPr="00006360" w:rsidRDefault="00F3442A" w:rsidP="0074486B"/>
    <w:p w14:paraId="4CDB9348" w14:textId="715711C6" w:rsidR="00F3442A" w:rsidRPr="00006360" w:rsidRDefault="004F08B1" w:rsidP="0074486B">
      <w:pPr>
        <w:pStyle w:val="Heading1"/>
      </w:pPr>
      <w:r>
        <w:br/>
        <w:t>Dochodzenie i egzekwowanie sankcji</w:t>
      </w:r>
    </w:p>
    <w:p w14:paraId="1EAE1A82" w14:textId="1D8E778D" w:rsidR="00F3442A" w:rsidRPr="00006360" w:rsidRDefault="00E8180F" w:rsidP="0074486B">
      <w:r>
        <w:t>ASAE i AT, w ramach swoich kompetencji, są odpowiedzialne za prowadzenie dochodzeń dotyczących przestępstw, o których mowa w poprzednim artykule, oraz za podjęcie decyzji o nałożeniu odpowiednich grzywien i kar dodatkowych.</w:t>
      </w:r>
    </w:p>
    <w:p w14:paraId="183BAF8A" w14:textId="22CB72F2" w:rsidR="00F3442A" w:rsidRPr="00006360" w:rsidRDefault="00F3442A" w:rsidP="0074486B"/>
    <w:p w14:paraId="170C848E" w14:textId="179FA7C7" w:rsidR="00F3442A" w:rsidRPr="0074486B" w:rsidRDefault="0074486B" w:rsidP="0074486B">
      <w:pPr>
        <w:pStyle w:val="Heading1"/>
      </w:pPr>
      <w:r>
        <w:br/>
        <w:t>Wpływy z grzywien</w:t>
      </w:r>
    </w:p>
    <w:p w14:paraId="56460743" w14:textId="7881F983" w:rsidR="00F3442A" w:rsidRPr="00006360" w:rsidRDefault="00E8180F" w:rsidP="0074486B">
      <w:r>
        <w:t xml:space="preserve">Wpływy z grzywien przewidzianych w art. 5 niniejszego dekretu z mocą ustawy są podzielone w następujący sposób: </w:t>
      </w:r>
    </w:p>
    <w:p w14:paraId="65198DD7" w14:textId="77777777" w:rsidR="003D3843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lastRenderedPageBreak/>
        <w:t>60% na rzecz rządu;</w:t>
      </w:r>
    </w:p>
    <w:p w14:paraId="206360D3" w14:textId="77777777" w:rsidR="003D3843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10% dla organu, który wszczął postępowanie;</w:t>
      </w:r>
    </w:p>
    <w:p w14:paraId="1F8651D3" w14:textId="77777777" w:rsidR="003D3843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10 % dla organu prowadzącego dochodzenie;</w:t>
      </w:r>
    </w:p>
    <w:p w14:paraId="7D907198" w14:textId="4B0654B6" w:rsidR="00F3442A" w:rsidRPr="0074486B" w:rsidRDefault="003D3843" w:rsidP="0074486B">
      <w:pPr>
        <w:pStyle w:val="ListParagraph"/>
        <w:numPr>
          <w:ilvl w:val="0"/>
          <w:numId w:val="20"/>
        </w:numPr>
        <w:spacing w:before="120"/>
        <w:ind w:left="284" w:firstLine="425"/>
        <w:rPr>
          <w:highlight w:val="white"/>
        </w:rPr>
      </w:pPr>
      <w:r>
        <w:rPr>
          <w:highlight w:val="white"/>
        </w:rPr>
        <w:t>20 % dla organu decyzyjnego.</w:t>
      </w:r>
    </w:p>
    <w:p w14:paraId="2962D2C6" w14:textId="77777777" w:rsidR="00F3442A" w:rsidRPr="00006360" w:rsidRDefault="00F3442A" w:rsidP="0074486B"/>
    <w:p w14:paraId="25CB4724" w14:textId="086CF13F" w:rsidR="00F3442A" w:rsidRPr="0074486B" w:rsidRDefault="0074486B" w:rsidP="0074486B">
      <w:pPr>
        <w:pStyle w:val="Heading1"/>
      </w:pPr>
      <w:r>
        <w:br/>
        <w:t>Regiony Autonomiczne</w:t>
      </w:r>
    </w:p>
    <w:p w14:paraId="0274FCF5" w14:textId="33493140" w:rsidR="00F3442A" w:rsidRPr="00006360" w:rsidRDefault="0074486B" w:rsidP="0074486B">
      <w:pPr>
        <w:pStyle w:val="ListParagraph"/>
        <w:numPr>
          <w:ilvl w:val="0"/>
          <w:numId w:val="21"/>
        </w:numPr>
        <w:ind w:left="284" w:firstLine="425"/>
        <w:contextualSpacing w:val="0"/>
      </w:pPr>
      <w:r>
        <w:t xml:space="preserve"> - Niniejszy dekret ma zastosowanie do autonomicznych regionów Azorów i Madery, bez uszczerbku dla ich odpowiedniości wobec specyfiki regionu, zgodnie z ich autonomią polityczną i administracyjną, a wdrożenie niniejszego dekretu ma zastosowanie do departamentów i organów ich odpowiednich administracji regionalnych, bez uszczerbku dla uprawnień organów krajowych.</w:t>
      </w:r>
    </w:p>
    <w:p w14:paraId="5D19046A" w14:textId="4C0F0DC6" w:rsidR="00F3442A" w:rsidRPr="00006360" w:rsidRDefault="0074486B" w:rsidP="0074486B">
      <w:pPr>
        <w:pStyle w:val="ListParagraph"/>
        <w:numPr>
          <w:ilvl w:val="0"/>
          <w:numId w:val="21"/>
        </w:numPr>
        <w:ind w:left="284" w:firstLine="425"/>
        <w:contextualSpacing w:val="0"/>
      </w:pPr>
      <w:r>
        <w:t>Wpływy z grzywien nakładanych w regionach autonomicznych trafiają wyłącznie do wspomnianych regionów.</w:t>
      </w:r>
    </w:p>
    <w:p w14:paraId="05A06D96" w14:textId="77777777" w:rsidR="0037390A" w:rsidRPr="00006360" w:rsidRDefault="0037390A" w:rsidP="0074486B"/>
    <w:p w14:paraId="7D63ED44" w14:textId="640AE1C9" w:rsidR="00F3442A" w:rsidRPr="00006360" w:rsidRDefault="008F4FB8" w:rsidP="006E197F">
      <w:pPr>
        <w:pStyle w:val="Heading1"/>
        <w:ind w:firstLine="360"/>
      </w:pPr>
      <w:r>
        <w:br/>
        <w:t>Wejście w życie i skutek</w:t>
      </w:r>
    </w:p>
    <w:p w14:paraId="7D923A77" w14:textId="57F41419" w:rsidR="00F3442A" w:rsidRPr="00006360" w:rsidRDefault="008F4FB8" w:rsidP="008F4FB8">
      <w:pPr>
        <w:pStyle w:val="ListParagraph"/>
        <w:numPr>
          <w:ilvl w:val="0"/>
          <w:numId w:val="22"/>
        </w:numPr>
        <w:ind w:left="284" w:firstLine="425"/>
        <w:contextualSpacing w:val="0"/>
      </w:pPr>
      <w:r>
        <w:t>Niniejsza ustawa wchodzi w życie następnego dnia po jej opublikowaniu.</w:t>
      </w:r>
    </w:p>
    <w:p w14:paraId="250D74D0" w14:textId="186ACAA7" w:rsidR="008C45E1" w:rsidRPr="00006360" w:rsidRDefault="008F4FB8" w:rsidP="008F4FB8">
      <w:pPr>
        <w:pStyle w:val="ListParagraph"/>
        <w:numPr>
          <w:ilvl w:val="0"/>
          <w:numId w:val="22"/>
        </w:numPr>
        <w:ind w:left="284" w:firstLine="425"/>
        <w:contextualSpacing w:val="0"/>
      </w:pPr>
      <w:r>
        <w:t>- Bez uszczerbku dla art. 183 dekretu z mocą ustawy nr 9/2021 z dnia 29 stycznia, który zatwierdził warunki prawne gospodarczych przestępstw administracyjnych, przepisy te stosuje się niezwłocznie w przypadku przestępstw administracyjnych przewidzianych w art. 5 ust. 1 niniejszego dekretu z mocą ustawy.</w:t>
      </w:r>
    </w:p>
    <w:sectPr w:rsidR="008C45E1" w:rsidRPr="000063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ABEAB" w14:textId="77777777" w:rsidR="00812823" w:rsidRDefault="00812823" w:rsidP="0074486B">
      <w:r>
        <w:separator/>
      </w:r>
    </w:p>
  </w:endnote>
  <w:endnote w:type="continuationSeparator" w:id="0">
    <w:p w14:paraId="64E9FEE6" w14:textId="77777777" w:rsidR="00812823" w:rsidRDefault="00812823" w:rsidP="0074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30B56" w14:textId="77777777" w:rsidR="0074486B" w:rsidRDefault="0074486B" w:rsidP="0074486B">
    <w:pPr>
      <w:pStyle w:val="Footer"/>
    </w:pPr>
    <w:r>
      <w:fldChar w:fldCharType="begin"/>
    </w:r>
    <w:r>
      <w:instrText>PAGE</w:instrText>
    </w:r>
    <w:r>
      <w:fldChar w:fldCharType="separate"/>
    </w:r>
    <w:r w:rsidR="00923317"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69C56" w14:textId="77777777" w:rsidR="00812823" w:rsidRDefault="00812823" w:rsidP="0074486B">
      <w:r>
        <w:separator/>
      </w:r>
    </w:p>
  </w:footnote>
  <w:footnote w:type="continuationSeparator" w:id="0">
    <w:p w14:paraId="3651FB06" w14:textId="77777777" w:rsidR="00812823" w:rsidRDefault="00812823" w:rsidP="0074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286F" w14:textId="77777777" w:rsidR="0074486B" w:rsidRPr="00EF0262" w:rsidRDefault="0074486B" w:rsidP="0074486B">
    <w:pPr>
      <w:jc w:val="center"/>
    </w:pPr>
    <w:r>
      <w:rPr>
        <w:noProof/>
      </w:rPr>
      <w:drawing>
        <wp:inline distT="0" distB="0" distL="0" distR="0" wp14:anchorId="0E743FC7" wp14:editId="1CBF634D">
          <wp:extent cx="361950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5E166" w14:textId="71BAF3D3" w:rsidR="0074486B" w:rsidRPr="00EF0262" w:rsidRDefault="0074486B" w:rsidP="0074486B">
    <w:pPr>
      <w:jc w:val="center"/>
    </w:pPr>
    <w:r>
      <w:t>Minister ds.</w:t>
    </w:r>
  </w:p>
  <w:p w14:paraId="6134CCEF" w14:textId="3737DD9E" w:rsidR="0074486B" w:rsidRPr="00EF0262" w:rsidRDefault="0074486B" w:rsidP="0074486B">
    <w:pPr>
      <w:jc w:val="center"/>
    </w:pPr>
    <w:r>
      <w:object w:dxaOrig="1305" w:dyaOrig="285" w14:anchorId="78E26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5.25pt;height:14.25pt;mso-width-percent:0;mso-height-percent:0;mso-width-percent:0;mso-height-percent:0">
          <v:imagedata r:id="rId2" o:title=""/>
        </v:shape>
        <o:OLEObject Type="Embed" ProgID="Word.Picture.8" ShapeID="_x0000_i1025" DrawAspect="Content" ObjectID="_1678026759" r:id="rId3"/>
      </w:object>
    </w:r>
  </w:p>
  <w:p w14:paraId="41A6E695" w14:textId="77777777" w:rsidR="0074486B" w:rsidRPr="00EF0262" w:rsidRDefault="0074486B" w:rsidP="0074486B">
    <w:pPr>
      <w:jc w:val="center"/>
    </w:pPr>
  </w:p>
  <w:p w14:paraId="3AE8C256" w14:textId="753DCC90" w:rsidR="0074486B" w:rsidRPr="00EF0262" w:rsidRDefault="0074486B" w:rsidP="0074486B">
    <w:pPr>
      <w:jc w:val="center"/>
      <w:rPr>
        <w:rFonts w:asciiTheme="minorHAnsi" w:hAnsiTheme="minorHAnsi"/>
        <w:sz w:val="32"/>
        <w:szCs w:val="32"/>
      </w:rPr>
    </w:pPr>
    <w:r>
      <w:t>Dekret</w:t>
    </w:r>
    <w:r>
      <w:tab/>
      <w:t>nr</w:t>
    </w:r>
  </w:p>
  <w:p w14:paraId="410BACD8" w14:textId="77777777" w:rsidR="0074486B" w:rsidRDefault="0074486B" w:rsidP="00744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7D49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C18"/>
    <w:multiLevelType w:val="hybridMultilevel"/>
    <w:tmpl w:val="80CA63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8CB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0AF6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3E78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7E0"/>
    <w:multiLevelType w:val="multilevel"/>
    <w:tmpl w:val="DEC849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3C06E1C"/>
    <w:multiLevelType w:val="hybridMultilevel"/>
    <w:tmpl w:val="406A79F6"/>
    <w:lvl w:ilvl="0" w:tplc="EF96D516">
      <w:start w:val="1"/>
      <w:numFmt w:val="decimal"/>
      <w:lvlText w:val="%1 -"/>
      <w:lvlJc w:val="left"/>
      <w:pPr>
        <w:ind w:left="360" w:hanging="360"/>
      </w:pPr>
      <w:rPr>
        <w:rFonts w:hint="default"/>
      </w:rPr>
    </w:lvl>
    <w:lvl w:ilvl="1" w:tplc="509493F6">
      <w:start w:val="1"/>
      <w:numFmt w:val="lowerLetter"/>
      <w:lvlText w:val="%2."/>
      <w:lvlJc w:val="left"/>
      <w:pPr>
        <w:ind w:left="-2813" w:hanging="360"/>
      </w:pPr>
    </w:lvl>
    <w:lvl w:ilvl="2" w:tplc="B74206BC" w:tentative="1">
      <w:start w:val="1"/>
      <w:numFmt w:val="lowerRoman"/>
      <w:lvlText w:val="%3."/>
      <w:lvlJc w:val="right"/>
      <w:pPr>
        <w:ind w:left="-2093" w:hanging="180"/>
      </w:pPr>
    </w:lvl>
    <w:lvl w:ilvl="3" w:tplc="D090E1C6" w:tentative="1">
      <w:start w:val="1"/>
      <w:numFmt w:val="decimal"/>
      <w:lvlText w:val="%4."/>
      <w:lvlJc w:val="left"/>
      <w:pPr>
        <w:ind w:left="-1373" w:hanging="360"/>
      </w:pPr>
    </w:lvl>
    <w:lvl w:ilvl="4" w:tplc="0FAC9E4E" w:tentative="1">
      <w:start w:val="1"/>
      <w:numFmt w:val="lowerLetter"/>
      <w:lvlText w:val="%5."/>
      <w:lvlJc w:val="left"/>
      <w:pPr>
        <w:ind w:left="-653" w:hanging="360"/>
      </w:pPr>
    </w:lvl>
    <w:lvl w:ilvl="5" w:tplc="B8BA5ED0" w:tentative="1">
      <w:start w:val="1"/>
      <w:numFmt w:val="lowerRoman"/>
      <w:lvlText w:val="%6."/>
      <w:lvlJc w:val="right"/>
      <w:pPr>
        <w:ind w:left="67" w:hanging="180"/>
      </w:pPr>
    </w:lvl>
    <w:lvl w:ilvl="6" w:tplc="A800B2CC" w:tentative="1">
      <w:start w:val="1"/>
      <w:numFmt w:val="decimal"/>
      <w:lvlText w:val="%7."/>
      <w:lvlJc w:val="left"/>
      <w:pPr>
        <w:ind w:left="787" w:hanging="360"/>
      </w:pPr>
    </w:lvl>
    <w:lvl w:ilvl="7" w:tplc="CFA6C1C2" w:tentative="1">
      <w:start w:val="1"/>
      <w:numFmt w:val="lowerLetter"/>
      <w:lvlText w:val="%8."/>
      <w:lvlJc w:val="left"/>
      <w:pPr>
        <w:ind w:left="1507" w:hanging="360"/>
      </w:pPr>
    </w:lvl>
    <w:lvl w:ilvl="8" w:tplc="A8D0C14E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7" w15:restartNumberingAfterBreak="0">
    <w:nsid w:val="19AB5D74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7FD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C321A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5934"/>
    <w:multiLevelType w:val="multilevel"/>
    <w:tmpl w:val="51E07D1C"/>
    <w:lvl w:ilvl="0">
      <w:start w:val="1"/>
      <w:numFmt w:val="lowerLetter"/>
      <w:lvlText w:val="%1)"/>
      <w:lvlJc w:val="left"/>
      <w:pPr>
        <w:ind w:left="1440" w:hanging="720"/>
      </w:pPr>
      <w:rPr>
        <w:rFonts w:ascii="Garamond" w:eastAsia="Calibri" w:hAnsi="Garamond" w:cs="DejaVu Sans" w:hint="default"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C797D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61F6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177DF"/>
    <w:multiLevelType w:val="hybridMultilevel"/>
    <w:tmpl w:val="94AE49C0"/>
    <w:lvl w:ilvl="0" w:tplc="7520EA8C">
      <w:start w:val="1"/>
      <w:numFmt w:val="decimal"/>
      <w:pStyle w:val="Heading1"/>
      <w:lvlText w:val="Artykuł 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F3E30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9372E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61E8"/>
    <w:multiLevelType w:val="multilevel"/>
    <w:tmpl w:val="BF8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8F1B65"/>
    <w:multiLevelType w:val="hybridMultilevel"/>
    <w:tmpl w:val="46EA02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57FE6"/>
    <w:multiLevelType w:val="multilevel"/>
    <w:tmpl w:val="6FB88990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E35DD"/>
    <w:multiLevelType w:val="multilevel"/>
    <w:tmpl w:val="5D82C0EA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828EB"/>
    <w:multiLevelType w:val="hybridMultilevel"/>
    <w:tmpl w:val="D6700D4C"/>
    <w:lvl w:ilvl="0" w:tplc="66DEC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5"/>
  </w:num>
  <w:num w:numId="5">
    <w:abstractNumId w:val="6"/>
  </w:num>
  <w:num w:numId="6">
    <w:abstractNumId w:val="16"/>
  </w:num>
  <w:num w:numId="7">
    <w:abstractNumId w:val="1"/>
  </w:num>
  <w:num w:numId="8">
    <w:abstractNumId w:val="4"/>
  </w:num>
  <w:num w:numId="9">
    <w:abstractNumId w:val="17"/>
  </w:num>
  <w:num w:numId="10">
    <w:abstractNumId w:val="11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13"/>
  </w:num>
  <w:num w:numId="16">
    <w:abstractNumId w:val="19"/>
  </w:num>
  <w:num w:numId="17">
    <w:abstractNumId w:val="15"/>
  </w:num>
  <w:num w:numId="18">
    <w:abstractNumId w:val="20"/>
  </w:num>
  <w:num w:numId="19">
    <w:abstractNumId w:val="14"/>
  </w:num>
  <w:num w:numId="20">
    <w:abstractNumId w:val="12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15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2A"/>
    <w:rsid w:val="00006360"/>
    <w:rsid w:val="0003023D"/>
    <w:rsid w:val="00034ED1"/>
    <w:rsid w:val="00050D9B"/>
    <w:rsid w:val="00077B88"/>
    <w:rsid w:val="001053A5"/>
    <w:rsid w:val="00123731"/>
    <w:rsid w:val="00123ECC"/>
    <w:rsid w:val="0012554C"/>
    <w:rsid w:val="00132921"/>
    <w:rsid w:val="0018541E"/>
    <w:rsid w:val="001A27AA"/>
    <w:rsid w:val="001B40C5"/>
    <w:rsid w:val="001D05C2"/>
    <w:rsid w:val="0027617A"/>
    <w:rsid w:val="00277564"/>
    <w:rsid w:val="00280546"/>
    <w:rsid w:val="002A3096"/>
    <w:rsid w:val="002A4FB2"/>
    <w:rsid w:val="002B26EF"/>
    <w:rsid w:val="002B5031"/>
    <w:rsid w:val="002E3F73"/>
    <w:rsid w:val="002E5F14"/>
    <w:rsid w:val="002F0A7B"/>
    <w:rsid w:val="00310001"/>
    <w:rsid w:val="00347636"/>
    <w:rsid w:val="003710CA"/>
    <w:rsid w:val="0037380C"/>
    <w:rsid w:val="0037390A"/>
    <w:rsid w:val="00381FB7"/>
    <w:rsid w:val="003A7739"/>
    <w:rsid w:val="003D3843"/>
    <w:rsid w:val="003E42C6"/>
    <w:rsid w:val="003F2867"/>
    <w:rsid w:val="003F2944"/>
    <w:rsid w:val="0040360B"/>
    <w:rsid w:val="00404F3B"/>
    <w:rsid w:val="00441FBB"/>
    <w:rsid w:val="00442062"/>
    <w:rsid w:val="00442515"/>
    <w:rsid w:val="004563E9"/>
    <w:rsid w:val="0048150C"/>
    <w:rsid w:val="004F08B1"/>
    <w:rsid w:val="004F3FAB"/>
    <w:rsid w:val="005279C9"/>
    <w:rsid w:val="0054554D"/>
    <w:rsid w:val="00560167"/>
    <w:rsid w:val="00577305"/>
    <w:rsid w:val="00586237"/>
    <w:rsid w:val="00586ABD"/>
    <w:rsid w:val="005901FA"/>
    <w:rsid w:val="005A173F"/>
    <w:rsid w:val="005B2A0F"/>
    <w:rsid w:val="005D6D4F"/>
    <w:rsid w:val="006204CA"/>
    <w:rsid w:val="006259F9"/>
    <w:rsid w:val="0063732C"/>
    <w:rsid w:val="006438D2"/>
    <w:rsid w:val="00676A1B"/>
    <w:rsid w:val="006B2431"/>
    <w:rsid w:val="006D3B1C"/>
    <w:rsid w:val="006D4598"/>
    <w:rsid w:val="006E197F"/>
    <w:rsid w:val="00704C6E"/>
    <w:rsid w:val="007314BD"/>
    <w:rsid w:val="00736D72"/>
    <w:rsid w:val="0074486B"/>
    <w:rsid w:val="00793018"/>
    <w:rsid w:val="007E30D8"/>
    <w:rsid w:val="00810470"/>
    <w:rsid w:val="00812823"/>
    <w:rsid w:val="00814203"/>
    <w:rsid w:val="00816786"/>
    <w:rsid w:val="008224AC"/>
    <w:rsid w:val="00881FF0"/>
    <w:rsid w:val="008867AF"/>
    <w:rsid w:val="00897BA8"/>
    <w:rsid w:val="008B6317"/>
    <w:rsid w:val="008C45E1"/>
    <w:rsid w:val="008C61F9"/>
    <w:rsid w:val="008C6843"/>
    <w:rsid w:val="008D6CB0"/>
    <w:rsid w:val="008E7F87"/>
    <w:rsid w:val="008F4FB8"/>
    <w:rsid w:val="00915636"/>
    <w:rsid w:val="00922804"/>
    <w:rsid w:val="00923317"/>
    <w:rsid w:val="00927820"/>
    <w:rsid w:val="0094463C"/>
    <w:rsid w:val="00971462"/>
    <w:rsid w:val="009749B4"/>
    <w:rsid w:val="009845FE"/>
    <w:rsid w:val="009A4759"/>
    <w:rsid w:val="009B336D"/>
    <w:rsid w:val="009F7922"/>
    <w:rsid w:val="00A02D68"/>
    <w:rsid w:val="00A330E4"/>
    <w:rsid w:val="00A506A5"/>
    <w:rsid w:val="00A54130"/>
    <w:rsid w:val="00A5670B"/>
    <w:rsid w:val="00A73E4D"/>
    <w:rsid w:val="00A94281"/>
    <w:rsid w:val="00A95CFA"/>
    <w:rsid w:val="00A9649F"/>
    <w:rsid w:val="00AE2712"/>
    <w:rsid w:val="00AF150A"/>
    <w:rsid w:val="00B07A51"/>
    <w:rsid w:val="00B12E71"/>
    <w:rsid w:val="00B16F42"/>
    <w:rsid w:val="00B260BA"/>
    <w:rsid w:val="00B42E19"/>
    <w:rsid w:val="00B6463C"/>
    <w:rsid w:val="00BC33AC"/>
    <w:rsid w:val="00BE0D3D"/>
    <w:rsid w:val="00BF7812"/>
    <w:rsid w:val="00C23954"/>
    <w:rsid w:val="00C33041"/>
    <w:rsid w:val="00C8696D"/>
    <w:rsid w:val="00CD7454"/>
    <w:rsid w:val="00D215E0"/>
    <w:rsid w:val="00D22FB5"/>
    <w:rsid w:val="00D304B8"/>
    <w:rsid w:val="00D53F20"/>
    <w:rsid w:val="00D64044"/>
    <w:rsid w:val="00D71678"/>
    <w:rsid w:val="00D73E8E"/>
    <w:rsid w:val="00D80392"/>
    <w:rsid w:val="00DD7AD7"/>
    <w:rsid w:val="00DE0642"/>
    <w:rsid w:val="00DE0C46"/>
    <w:rsid w:val="00DF1296"/>
    <w:rsid w:val="00DF1766"/>
    <w:rsid w:val="00E16A07"/>
    <w:rsid w:val="00E45811"/>
    <w:rsid w:val="00E46D1A"/>
    <w:rsid w:val="00E8180F"/>
    <w:rsid w:val="00EA20C6"/>
    <w:rsid w:val="00EA4B8E"/>
    <w:rsid w:val="00EC1940"/>
    <w:rsid w:val="00EF0262"/>
    <w:rsid w:val="00EF5296"/>
    <w:rsid w:val="00EF7C20"/>
    <w:rsid w:val="00F011C7"/>
    <w:rsid w:val="00F0599C"/>
    <w:rsid w:val="00F26AD4"/>
    <w:rsid w:val="00F3442A"/>
    <w:rsid w:val="00F44F9F"/>
    <w:rsid w:val="00F5553A"/>
    <w:rsid w:val="00F65A0D"/>
    <w:rsid w:val="00F67874"/>
    <w:rsid w:val="00F754B3"/>
    <w:rsid w:val="00F77B3C"/>
    <w:rsid w:val="00F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880CD"/>
  <w15:docId w15:val="{596893BB-5E8A-441B-9548-F3C630D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DejaVu Sans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6B"/>
    <w:pPr>
      <w:widowControl w:val="0"/>
      <w:spacing w:after="120" w:line="360" w:lineRule="auto"/>
      <w:ind w:firstLine="284"/>
      <w:jc w:val="both"/>
    </w:pPr>
    <w:rPr>
      <w:rFonts w:ascii="Garamond" w:eastAsiaTheme="minorHAnsi" w:hAnsi="Garamond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360"/>
    <w:pPr>
      <w:numPr>
        <w:numId w:val="14"/>
      </w:numPr>
      <w:tabs>
        <w:tab w:val="left" w:pos="1276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arter">
    <w:name w:val="Cabeçalho Caráter"/>
    <w:basedOn w:val="DefaultParagraphFont"/>
    <w:qFormat/>
  </w:style>
  <w:style w:type="character" w:customStyle="1" w:styleId="RodapCarter">
    <w:name w:val="Rodapé Caráter"/>
    <w:basedOn w:val="DefaultParagraphFont"/>
    <w:qFormat/>
  </w:style>
  <w:style w:type="character" w:customStyle="1" w:styleId="LigaodeInternet">
    <w:name w:val="Ligação de Internet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TextodecomentrioCarter">
    <w:name w:val="Texto de comentário Caráte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TextodebaloCarter">
    <w:name w:val="Texto de balão Caráte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AvanodecorpodetextoCarter">
    <w:name w:val="Avanço de corpo de texto Caráter"/>
    <w:basedOn w:val="DefaultParagraphFont"/>
    <w:qFormat/>
    <w:rPr>
      <w:rFonts w:ascii="Times New Roman" w:hAnsi="Times New Roman" w:cs="Times New Roman"/>
      <w:sz w:val="24"/>
      <w:szCs w:val="24"/>
      <w:lang w:eastAsia="pt-PT" w:bidi="pt-PT"/>
    </w:rPr>
  </w:style>
  <w:style w:type="character" w:customStyle="1" w:styleId="AssuntodecomentrioCarter">
    <w:name w:val="Assunto de comentário Caráter"/>
    <w:basedOn w:val="TextodecomentrioCarte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Verdana" w:eastAsia="Calibri" w:hAnsi="Verdana" w:cs="DejaVu Sans"/>
      <w:sz w:val="20"/>
    </w:rPr>
  </w:style>
  <w:style w:type="character" w:customStyle="1" w:styleId="ListLabel2">
    <w:name w:val="ListLabel 2"/>
    <w:qFormat/>
    <w:rPr>
      <w:rFonts w:ascii="Verdana" w:eastAsia="Calibri" w:hAnsi="Verdana" w:cs="DejaVu Sans"/>
      <w:sz w:val="20"/>
      <w:szCs w:val="20"/>
      <w:highlight w:val="yellow"/>
      <w:lang w:eastAsia="en-US"/>
    </w:rPr>
  </w:style>
  <w:style w:type="character" w:customStyle="1" w:styleId="ListLabel3">
    <w:name w:val="ListLabel 3"/>
    <w:qFormat/>
    <w:rPr>
      <w:rFonts w:ascii="Verdana" w:hAnsi="Verdana"/>
      <w:color w:val="006633"/>
      <w:sz w:val="20"/>
      <w:szCs w:val="20"/>
      <w:highlight w:val="white"/>
    </w:rPr>
  </w:style>
  <w:style w:type="character" w:customStyle="1" w:styleId="ListLabel4">
    <w:name w:val="ListLabel 4"/>
    <w:qFormat/>
    <w:rPr>
      <w:rFonts w:ascii="Verdana" w:eastAsia="Calibri" w:hAnsi="Verdana" w:cs="DejaVu Sans"/>
      <w:sz w:val="20"/>
    </w:rPr>
  </w:style>
  <w:style w:type="character" w:customStyle="1" w:styleId="ListLabel5">
    <w:name w:val="ListLabel 5"/>
    <w:qFormat/>
    <w:rPr>
      <w:rFonts w:ascii="Verdana" w:eastAsia="Calibri" w:hAnsi="Verdana" w:cs="DejaVu Sans"/>
      <w:sz w:val="20"/>
      <w:szCs w:val="20"/>
      <w:highlight w:val="yellow"/>
      <w:lang w:eastAsia="en-US"/>
    </w:rPr>
  </w:style>
  <w:style w:type="character" w:customStyle="1" w:styleId="ListLabel6">
    <w:name w:val="ListLabel 6"/>
    <w:qFormat/>
    <w:rPr>
      <w:rFonts w:ascii="Verdana" w:hAnsi="Verdana"/>
      <w:color w:val="006633"/>
      <w:sz w:val="20"/>
      <w:szCs w:val="20"/>
      <w:highlight w:val="white"/>
    </w:rPr>
  </w:style>
  <w:style w:type="character" w:styleId="Emphasis">
    <w:name w:val="Emphasis"/>
    <w:qFormat/>
    <w:rPr>
      <w:i/>
      <w:iCs/>
    </w:rPr>
  </w:style>
  <w:style w:type="character" w:customStyle="1" w:styleId="ListLabel7">
    <w:name w:val="ListLabel 7"/>
    <w:qFormat/>
    <w:rPr>
      <w:rFonts w:ascii="Verdana" w:eastAsia="Calibri" w:hAnsi="Verdana" w:cs="DejaVu Sans"/>
      <w:sz w:val="20"/>
    </w:rPr>
  </w:style>
  <w:style w:type="character" w:customStyle="1" w:styleId="ListLabel8">
    <w:name w:val="ListLabel 8"/>
    <w:qFormat/>
    <w:rPr>
      <w:rFonts w:ascii="Verdana" w:eastAsia="Calibri" w:hAnsi="Verdana"/>
      <w:sz w:val="20"/>
      <w:szCs w:val="20"/>
      <w:highlight w:val="yellow"/>
      <w:lang w:eastAsia="en-US"/>
    </w:rPr>
  </w:style>
  <w:style w:type="character" w:customStyle="1" w:styleId="ListLabel9">
    <w:name w:val="ListLabel 9"/>
    <w:qFormat/>
    <w:rPr>
      <w:rFonts w:ascii="Verdana" w:hAnsi="Verdana"/>
      <w:color w:val="006633"/>
      <w:sz w:val="20"/>
      <w:szCs w:val="20"/>
      <w:highlight w:val="white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lang w:eastAsia="pt-PT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pPr>
      <w:spacing w:before="240" w:after="240" w:line="480" w:lineRule="auto"/>
      <w:ind w:left="2160" w:hanging="720"/>
    </w:pPr>
    <w:rPr>
      <w:rFonts w:ascii="Times New Roman" w:hAnsi="Times New Roman" w:cs="Times New Roman"/>
      <w:lang w:eastAsia="pt-PT" w:bidi="pt-PT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Revision">
    <w:name w:val="Revision"/>
    <w:qFormat/>
    <w:pPr>
      <w:overflowPunct w:val="0"/>
    </w:pPr>
    <w:rPr>
      <w:sz w:val="22"/>
    </w:rPr>
  </w:style>
  <w:style w:type="paragraph" w:customStyle="1" w:styleId="Contedodatabela">
    <w:name w:val="Conteúdo da tabela"/>
    <w:basedOn w:val="Normal"/>
    <w:qFormat/>
    <w:rsid w:val="009845FE"/>
    <w:pPr>
      <w:suppressLineNumbers/>
    </w:pPr>
    <w:rPr>
      <w:rFonts w:asciiTheme="minorHAnsi" w:hAnsiTheme="minorHAnsi"/>
    </w:rPr>
  </w:style>
  <w:style w:type="character" w:customStyle="1" w:styleId="nfaseacentuada">
    <w:name w:val="Ênfase acentuada"/>
    <w:qFormat/>
    <w:rsid w:val="00EC1940"/>
    <w:rPr>
      <w:b/>
      <w:bCs/>
    </w:rPr>
  </w:style>
  <w:style w:type="character" w:customStyle="1" w:styleId="ListParagraphChar">
    <w:name w:val="List Paragraph Char"/>
    <w:link w:val="ListParagraph"/>
    <w:uiPriority w:val="34"/>
    <w:rsid w:val="0037390A"/>
    <w:rPr>
      <w:sz w:val="22"/>
    </w:rPr>
  </w:style>
  <w:style w:type="paragraph" w:customStyle="1" w:styleId="CM1">
    <w:name w:val="CM1"/>
    <w:basedOn w:val="Normal"/>
    <w:next w:val="Normal"/>
    <w:uiPriority w:val="99"/>
    <w:rsid w:val="0054554D"/>
    <w:pPr>
      <w:autoSpaceDE w:val="0"/>
      <w:autoSpaceDN w:val="0"/>
      <w:adjustRightInd w:val="0"/>
      <w:spacing w:after="0" w:line="240" w:lineRule="auto"/>
    </w:pPr>
    <w:rPr>
      <w:rFonts w:ascii="EU Albertina" w:hAnsi="EU Albertina"/>
    </w:rPr>
  </w:style>
  <w:style w:type="paragraph" w:customStyle="1" w:styleId="CM3">
    <w:name w:val="CM3"/>
    <w:basedOn w:val="Normal"/>
    <w:next w:val="Normal"/>
    <w:uiPriority w:val="99"/>
    <w:rsid w:val="0054554D"/>
    <w:pPr>
      <w:autoSpaceDE w:val="0"/>
      <w:autoSpaceDN w:val="0"/>
      <w:adjustRightInd w:val="0"/>
      <w:spacing w:after="0" w:line="240" w:lineRule="auto"/>
    </w:pPr>
    <w:rPr>
      <w:rFonts w:ascii="EU Albertina" w:hAnsi="EU Albertina"/>
    </w:rPr>
  </w:style>
  <w:style w:type="character" w:customStyle="1" w:styleId="Heading1Char">
    <w:name w:val="Heading 1 Char"/>
    <w:basedOn w:val="DefaultParagraphFont"/>
    <w:link w:val="Heading1"/>
    <w:uiPriority w:val="9"/>
    <w:rsid w:val="00006360"/>
    <w:rPr>
      <w:rFonts w:ascii="Garamond" w:hAnsi="Garamond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8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0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2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46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1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86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50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99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e.pt/application/external/eurolex?06R1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dc:description/>
  <cp:lastModifiedBy>Dimitris Dimitriadis</cp:lastModifiedBy>
  <cp:revision>6</cp:revision>
  <cp:lastPrinted>2021-02-01T17:16:00Z</cp:lastPrinted>
  <dcterms:created xsi:type="dcterms:W3CDTF">2021-03-15T17:27:00Z</dcterms:created>
  <dcterms:modified xsi:type="dcterms:W3CDTF">2021-03-23T15:46:00Z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FileDoc_ClassificationNodeID">
    <vt:lpwstr/>
  </property>
  <property fmtid="{D5CDD505-2E9C-101B-9397-08002B2CF9AE}" pid="5" name="FileDoc_DocFileID">
    <vt:lpwstr>3700771</vt:lpwstr>
  </property>
  <property fmtid="{D5CDD505-2E9C-101B-9397-08002B2CF9AE}" pid="6" name="FileDoc_DocID">
    <vt:lpwstr>2627419</vt:lpwstr>
  </property>
  <property fmtid="{D5CDD505-2E9C-101B-9397-08002B2CF9AE}" pid="7" name="FileDoc_EntityID">
    <vt:lpwstr/>
  </property>
  <property fmtid="{D5CDD505-2E9C-101B-9397-08002B2CF9AE}" pid="8" name="FileDoc_ProcID">
    <vt:lpwstr/>
  </property>
  <property fmtid="{D5CDD505-2E9C-101B-9397-08002B2CF9AE}" pid="9" name="FileDoc_RecordType">
    <vt:lpwstr>DOCS</vt:lpwstr>
  </property>
  <property fmtid="{D5CDD505-2E9C-101B-9397-08002B2CF9AE}" pid="10" name="HyperlinksChanged">
    <vt:bool>false</vt:bool>
  </property>
  <property fmtid="{D5CDD505-2E9C-101B-9397-08002B2CF9AE}" pid="11" name="LinksUpToDate">
    <vt:bool>false</vt:bool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