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0045 D-- PL- ------ 20210210 --- --- PROJET</w:t>
      </w:r>
    </w:p>
    <w:p w14:paraId="2A1D7EB4" w14:textId="77777777" w:rsidR="00A1618A" w:rsidRPr="0018171E" w:rsidRDefault="00A1618A" w:rsidP="00E5776A">
      <w:pPr>
        <w:spacing w:after="240" w:line="360" w:lineRule="auto"/>
        <w:rPr>
          <w:sz w:val="26"/>
          <w:szCs w:val="26"/>
          <w:rFonts w:ascii="Arial" w:hAnsi="Arial" w:cs="Arial"/>
        </w:rPr>
      </w:pPr>
      <w:r>
        <w:rPr>
          <w:sz w:val="26"/>
          <w:szCs w:val="26"/>
          <w:rFonts w:ascii="Arial" w:hAnsi="Arial"/>
        </w:rPr>
        <w:t xml:space="preserve">Ministerstwo Sprawiedliwości i Ochrony Konsumentów</w:t>
      </w:r>
    </w:p>
    <w:p w14:paraId="4892787C" w14:textId="77777777" w:rsidR="00A1618A" w:rsidRPr="0018171E" w:rsidRDefault="00A1618A" w:rsidP="00E5776A">
      <w:pPr>
        <w:spacing w:after="360" w:line="360" w:lineRule="auto"/>
        <w:jc w:val="center"/>
        <w:rPr>
          <w:b/>
          <w:sz w:val="30"/>
          <w:szCs w:val="30"/>
          <w:rFonts w:ascii="Arial Fett" w:hAnsi="Arial Fett" w:cs="Arial"/>
        </w:rPr>
      </w:pPr>
      <w:r>
        <w:rPr>
          <w:b/>
          <w:sz w:val="30"/>
          <w:szCs w:val="30"/>
          <w:rFonts w:ascii="Arial Fett" w:hAnsi="Arial Fett"/>
        </w:rPr>
        <w:t xml:space="preserve">Propozycja zmiany</w:t>
      </w:r>
    </w:p>
    <w:p w14:paraId="3625169F" w14:textId="77777777" w:rsidR="00A1618A" w:rsidRPr="0018171E" w:rsidRDefault="00A1618A" w:rsidP="00E5776A">
      <w:pPr>
        <w:spacing w:line="360" w:lineRule="auto"/>
        <w:rPr>
          <w:b/>
          <w:sz w:val="26"/>
          <w:szCs w:val="26"/>
          <w:rFonts w:ascii="Arial" w:hAnsi="Arial" w:cs="Arial"/>
        </w:rPr>
      </w:pPr>
      <w:r>
        <w:rPr>
          <w:b/>
          <w:sz w:val="26"/>
          <w:szCs w:val="26"/>
          <w:rFonts w:ascii="Arial" w:hAnsi="Arial"/>
        </w:rPr>
        <w:t xml:space="preserve">do projektu ustawy rządu federalnego</w:t>
      </w:r>
    </w:p>
    <w:p w14:paraId="47E1A8FA" w14:textId="77777777" w:rsidR="00A1618A" w:rsidRPr="0018171E" w:rsidRDefault="00A1618A" w:rsidP="00E5776A">
      <w:pPr>
        <w:spacing w:after="240" w:line="360" w:lineRule="auto"/>
        <w:rPr>
          <w:b/>
          <w:sz w:val="26"/>
          <w:szCs w:val="26"/>
          <w:rFonts w:ascii="Arial" w:hAnsi="Arial" w:cs="Arial"/>
        </w:rPr>
      </w:pPr>
      <w:r>
        <w:rPr>
          <w:b/>
          <w:sz w:val="26"/>
          <w:szCs w:val="26"/>
          <w:rFonts w:ascii="Arial" w:hAnsi="Arial"/>
        </w:rPr>
        <w:t xml:space="preserve">– Druk </w:t>
      </w:r>
      <w:r>
        <w:rPr>
          <w:b/>
          <w:rStyle w:val="Marker"/>
        </w:rPr>
        <w:t xml:space="preserve">[…]</w:t>
      </w:r>
      <w:r>
        <w:rPr>
          <w:b/>
          <w:sz w:val="26"/>
          <w:szCs w:val="26"/>
          <w:rFonts w:ascii="Arial" w:hAnsi="Arial"/>
        </w:rPr>
        <w:t xml:space="preserve"> –</w:t>
      </w:r>
    </w:p>
    <w:p w14:paraId="371C6925" w14:textId="77777777" w:rsidR="00A1618A" w:rsidRPr="0018171E" w:rsidRDefault="00A1618A" w:rsidP="00E5776A">
      <w:pPr>
        <w:spacing w:after="480" w:line="360" w:lineRule="auto"/>
        <w:rPr>
          <w:rStyle w:val="Marker"/>
        </w:rPr>
      </w:pPr>
      <w:r>
        <w:rPr>
          <w:rStyle w:val="Marker"/>
        </w:rPr>
        <w:t xml:space="preserve">[…]</w:t>
      </w:r>
    </w:p>
    <w:p w14:paraId="57FA809D" w14:textId="77777777" w:rsidR="00A1618A" w:rsidRPr="0018171E" w:rsidRDefault="00A1618A" w:rsidP="00E5776A">
      <w:pPr>
        <w:spacing w:line="360" w:lineRule="auto"/>
        <w:rPr>
          <w:sz w:val="22"/>
          <w:rFonts w:ascii="Arial" w:hAnsi="Arial" w:cs="Arial"/>
        </w:rPr>
      </w:pPr>
      <w:r>
        <w:rPr>
          <w:sz w:val="22"/>
          <w:rFonts w:ascii="Arial" w:hAnsi="Arial"/>
        </w:rPr>
        <w:t xml:space="preserve">Bundestag zamierza podjąć decyzję</w:t>
      </w:r>
    </w:p>
    <w:p w14:paraId="7B2A7215" w14:textId="5911DA34" w:rsidR="0063228E" w:rsidRPr="0018171E" w:rsidRDefault="00A1618A" w:rsidP="00E5776A">
      <w:pPr>
        <w:spacing w:line="360" w:lineRule="auto"/>
        <w:rPr>
          <w:sz w:val="22"/>
          <w:rFonts w:ascii="Arial" w:hAnsi="Arial" w:cs="Arial"/>
        </w:rPr>
      </w:pPr>
      <w:r>
        <w:rPr>
          <w:sz w:val="22"/>
          <w:rFonts w:ascii="Arial" w:hAnsi="Arial"/>
        </w:rPr>
        <w:t xml:space="preserve">o przyjęciu projektu ustawy na druku </w:t>
      </w:r>
      <w:r>
        <w:rPr>
          <w:rStyle w:val="Marker"/>
        </w:rPr>
        <w:t xml:space="preserve">[…]</w:t>
      </w:r>
      <w:r>
        <w:rPr>
          <w:sz w:val="22"/>
          <w:rFonts w:ascii="Arial" w:hAnsi="Arial"/>
        </w:rPr>
        <w:t xml:space="preserve"> z następującymi zastrzeżeniami, zaś w pozostałym zakresie bez zmian:</w:t>
      </w:r>
    </w:p>
    <w:p w14:paraId="63DEEB82" w14:textId="1DF3B60D" w:rsidR="00A1618A" w:rsidRPr="0018171E" w:rsidRDefault="00A1618A" w:rsidP="00A1618A">
      <w:pPr>
        <w:pStyle w:val="EmpfehlungNummerierungStufe1"/>
      </w:pPr>
      <w:r>
        <w:t xml:space="preserve">Po art. ... dodaje się art. ... w brzmieniu:</w:t>
      </w:r>
    </w:p>
    <w:p w14:paraId="299BD583" w14:textId="5B63D453" w:rsidR="00E5776A" w:rsidRPr="0018171E" w:rsidRDefault="00E5776A" w:rsidP="009C727B">
      <w:pPr>
        <w:pStyle w:val="RevisionArtikelBezeichnermanuell"/>
        <w:ind w:left="425" w:hanging="70"/>
      </w:pPr>
      <w:r>
        <w:t xml:space="preserve">„Artykuł </w:t>
      </w:r>
      <w:r>
        <w:rPr>
          <w:rStyle w:val="Marker"/>
        </w:rPr>
        <w:t xml:space="preserve">[…]</w:t>
      </w:r>
      <w:r>
        <w:rPr>
          <w:rStyle w:val="FootnoteReference"/>
          <w:color w:val="0000FF"/>
        </w:rPr>
        <w:footnoteReference w:customMarkFollows="1" w:id="1"/>
        <w:t xml:space="preserve">*</w:t>
      </w:r>
      <w:r>
        <w:rPr>
          <w:rStyle w:val="FootnoteReference"/>
          <w:color w:val="0000FF"/>
          <w:vertAlign w:val="baseline"/>
        </w:rPr>
        <w:t xml:space="preserve">)</w:t>
      </w:r>
      <w:r>
        <w:rPr>
          <w:rStyle w:val="Marker"/>
        </w:rPr>
        <w:t xml:space="preserve"> </w:t>
      </w:r>
    </w:p>
    <w:p w14:paraId="0353C7F8" w14:textId="06DB94DE" w:rsidR="00D879BF" w:rsidRPr="0018171E" w:rsidRDefault="00D879BF" w:rsidP="009C727B">
      <w:pPr>
        <w:pStyle w:val="RevisionArtikelberschrift"/>
        <w:ind w:left="425"/>
      </w:pPr>
      <w:r>
        <w:rPr>
          <w:b/>
        </w:rPr>
        <w:t xml:space="preserve">Zmiana ustawy o poprawie egzekwowania prawa w sieciach społecznościowych</w:t>
      </w:r>
    </w:p>
    <w:p w14:paraId="17D06E04" w14:textId="25FA39A2" w:rsidR="00A1618A" w:rsidRPr="0018171E" w:rsidRDefault="00A1618A" w:rsidP="0018171E">
      <w:pPr>
        <w:pStyle w:val="RevisionJuristischerAbsatzmanuell"/>
        <w:keepNext/>
        <w:tabs>
          <w:tab w:val="clear" w:pos="850"/>
          <w:tab w:val="left" w:pos="1275"/>
        </w:tabs>
        <w:ind w:left="425"/>
      </w:pPr>
      <w:r>
        <w:t xml:space="preserve">W ustawie z dnia 1 września 2017 r. o poprawie egzekwowania prawa w sieciach społecznościowych (Federalny Dz.U.</w:t>
      </w:r>
      <w:r>
        <w:t xml:space="preserve"> </w:t>
      </w:r>
      <w:r>
        <w:t xml:space="preserve">I s. 3352), ostatnio zmienionej … [art. 1 projektu ustawy zmieniającej ustawę o poprawie egzekwowania prawa w sieciach społecznościowych, druk Bundestagu 19/18792], wprowadza się następujące zmiany:</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W § 1 ust. 2 wyrażenie </w:t>
      </w:r>
      <w:r>
        <w:rPr>
          <w:rStyle w:val="RevisionText"/>
        </w:rPr>
        <w:t xml:space="preserve">„§§ 2–3b”</w:t>
      </w:r>
      <w:r>
        <w:t xml:space="preserve"> zastępuje się wyrażeniem </w:t>
      </w:r>
      <w:r>
        <w:rPr>
          <w:rStyle w:val="RevisionText"/>
        </w:rPr>
        <w:t xml:space="preserve">„§§ 2– 3b i 5a”</w:t>
      </w:r>
      <w:r>
        <w:t xml:space="preserve">.</w:t>
      </w:r>
    </w:p>
    <w:p w14:paraId="10263F3F" w14:textId="0779D0EE" w:rsidR="00A1618A" w:rsidRPr="0018171E" w:rsidRDefault="00A1618A" w:rsidP="009C727B">
      <w:pPr>
        <w:pStyle w:val="RevisionNummerierungStufe1"/>
        <w:tabs>
          <w:tab w:val="clear" w:pos="425"/>
          <w:tab w:val="num" w:pos="850"/>
        </w:tabs>
        <w:ind w:left="850"/>
      </w:pPr>
      <w:r>
        <w:t xml:space="preserve">W § 2 ust. 2 pkt 2 po słowach </w:t>
      </w:r>
      <w:r>
        <w:rPr>
          <w:rStyle w:val="RevisionText"/>
        </w:rPr>
        <w:t xml:space="preserve">„są wspierane w analizie tych procedur”</w:t>
      </w:r>
      <w:r>
        <w:t xml:space="preserve"> dodaje się słowa </w:t>
      </w:r>
      <w:r>
        <w:rPr>
          <w:rStyle w:val="RevisionText"/>
        </w:rPr>
        <w:t xml:space="preserve">„i w tym celu otrzymały dostęp do informacji będących w posiadaniu dostawcy”</w:t>
      </w:r>
      <w:r>
        <w:t xml:space="preserve">.</w:t>
      </w:r>
    </w:p>
    <w:p w14:paraId="26550664" w14:textId="0FE945BB" w:rsidR="00A1618A" w:rsidRPr="0018171E" w:rsidRDefault="00A1618A" w:rsidP="0018171E">
      <w:pPr>
        <w:pStyle w:val="RevisionNummerierungStufe1"/>
        <w:keepNext/>
        <w:tabs>
          <w:tab w:val="clear" w:pos="425"/>
          <w:tab w:val="num" w:pos="850"/>
        </w:tabs>
        <w:ind w:left="850"/>
      </w:pPr>
      <w:r>
        <w:t xml:space="preserve">Po § 5 dodaje się § 5a w brzmieniu:</w:t>
      </w:r>
    </w:p>
    <w:p w14:paraId="0324CC36" w14:textId="2F7FB129" w:rsidR="00D879BF" w:rsidRPr="0018171E" w:rsidRDefault="00D879BF" w:rsidP="009C727B">
      <w:pPr>
        <w:pStyle w:val="RevisionParagraphBezeichnermanuell"/>
        <w:ind w:left="850" w:hanging="90"/>
      </w:pPr>
      <w:r>
        <w:t xml:space="preserve">„§ 5a</w:t>
      </w:r>
    </w:p>
    <w:p w14:paraId="726DC658" w14:textId="39CB7E5F" w:rsidR="00D879BF" w:rsidRPr="0018171E" w:rsidRDefault="00D879BF" w:rsidP="009C727B">
      <w:pPr>
        <w:pStyle w:val="RevisionParagraphberschrift"/>
        <w:ind w:left="850"/>
      </w:pPr>
      <w:r>
        <w:t xml:space="preserve">Informacje na potrzeby badań naukowych</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 xml:space="preserve">W rozumieniu niniejszego przepisu „naukowiec” oznacza każdą osobę fizyczną lub prawną prowadzącą badania naukowe.</w:t>
      </w:r>
    </w:p>
    <w:p w14:paraId="465DF5C8" w14:textId="2D2C57F4" w:rsidR="003E7797" w:rsidRPr="0018171E" w:rsidRDefault="003E7797" w:rsidP="0018171E">
      <w:pPr>
        <w:pStyle w:val="RevisionJuristischerAbsatz"/>
        <w:keepNext/>
        <w:tabs>
          <w:tab w:val="clear" w:pos="850"/>
          <w:tab w:val="num" w:pos="1700"/>
        </w:tabs>
        <w:ind w:left="850"/>
      </w:pPr>
      <w:r>
        <w:t xml:space="preserve">Naukowiec może zwrócić się do dostawcy sieci społecznościowej o kwalifikowane informacje na temat:</w:t>
      </w:r>
    </w:p>
    <w:p w14:paraId="1DAACCE7" w14:textId="576C75C0" w:rsidR="003E7797" w:rsidRPr="0018171E" w:rsidRDefault="003E7797" w:rsidP="009C727B">
      <w:pPr>
        <w:pStyle w:val="RevisionNummerierungStufe1"/>
        <w:tabs>
          <w:tab w:val="clear" w:pos="425"/>
          <w:tab w:val="num" w:pos="1275"/>
        </w:tabs>
        <w:ind w:left="1275"/>
      </w:pPr>
      <w:r>
        <w:t xml:space="preserve">stosowania i konkretnego działania procedur automatycznego rozpoznawania treści, które mają zostać usunięte lub zablokowane, w szczególności charakteru i zakresu stosowanych technologii oraz celów, kryteriów i parametrów ich programowania, jak również wykorzystywanych danych,</w:t>
      </w:r>
    </w:p>
    <w:p w14:paraId="3C838C31" w14:textId="1ACF9BED" w:rsidR="003E7797" w:rsidRPr="0018171E" w:rsidRDefault="003E7797" w:rsidP="009C727B">
      <w:pPr>
        <w:pStyle w:val="RevisionNummerierungStufe1"/>
        <w:tabs>
          <w:tab w:val="clear" w:pos="425"/>
          <w:tab w:val="num" w:pos="1275"/>
        </w:tabs>
        <w:ind w:left="1275"/>
      </w:pPr>
      <w:r>
        <w:t xml:space="preserve">rozpowszechniania treści, które były przedmiotem skarg dotyczących treści niezgodnych z prawem lub które zostały usunięte lub zablokowane przez dostawcę, w szczególności odpowiednich treści, jak również informacji o tym, którzy użytkownicy weszli w interakcję z tymi treściami i w jaki sposób.</w:t>
      </w:r>
    </w:p>
    <w:p w14:paraId="1DA5F836" w14:textId="37C638B4" w:rsidR="003E7797" w:rsidRPr="0018171E" w:rsidRDefault="003E7797" w:rsidP="009C727B">
      <w:pPr>
        <w:pStyle w:val="RevisionJuristischerAbsatz"/>
        <w:tabs>
          <w:tab w:val="clear" w:pos="850"/>
          <w:tab w:val="num" w:pos="1700"/>
        </w:tabs>
        <w:ind w:left="850"/>
      </w:pPr>
      <w:r>
        <w:t xml:space="preserve">O informacje w rozumieniu ust. 2 można zwracać się jedynie w zakresie, w jakim jest to konieczne dla projektów badań naukowych leżących w interesie publicznym, dotyczących charakteru, zakresu, przyczyn i skutków komunikacji publicznej w sieciach społecznościowych oraz sposobów traktowania jej przez dostawców.</w:t>
      </w:r>
    </w:p>
    <w:p w14:paraId="0D5D8322" w14:textId="0EC96F12" w:rsidR="003B0970" w:rsidRPr="0018171E" w:rsidRDefault="003B0970" w:rsidP="0018171E">
      <w:pPr>
        <w:pStyle w:val="RevisionJuristischerAbsatz"/>
        <w:keepNext/>
        <w:tabs>
          <w:tab w:val="clear" w:pos="850"/>
          <w:tab w:val="num" w:pos="1700"/>
        </w:tabs>
        <w:ind w:left="850"/>
      </w:pPr>
      <w:r>
        <w:t xml:space="preserve">Informacje mogą zostać udostępnione tylko wówczas, gdy naukowiec przedstawi dostawcy sieci społecznościowej koncepcję ochrony.</w:t>
      </w:r>
      <w:r>
        <w:t xml:space="preserve"> </w:t>
      </w:r>
      <w:r>
        <w:t xml:space="preserve">Koncepcja ochrony obejmuje</w:t>
      </w:r>
    </w:p>
    <w:p w14:paraId="577C67EC" w14:textId="60CDC11C" w:rsidR="003B0970" w:rsidRPr="0018171E" w:rsidRDefault="003B0970" w:rsidP="009C727B">
      <w:pPr>
        <w:pStyle w:val="RevisionNummerierungStufe1"/>
        <w:tabs>
          <w:tab w:val="clear" w:pos="425"/>
          <w:tab w:val="num" w:pos="1275"/>
        </w:tabs>
        <w:ind w:left="1275"/>
      </w:pPr>
      <w:r>
        <w:t xml:space="preserve">opis informacji wymaganych do celów badawczych, o których mowa w ust. 3,</w:t>
      </w:r>
    </w:p>
    <w:p w14:paraId="5AABA7E4" w14:textId="3A66C314" w:rsidR="003B0970" w:rsidRPr="0018171E" w:rsidRDefault="003B0970" w:rsidP="009C727B">
      <w:pPr>
        <w:pStyle w:val="RevisionNummerierungStufe1"/>
        <w:tabs>
          <w:tab w:val="clear" w:pos="425"/>
          <w:tab w:val="num" w:pos="1275"/>
        </w:tabs>
        <w:ind w:left="1275"/>
      </w:pPr>
      <w:r>
        <w:t xml:space="preserve">opis zamierzonego wykorzystania informacji,</w:t>
      </w:r>
    </w:p>
    <w:p w14:paraId="0654C9E5" w14:textId="4D2A02B0" w:rsidR="003B0970" w:rsidRPr="0018171E" w:rsidRDefault="009A5C22" w:rsidP="009C727B">
      <w:pPr>
        <w:pStyle w:val="RevisionNummerierungStufe1"/>
        <w:tabs>
          <w:tab w:val="clear" w:pos="425"/>
          <w:tab w:val="num" w:pos="1275"/>
        </w:tabs>
        <w:ind w:left="1275"/>
      </w:pPr>
      <w:r>
        <w:t xml:space="preserve">opis środków ostrożności podjętych w celu zapobieżenia wykorzystaniu informacji do innych celów,</w:t>
      </w:r>
    </w:p>
    <w:p w14:paraId="7DD21787" w14:textId="65E2C567" w:rsidR="003B0970" w:rsidRPr="0018171E" w:rsidRDefault="009A5C22" w:rsidP="009C727B">
      <w:pPr>
        <w:pStyle w:val="RevisionNummerierungStufe1"/>
        <w:tabs>
          <w:tab w:val="clear" w:pos="425"/>
          <w:tab w:val="num" w:pos="1275"/>
        </w:tabs>
        <w:ind w:left="1275"/>
      </w:pPr>
      <w:r>
        <w:t xml:space="preserve">opis środków mających na celu ochronę interesów dostawcy, które są godne ochrony, oraz</w:t>
      </w:r>
    </w:p>
    <w:p w14:paraId="7FDD7EDD" w14:textId="6C7443DB" w:rsidR="003B0970" w:rsidRPr="0018171E" w:rsidRDefault="003B0970" w:rsidP="009C727B">
      <w:pPr>
        <w:pStyle w:val="RevisionNummerierungStufe1"/>
        <w:tabs>
          <w:tab w:val="clear" w:pos="425"/>
          <w:tab w:val="num" w:pos="1275"/>
        </w:tabs>
        <w:ind w:left="1275"/>
      </w:pPr>
      <w:r>
        <w:t xml:space="preserve">opis środków technicznych i organizacyjnych podjętych w celu zapewnienia ochrony danych osobowych.</w:t>
      </w:r>
    </w:p>
    <w:p w14:paraId="6F58E8FB" w14:textId="7863B11B" w:rsidR="003B0970" w:rsidRPr="0018171E" w:rsidRDefault="003B0970" w:rsidP="009C727B">
      <w:pPr>
        <w:pStyle w:val="RevisionJuristischerAbsatzFolgeabsatz"/>
        <w:ind w:left="850"/>
      </w:pPr>
      <w:r>
        <w:t xml:space="preserve">Koncepcja ochrony musi zostać przedłożona właściwemu organowi nadzorczemu ds. ochrony danych wraz z wnioskiem o udzielenie informacji.</w:t>
      </w:r>
    </w:p>
    <w:p w14:paraId="4D175D2B" w14:textId="0B4186A8" w:rsidR="009C0AFB" w:rsidRPr="0018171E" w:rsidRDefault="003E7797" w:rsidP="0018171E">
      <w:pPr>
        <w:pStyle w:val="RevisionJuristischerAbsatz"/>
        <w:keepNext/>
        <w:tabs>
          <w:tab w:val="clear" w:pos="850"/>
          <w:tab w:val="num" w:pos="1700"/>
        </w:tabs>
        <w:ind w:left="850"/>
      </w:pPr>
      <w:r>
        <w:t xml:space="preserve">Dostawca sieci społecznościowej może odmówić udzielenia informacji, jeżeli</w:t>
      </w:r>
    </w:p>
    <w:p w14:paraId="20E7290B" w14:textId="1403DA61" w:rsidR="009C0AFB" w:rsidRPr="0018171E" w:rsidRDefault="003E7797" w:rsidP="009C727B">
      <w:pPr>
        <w:pStyle w:val="RevisionNummerierungStufe1"/>
        <w:tabs>
          <w:tab w:val="clear" w:pos="425"/>
          <w:tab w:val="num" w:pos="1275"/>
        </w:tabs>
        <w:ind w:left="1275"/>
      </w:pPr>
      <w:r>
        <w:t xml:space="preserve">godne ochrony interesy znacznie przeważają nad publicznym interesem badań lub</w:t>
      </w:r>
    </w:p>
    <w:p w14:paraId="0330033E" w14:textId="544CB962" w:rsidR="003E7797" w:rsidRPr="0018171E" w:rsidRDefault="003E7797" w:rsidP="009C727B">
      <w:pPr>
        <w:pStyle w:val="RevisionNummerierungStufe1"/>
        <w:tabs>
          <w:tab w:val="clear" w:pos="425"/>
          <w:tab w:val="num" w:pos="1275"/>
        </w:tabs>
        <w:ind w:left="1275"/>
      </w:pPr>
      <w:r>
        <w:t xml:space="preserve">naruszone zostają godne ochrony interesy osób, których dane dotyczą, a interes publiczny badań nie przeważa nad interesem poufności osób, których dane dotyczą.</w:t>
      </w:r>
    </w:p>
    <w:p w14:paraId="63F909E8" w14:textId="4478DA44" w:rsidR="00D969A6" w:rsidRPr="0018171E" w:rsidRDefault="00D969A6" w:rsidP="0018171E">
      <w:pPr>
        <w:pStyle w:val="RevisionJuristischerAbsatz"/>
        <w:keepNext/>
        <w:tabs>
          <w:tab w:val="clear" w:pos="850"/>
          <w:tab w:val="num" w:pos="1700"/>
        </w:tabs>
        <w:ind w:left="850"/>
      </w:pPr>
      <w:r>
        <w:t xml:space="preserve">Dostawca sieci społecznościowej może przekazywać następujące dane osobowe w celu udzielania informacji zgodnie z ust. 2:</w:t>
      </w:r>
    </w:p>
    <w:p w14:paraId="63FE05D0" w14:textId="1ABFB4BC" w:rsidR="00D969A6" w:rsidRPr="0018171E" w:rsidRDefault="00D969A6" w:rsidP="009C727B">
      <w:pPr>
        <w:pStyle w:val="RevisionNummerierungStufe1"/>
        <w:tabs>
          <w:tab w:val="clear" w:pos="425"/>
          <w:tab w:val="num" w:pos="1275"/>
        </w:tabs>
        <w:ind w:left="1275"/>
      </w:pPr>
      <w:r>
        <w:t xml:space="preserve">rozpowszechniane treści,</w:t>
      </w:r>
    </w:p>
    <w:p w14:paraId="2331E910" w14:textId="7E2B248A" w:rsidR="00D969A6" w:rsidRPr="0018171E" w:rsidRDefault="00D969A6" w:rsidP="009C727B">
      <w:pPr>
        <w:pStyle w:val="RevisionNummerierungStufe1"/>
        <w:tabs>
          <w:tab w:val="clear" w:pos="425"/>
          <w:tab w:val="num" w:pos="1275"/>
        </w:tabs>
        <w:ind w:left="1275"/>
      </w:pPr>
      <w:r>
        <w:t xml:space="preserve">skargi dotyczące treści niezgodnych z prawem,</w:t>
      </w:r>
    </w:p>
    <w:p w14:paraId="4CC6BEE3" w14:textId="48B4D2C4" w:rsidR="00D969A6" w:rsidRPr="0018171E" w:rsidRDefault="00D969A6" w:rsidP="009C727B">
      <w:pPr>
        <w:pStyle w:val="RevisionNummerierungStufe1"/>
        <w:tabs>
          <w:tab w:val="clear" w:pos="425"/>
          <w:tab w:val="num" w:pos="1275"/>
        </w:tabs>
        <w:ind w:left="1275"/>
      </w:pPr>
      <w:r>
        <w:t xml:space="preserve">nazwy użytkowników osób zaangażowanych w rozpowszechnianie,</w:t>
      </w:r>
    </w:p>
    <w:p w14:paraId="7F95ED84" w14:textId="6E103565" w:rsidR="00D969A6" w:rsidRPr="0018171E" w:rsidRDefault="00D969A6" w:rsidP="009C727B">
      <w:pPr>
        <w:pStyle w:val="RevisionNummerierungStufe1"/>
        <w:tabs>
          <w:tab w:val="clear" w:pos="425"/>
          <w:tab w:val="num" w:pos="1275"/>
        </w:tabs>
        <w:ind w:left="1275"/>
      </w:pPr>
      <w:r>
        <w:t xml:space="preserve">szczegóły na temat okoliczności interakcji osób zaangażowanych w rozpowszechnianie w odniesieniu do odpowiednich treści oraz</w:t>
      </w:r>
    </w:p>
    <w:p w14:paraId="35C5E61A" w14:textId="08449E2C" w:rsidR="00D969A6" w:rsidRPr="0018171E" w:rsidRDefault="00D969A6" w:rsidP="009C727B">
      <w:pPr>
        <w:pStyle w:val="RevisionNummerierungStufe1"/>
        <w:tabs>
          <w:tab w:val="clear" w:pos="425"/>
          <w:tab w:val="num" w:pos="1275"/>
        </w:tabs>
        <w:ind w:left="1275"/>
      </w:pPr>
      <w:r>
        <w:t xml:space="preserve">dane treningowe procedur automatycznego rozpoznawania treści przeznaczonych do usunięcia lub zablokowania, a także informacje o sposobie działania, celach, kryteriach i parametrach programowania tych procedur.</w:t>
      </w:r>
    </w:p>
    <w:p w14:paraId="041944BF" w14:textId="44C7953A" w:rsidR="00D969A6" w:rsidRPr="0018171E" w:rsidRDefault="00D969A6" w:rsidP="009C727B">
      <w:pPr>
        <w:pStyle w:val="RevisionJuristischerAbsatzFolgeabsatz"/>
        <w:ind w:left="850"/>
      </w:pPr>
      <w:r>
        <w:t xml:space="preserve">Dane są przekazywane w postaci zanonimizowanej lub przynajmniej spseudonimizowanej, o ile jest to możliwe bez narażania na szwank celu badań.</w:t>
      </w:r>
    </w:p>
    <w:p w14:paraId="586F09EF" w14:textId="3B2EB56C" w:rsidR="00D969A6" w:rsidRPr="0018171E" w:rsidRDefault="00D969A6" w:rsidP="009C727B">
      <w:pPr>
        <w:pStyle w:val="RevisionJuristischerAbsatz"/>
        <w:tabs>
          <w:tab w:val="clear" w:pos="850"/>
          <w:tab w:val="num" w:pos="1700"/>
        </w:tabs>
        <w:ind w:left="850"/>
      </w:pPr>
      <w:r>
        <w:t xml:space="preserve">Naukowiec może przetwarzać dane wyłącznie w celu realizacji projektów badań naukowych, o których mowa w ust. 3.</w:t>
      </w:r>
      <w:r>
        <w:t xml:space="preserve"> </w:t>
      </w:r>
      <w:r>
        <w:t xml:space="preserve">W zakresie, w jakim przetwarzane są szczególne kategorie danych w rozumieniu art. 9 ust. 1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(Dz.U. L 119 z 4.5.2016, s. 1; L 314 z 22.11.2016, s. 72; L 127 z 23.5.2018, s. 2) w aktualnie obowiązującym brzmieniu, naukowiec zapewnia odpowiednie i szczególne środki w celu zabezpieczenia interesów osoby, której dane dotyczą, zgodnie z § 22 ust. 2 zdanie drugie federalnej ustawy o ochronie danych.</w:t>
      </w:r>
      <w:r>
        <w:t xml:space="preserve"> </w:t>
      </w:r>
      <w:r>
        <w:t xml:space="preserve">Oprócz zastosowania wymienionych tam środków, dane należy poddać anonimizacji w rozumieniu art. 9 ust. 1 rozporządzenia (UE) 2016/679, o ile tylko jest to możliwe ze względu na cel badań.</w:t>
      </w:r>
      <w:r>
        <w:t xml:space="preserve"> </w:t>
      </w:r>
      <w:r>
        <w:t xml:space="preserve">Wszelkie inne wymogi dotyczące ochrony danych pozostają nienaruszone.</w:t>
      </w:r>
    </w:p>
    <w:p w14:paraId="1627C846" w14:textId="381758EE" w:rsidR="0063228E" w:rsidRPr="0018171E" w:rsidRDefault="00D969A6" w:rsidP="00301E30">
      <w:pPr>
        <w:pStyle w:val="RevisionJuristischerAbsatz"/>
        <w:tabs>
          <w:tab w:val="clear" w:pos="850"/>
          <w:tab w:val="num" w:pos="1700"/>
        </w:tabs>
        <w:ind w:left="850"/>
      </w:pPr>
      <w:r>
        <w:t xml:space="preserve">Dostawca sieci społecznościowej jest uprawniony do otrzymania od naukowca zwrotu, w rozsądnej wysokości, kosztów poniesionych w związku z dostarczaniem informacji zgodnie z ust. 2.</w:t>
      </w:r>
      <w:r>
        <w:t xml:space="preserve"> </w:t>
      </w:r>
      <w:r>
        <w:t xml:space="preserve">Przy określaniu uzasadnionej wysokości uwzględnia się fakt, że koszty nie mogą stanowić istotnej przeszkody w korzystaniu z prawa do informacji.</w:t>
      </w:r>
      <w:r>
        <w:t xml:space="preserve"> </w:t>
      </w:r>
      <w:r>
        <w:t xml:space="preserve">Zastosowanie znajduje odpowiednio § 287 ust. 1 Kodeksu postępowania cywilnego.</w:t>
      </w:r>
      <w:r>
        <w:t xml:space="preserve"> </w:t>
      </w:r>
      <w:r>
        <w:t xml:space="preserve">Koszty podlegające zwrotowi mogą wynosić do 5 000 EUR.</w:t>
      </w:r>
      <w:r>
        <w:t xml:space="preserve"> </w:t>
      </w:r>
      <w:r>
        <w:t xml:space="preserve">Kwota ta może zostać przekroczona jedynie w przypadku, gdy dostarczenie informacji pociąga za sobą wyjątkowo wysokie wydatki.</w:t>
      </w:r>
      <w:r>
        <w:t xml:space="preserve"> </w:t>
      </w:r>
      <w:r>
        <w:t xml:space="preserve">Po przedłożeniu koncepcji ochrony zgodnie z ust. 4 naukowiec może zwrócić się do dostawcy o przedstawienie w rozsądnym terminie bezpłatnego kosztorysu szacunkowego.”.</w:t>
      </w:r>
    </w:p>
    <w:p w14:paraId="36342A1E" w14:textId="099F92EE" w:rsidR="0063228E" w:rsidRPr="0018171E" w:rsidRDefault="00482E04" w:rsidP="0018171E">
      <w:pPr>
        <w:pStyle w:val="EmpfehlungNummerierungStufe1"/>
        <w:keepNext/>
      </w:pPr>
      <w:r>
        <w:t xml:space="preserve">Art. </w:t>
      </w:r>
      <w:r>
        <w:rPr>
          <w:rStyle w:val="Marker"/>
        </w:rPr>
        <w:t xml:space="preserve">[…]</w:t>
      </w:r>
      <w:r>
        <w:t xml:space="preserve"> otrzymuje następujące brzmienie:</w:t>
      </w:r>
    </w:p>
    <w:p w14:paraId="49D47905" w14:textId="31CE6EC1" w:rsidR="00173C16" w:rsidRPr="0018171E" w:rsidRDefault="00173C16" w:rsidP="009C727B">
      <w:pPr>
        <w:pStyle w:val="RevisionArtikelBezeichnermanuell"/>
        <w:ind w:left="425" w:hanging="90"/>
      </w:pPr>
      <w:r>
        <w:t xml:space="preserve">„Artykuł </w:t>
      </w:r>
      <w:r>
        <w:rPr>
          <w:rStyle w:val="Marker"/>
        </w:rPr>
        <w:t xml:space="preserve">[…]</w:t>
      </w:r>
    </w:p>
    <w:p w14:paraId="577BA21A" w14:textId="3EB5AE99" w:rsidR="00173C16" w:rsidRPr="0018171E" w:rsidRDefault="00173C16" w:rsidP="009C727B">
      <w:pPr>
        <w:pStyle w:val="RevisionArtikelberschrift"/>
        <w:ind w:left="425"/>
      </w:pPr>
      <w:r>
        <w:rPr>
          <w:rStyle w:val="Marker"/>
        </w:rPr>
        <w:t xml:space="preserve">[…]</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 xml:space="preserve">[odrębny przepis dotyczący wejścia w życie, jeżeli ma zastosowanie]</w:t>
      </w:r>
      <w:r>
        <w:t xml:space="preserve"> …”</w:t>
      </w:r>
      <w:r>
        <w:rPr>
          <w:color w:val="auto"/>
        </w:rPr>
        <w:t xml:space="preserve">.</w:t>
      </w:r>
    </w:p>
    <w:p w14:paraId="2CDAA614" w14:textId="1C885BBD" w:rsidR="00A1618A" w:rsidRPr="0018171E" w:rsidRDefault="00A1618A" w:rsidP="009F08C0">
      <w:pPr>
        <w:pStyle w:val="EinzelbegrndungTitel"/>
      </w:pPr>
      <w:r>
        <w:t xml:space="preserve">Uzasadnienie</w:t>
      </w:r>
    </w:p>
    <w:p w14:paraId="5B2223BB" w14:textId="271DB07E" w:rsidR="009F08C0" w:rsidRPr="0018171E" w:rsidRDefault="009F08C0" w:rsidP="0018171E">
      <w:pPr>
        <w:pStyle w:val="Text"/>
        <w:keepNext/>
        <w:rPr>
          <w:rStyle w:val="Marker"/>
          <w:b/>
          <w:color w:val="auto"/>
        </w:rPr>
      </w:pPr>
      <w:r>
        <w:rPr>
          <w:rStyle w:val="Marker"/>
          <w:b/>
          <w:color w:val="auto"/>
        </w:rPr>
        <w:t xml:space="preserve">Do pkt 1</w:t>
      </w:r>
      <w:r>
        <w:rPr>
          <w:rStyle w:val="Marker"/>
          <w:b/>
          <w:color w:val="auto"/>
        </w:rPr>
        <w:t xml:space="preserve"> </w:t>
      </w:r>
    </w:p>
    <w:p w14:paraId="47C1AE4D" w14:textId="77777777" w:rsidR="00D969A6" w:rsidRPr="0018171E" w:rsidRDefault="00D969A6" w:rsidP="00D969A6">
      <w:pPr>
        <w:pStyle w:val="Text"/>
        <w:rPr>
          <w:rStyle w:val="Marker"/>
          <w:color w:val="auto"/>
        </w:rPr>
      </w:pPr>
      <w:r>
        <w:rPr>
          <w:rStyle w:val="Marker"/>
          <w:color w:val="auto"/>
        </w:rPr>
        <w:t xml:space="preserve">Debaty polityczne i procesy opiniotwórcze w coraz większym stopniu odbywają się w przestrzeni cyfrowej i w mediach społecznościowych.</w:t>
      </w:r>
      <w:r>
        <w:rPr>
          <w:rStyle w:val="Marker"/>
          <w:color w:val="auto"/>
        </w:rPr>
        <w:t xml:space="preserve"> </w:t>
      </w:r>
      <w:r>
        <w:rPr>
          <w:rStyle w:val="Marker"/>
          <w:color w:val="auto"/>
        </w:rPr>
        <w:t xml:space="preserve">Proces komunikacji, który się tam odbywa, ma obecnie duże znaczenie dla kształtowania opinii publicznej.</w:t>
      </w:r>
      <w:r>
        <w:rPr>
          <w:rStyle w:val="Marker"/>
          <w:color w:val="auto"/>
        </w:rPr>
        <w:t xml:space="preserve"> </w:t>
      </w:r>
      <w:r>
        <w:rPr>
          <w:rStyle w:val="Marker"/>
          <w:color w:val="auto"/>
        </w:rPr>
        <w:t xml:space="preserve">Przykładowo dla rozpowszechniania programów i idei politycznych nadrzędne znaczenie może mieć dostęp do niektórych mediów społecznościowych, które ze względu na swoje znaczenie stanowią medium, którego nie da się łatwo zastąpić, (por. Federalny Trybunał Konstytucyjny, Środek tymczasowy z dnia 22 maja 2019 r. – 1 BvQ 42/19 –, pkt</w:t>
      </w:r>
      <w:r>
        <w:rPr>
          <w:rStyle w:val="Marker"/>
          <w:color w:val="auto"/>
        </w:rPr>
        <w:t xml:space="preserve"> </w:t>
      </w:r>
      <w:r>
        <w:rPr>
          <w:rStyle w:val="Marker"/>
          <w:color w:val="auto"/>
        </w:rPr>
        <w:t xml:space="preserve">19).</w:t>
      </w:r>
    </w:p>
    <w:p w14:paraId="6C4892FE" w14:textId="77777777" w:rsidR="00D969A6" w:rsidRPr="0018171E" w:rsidRDefault="00D969A6" w:rsidP="00D969A6">
      <w:pPr>
        <w:pStyle w:val="Text"/>
        <w:rPr>
          <w:rStyle w:val="Marker"/>
          <w:color w:val="auto"/>
        </w:rPr>
      </w:pPr>
      <w:r>
        <w:rPr>
          <w:rStyle w:val="Marker"/>
          <w:color w:val="auto"/>
        </w:rPr>
        <w:t xml:space="preserve">Z tego powodu istnieje istotny interes publiczny w umożliwieniu większej przejrzystości w zakresie funkcjonowania poszczególnych platform i procesu dystrybucji treści na tych platformach, a także niezależnych badań w tym zakresie.</w:t>
      </w:r>
    </w:p>
    <w:p w14:paraId="373BFE01" w14:textId="385D0837" w:rsidR="00D969A6" w:rsidRPr="0018171E" w:rsidRDefault="00D969A6" w:rsidP="00D969A6">
      <w:pPr>
        <w:pStyle w:val="Text"/>
        <w:rPr>
          <w:rStyle w:val="Marker"/>
          <w:color w:val="auto"/>
        </w:rPr>
      </w:pPr>
      <w:r>
        <w:rPr>
          <w:rStyle w:val="Marker"/>
          <w:color w:val="auto"/>
        </w:rPr>
        <w:t xml:space="preserve">Dotyczy to z jednej strony kwestii kryteriów, na podstawie których dostawcy decydują o możliwości korzystania z ich platformy i dopuszczają lub ograniczają możliwość rozpowszechniania treści na platformie.</w:t>
      </w:r>
      <w:r>
        <w:rPr>
          <w:rStyle w:val="Marker"/>
          <w:color w:val="auto"/>
        </w:rPr>
        <w:t xml:space="preserve"> </w:t>
      </w:r>
      <w:r>
        <w:rPr>
          <w:rStyle w:val="Marker"/>
          <w:color w:val="auto"/>
        </w:rPr>
        <w:t xml:space="preserve">Pytanie, w jaki sposób ważni dla dyskursu publicznego główni dostawcy przykładowo rozpatrują skargi dotyczące treści niezgodnych z prawem i w jaki sposób w pozostałych przypadkach podejmowane są decyzje o ograniczeniach w rozpowszechnianiu treści, ze względu na znaczenie głównych dostawców, stanowi ważny problem publiczny (por. druk Bundestagu 19/18792, s. 42).</w:t>
      </w:r>
      <w:r>
        <w:rPr>
          <w:rStyle w:val="Marker"/>
          <w:color w:val="auto"/>
        </w:rPr>
        <w:t xml:space="preserve"> </w:t>
      </w:r>
      <w:r>
        <w:rPr>
          <w:rStyle w:val="Marker"/>
          <w:color w:val="auto"/>
        </w:rPr>
        <w:t xml:space="preserve">Tylko dzięki odpowiedniej przejrzystości szeroka opinia publiczna może zrozumieć, dlaczego i w jaki sposób ograniczane jest rozpowszechnianie pewnych treści.</w:t>
      </w:r>
      <w:r>
        <w:rPr>
          <w:rStyle w:val="Marker"/>
          <w:color w:val="auto"/>
        </w:rPr>
        <w:t xml:space="preserve"> </w:t>
      </w:r>
      <w:r>
        <w:rPr>
          <w:rStyle w:val="Marker"/>
          <w:color w:val="auto"/>
        </w:rPr>
        <w:t xml:space="preserve">W kontekście tym należy wziąć pod uwagę, że odpowiednie decyzje dotyczące moderacji są obecnie często podejmowane za pomocą złożonych, zautomatyzowanych procedur.</w:t>
      </w:r>
      <w:r>
        <w:rPr>
          <w:rStyle w:val="Marker"/>
          <w:color w:val="auto"/>
        </w:rPr>
        <w:t xml:space="preserve"> </w:t>
      </w:r>
      <w:r>
        <w:rPr>
          <w:rStyle w:val="Marker"/>
          <w:color w:val="auto"/>
        </w:rPr>
        <w:t xml:space="preserve">Na przykład Facebook informuje, że obecnie treści zarejestrowane jako „mowa nienawiści” w rozumieniu tzw. standardów społecznościowych są w przeważającej mierze wychwytywane przez samego dostawcę za pomocą rozwiązań technologicznych (por. https://transparency.facebook.com/community-standards-enforcement#hate-speech; data pobrania: 12 października 2020 r.).</w:t>
      </w:r>
      <w:r>
        <w:rPr>
          <w:rStyle w:val="Marker"/>
          <w:color w:val="auto"/>
        </w:rPr>
        <w:t xml:space="preserve"> </w:t>
      </w:r>
      <w:r>
        <w:rPr>
          <w:rStyle w:val="Marker"/>
          <w:color w:val="auto"/>
        </w:rPr>
        <w:t xml:space="preserve">W celu zapewnienia szerokiej opinii publicznej przejrzystości w zakresie leżących u podstaw – częściowo technicznie złożonych – procesów, ważne jest, aby kręgi naukowo-badawcze mogły zrozumieć zastosowanie procedur automatycznego rozpoznawania treści, gdy te mają zostać usunięte lub zablokowane (por. druk Bundestagu 19/18792, s. 43).</w:t>
      </w:r>
      <w:r>
        <w:rPr>
          <w:rStyle w:val="Marker"/>
          <w:color w:val="auto"/>
        </w:rPr>
        <w:t xml:space="preserve"> </w:t>
      </w:r>
      <w:r>
        <w:rPr>
          <w:rStyle w:val="Marker"/>
          <w:color w:val="auto"/>
        </w:rPr>
        <w:t xml:space="preserve">W tym względzie nie wystarcza, że kręgi naukowo-badawcze mogą odwoływać się do ogólnych informacji zawartych w sprawozdaniach dotyczących przejrzystości zgodnie z § 2 ustawy o poprawie egzekwowania prawa w sieciach społecznościowych, służących informowaniu szerokiej opinii publicznej.</w:t>
      </w:r>
      <w:r>
        <w:rPr>
          <w:rStyle w:val="Marker"/>
          <w:color w:val="auto"/>
        </w:rPr>
        <w:t xml:space="preserve"> </w:t>
      </w:r>
      <w:r>
        <w:rPr>
          <w:rStyle w:val="Marker"/>
          <w:color w:val="auto"/>
        </w:rPr>
        <w:t xml:space="preserve">Do celów naukowych i badawczych wymagane są bowiem nie tylko tego rodzaju ogólne lub zagregowane informacje, ale również informacje bardziej szczegółowe i dane pierwotne (np. treści wyraźnie wymienione w ust. 6, ich odpowiedni kontekst i dane treningowe dla zautomatyzowanych procedur) umożliwiające niezależne zdobycie naukowo potwierdzonej wiedzy na temat przedmiotowych procedur zautomatyzowanego rozpoznawania treści.</w:t>
      </w:r>
    </w:p>
    <w:p w14:paraId="138C3D37" w14:textId="032BC65F" w:rsidR="00D969A6" w:rsidRPr="0018171E" w:rsidRDefault="00D969A6" w:rsidP="00D969A6">
      <w:pPr>
        <w:pStyle w:val="Text"/>
        <w:rPr>
          <w:rStyle w:val="Marker"/>
          <w:color w:val="auto"/>
        </w:rPr>
      </w:pPr>
      <w:r>
        <w:rPr>
          <w:rStyle w:val="Marker"/>
          <w:color w:val="auto"/>
        </w:rPr>
        <w:t xml:space="preserve">Kolejna ważna kwestia dotyczy możliwości śledzenia rozpowszechniania treści niezgodnych z prawem.</w:t>
      </w:r>
      <w:r>
        <w:rPr>
          <w:rStyle w:val="Marker"/>
          <w:color w:val="auto"/>
        </w:rPr>
        <w:t xml:space="preserve"> </w:t>
      </w:r>
      <w:r>
        <w:rPr>
          <w:rStyle w:val="Marker"/>
          <w:color w:val="auto"/>
        </w:rPr>
        <w:t xml:space="preserve">Zgodnie z obowiązującym stanem prawnym zarządzanie skargami w rozumieniu ustawy o poprawie egzekwowania prawa w sieciach społecznościowych odnosi się do konkretnych treści, które zostały zakwestionowane w ramach skargi dotyczącej treści niezgodnych z prawem.</w:t>
      </w:r>
      <w:r>
        <w:rPr>
          <w:rStyle w:val="Marker"/>
          <w:color w:val="auto"/>
        </w:rPr>
        <w:t xml:space="preserve"> </w:t>
      </w:r>
      <w:r>
        <w:rPr>
          <w:rStyle w:val="Marker"/>
          <w:color w:val="auto"/>
        </w:rPr>
        <w:t xml:space="preserve">Jednak treści na portalach społecznościowych mogą czasami rozprzestrzeniać się ze znaczną prędkością i ze znacznym zasięgiem wśród wielu różnych użytkowników.</w:t>
      </w:r>
      <w:r>
        <w:rPr>
          <w:rStyle w:val="Marker"/>
          <w:color w:val="auto"/>
        </w:rPr>
        <w:t xml:space="preserve"> </w:t>
      </w:r>
      <w:r>
        <w:rPr>
          <w:rStyle w:val="Marker"/>
          <w:color w:val="auto"/>
        </w:rPr>
        <w:t xml:space="preserve">W ten sposób naruszenia mogą się powtarzać, a skutki rozpowszechniania treści niezgodnych z prawem mogą się znacznie nasilić.</w:t>
      </w:r>
      <w:r>
        <w:rPr>
          <w:rStyle w:val="Marker"/>
          <w:color w:val="auto"/>
        </w:rPr>
        <w:t xml:space="preserve"> </w:t>
      </w:r>
      <w:r>
        <w:rPr>
          <w:rStyle w:val="Marker"/>
          <w:color w:val="auto"/>
        </w:rPr>
        <w:t xml:space="preserve">Ze względu na istotne znaczenie społeczne, jakie dla kształtowania opinii publicznej mają procesy komunikacyjne zachodzące w głównych sieciach społecznościowych, ważne jest zrozumienie, w jaki sposób treści, które zostały ostatecznie usunięte przez dostawcę lub które zgłoszono dostawcy jako niezgodne z prawem, są lub były rozpowszechniane w sieciach społecznościowych, również po to, aby zaangażowane kręgi mogły podejmować skuteczniejsze działania przeciwko rozpowszechnianiu niezgodnych z prawem treści w oparciu o głębsze zrozumienie mechanizmów rozpowszechniania.</w:t>
      </w:r>
    </w:p>
    <w:p w14:paraId="06151A16" w14:textId="5B551E2D" w:rsidR="00D969A6" w:rsidRPr="0018171E" w:rsidRDefault="00D969A6" w:rsidP="00D969A6">
      <w:pPr>
        <w:pStyle w:val="Text"/>
        <w:rPr>
          <w:rStyle w:val="Marker"/>
          <w:color w:val="auto"/>
        </w:rPr>
      </w:pPr>
      <w:r>
        <w:rPr>
          <w:rStyle w:val="Marker"/>
          <w:color w:val="auto"/>
        </w:rPr>
        <w:t xml:space="preserve">Celem § 5a ustawy o poprawie egzekwowania prawa w sieciach społecznościowych jest zapewnienie, by instytucje badawcze i naukowcy otrzymywali niezbędne dane.</w:t>
      </w:r>
    </w:p>
    <w:p w14:paraId="72966CD2" w14:textId="29B9B32B" w:rsidR="00D969A6" w:rsidRPr="0018171E" w:rsidRDefault="00D969A6" w:rsidP="00D969A6">
      <w:pPr>
        <w:pStyle w:val="Text"/>
        <w:rPr>
          <w:rStyle w:val="Marker"/>
          <w:color w:val="auto"/>
        </w:rPr>
      </w:pPr>
      <w:r>
        <w:rPr>
          <w:rStyle w:val="Marker"/>
          <w:color w:val="auto"/>
        </w:rPr>
        <w:t xml:space="preserve">Uprawnionymi do uzyskiwania informacji nie są wszyscy, lecz tylko naukowcy lub instytucje badawcze, którzy lub które realizują projekty badań naukowych w interesie publicznym.</w:t>
      </w:r>
      <w:r>
        <w:rPr>
          <w:rStyle w:val="Marker"/>
          <w:color w:val="auto"/>
        </w:rPr>
        <w:t xml:space="preserve"> </w:t>
      </w:r>
      <w:r>
        <w:t xml:space="preserve">W przypadku projektów badawczych uniwersytetów i pozauniwersyteckich instytucji badawczych w Niemczech zasadniczo należy zakładać istnienie interesu publicznego.</w:t>
      </w:r>
      <w:r>
        <w:t xml:space="preserve"> </w:t>
      </w:r>
      <w:r>
        <w:rPr>
          <w:rStyle w:val="Marker"/>
          <w:color w:val="auto"/>
        </w:rPr>
        <w:t xml:space="preserve">W tym kontekście przesłankę pozwalającą na założenie istnienia interesu publicznego stanowi finansowanie w głównej mierze ze środków publicznych.</w:t>
      </w:r>
      <w:r>
        <w:rPr>
          <w:rStyle w:val="Marker"/>
          <w:color w:val="auto"/>
        </w:rPr>
        <w:t xml:space="preserve"> </w:t>
      </w:r>
      <w:r>
        <w:rPr>
          <w:rStyle w:val="Marker"/>
          <w:color w:val="auto"/>
        </w:rPr>
        <w:t xml:space="preserve">Zgodnie z tekstem regulacji dotyczy to wszystkich instytucji, które zamierzają prowadzić badania w interesie publicznym, niezależnie od tego, gdzie znajduje się ich siedziba.</w:t>
      </w:r>
      <w:r>
        <w:rPr>
          <w:rStyle w:val="Marker"/>
          <w:color w:val="auto"/>
        </w:rPr>
        <w:t xml:space="preserve"> </w:t>
      </w:r>
      <w:r>
        <w:rPr>
          <w:rStyle w:val="Marker"/>
          <w:color w:val="auto"/>
        </w:rPr>
        <w:t xml:space="preserve">Aby założyć istnienie interesu publicznego, regularnie będzie się wymagać, aby wyniki badań były publicznie dostępne i aby ostatecznie służyły dobru publicznemu.</w:t>
      </w:r>
      <w:r>
        <w:rPr>
          <w:rStyle w:val="Marker"/>
          <w:color w:val="auto"/>
        </w:rPr>
        <w:t xml:space="preserve"> </w:t>
      </w:r>
      <w:r>
        <w:rPr>
          <w:rStyle w:val="Marker"/>
          <w:color w:val="auto"/>
        </w:rPr>
        <w:t xml:space="preserve">Założenie istnienia interesu publicznego może być poparte faktem, że badania przyczyniają się do osiągnięcia celów ustawowych.</w:t>
      </w:r>
      <w:r>
        <w:rPr>
          <w:rStyle w:val="Marker"/>
          <w:color w:val="auto"/>
        </w:rPr>
        <w:t xml:space="preserve"> </w:t>
      </w:r>
      <w:r>
        <w:rPr>
          <w:rStyle w:val="Marker"/>
          <w:color w:val="auto"/>
        </w:rPr>
        <w:t xml:space="preserve">Interes publiczny można uznać za nieistniejący, jeśli z powodu zależności od zleceniodawcy w konkretnym, indywidualnym przypadku okazuje się, że prowadzone badania nie są bezstronne.</w:t>
      </w:r>
      <w:r>
        <w:rPr>
          <w:rStyle w:val="Marker"/>
          <w:color w:val="auto"/>
        </w:rPr>
        <w:t xml:space="preserve"> </w:t>
      </w:r>
      <w:r>
        <w:rPr>
          <w:rStyle w:val="Marker"/>
          <w:color w:val="auto"/>
        </w:rPr>
        <w:t xml:space="preserve">Ponadto może zaistnieć sprzeczność z interesem publicznym, jeśli istnieją przesłanki wskazujące, że badanie ma być prowadzone w celach gospodarczych lub politycznych.</w:t>
      </w:r>
    </w:p>
    <w:p w14:paraId="3A166ADB" w14:textId="77777777" w:rsidR="00146FA3" w:rsidRPr="0018171E" w:rsidRDefault="00D969A6" w:rsidP="00D969A6">
      <w:pPr>
        <w:pStyle w:val="Text"/>
        <w:rPr>
          <w:rStyle w:val="Marker"/>
          <w:color w:val="auto"/>
        </w:rPr>
      </w:pPr>
      <w:r>
        <w:rPr>
          <w:rStyle w:val="Marker"/>
          <w:color w:val="auto"/>
        </w:rPr>
        <w:t xml:space="preserve">Ze względu na wyliczenie zawarte w § 5a ustawy o poprawie egzekwowania prawa w sieciach społecznościowych w związku z § 1 ust. 2 ustawy o poprawie egzekwowania prawa w sieciach społecznościowych obowiązek wykonania prawa ciąży tylko na tych dostawcach sieci społecznościowych, którzy mają co najmniej dwa miliony zarejestrowanych użytkowników w Niemczech – niezależnie od ich siedziby.</w:t>
      </w:r>
      <w:r>
        <w:rPr>
          <w:rStyle w:val="Marker"/>
          <w:color w:val="auto"/>
        </w:rPr>
        <w:t xml:space="preserve"> </w:t>
      </w:r>
      <w:r>
        <w:rPr>
          <w:rStyle w:val="Marker"/>
          <w:color w:val="auto"/>
        </w:rPr>
        <w:t xml:space="preserve">Odpowiedni dostawcy są zobowiązani do udzielenia informacji niezależnie od tego, czy mają siedzibę w Niemczech czy też nie.</w:t>
      </w:r>
      <w:r>
        <w:rPr>
          <w:rStyle w:val="Marker"/>
          <w:color w:val="auto"/>
        </w:rPr>
        <w:t xml:space="preserve"> </w:t>
      </w:r>
      <w:r>
        <w:rPr>
          <w:rStyle w:val="Marker"/>
          <w:color w:val="auto"/>
        </w:rPr>
        <w:t xml:space="preserve">Jest to zgodne z odpowiednimi przepisami prawa europejskiego, w szczególności z zasadą kraju pochodzenia zawartą w dyrektywie 2000/31/WE (dyrektywa o handlu elektronicznym).</w:t>
      </w:r>
      <w:r>
        <w:rPr>
          <w:rStyle w:val="Marker"/>
          <w:color w:val="auto"/>
        </w:rPr>
        <w:t xml:space="preserve"> </w:t>
      </w:r>
      <w:r>
        <w:rPr>
          <w:rStyle w:val="Marker"/>
          <w:color w:val="auto"/>
        </w:rPr>
        <w:t xml:space="preserve">Nawet gdyby przewidziane prawo do informacji zgodnie z § 5a ustawy o poprawie egzekwowania prawa w sieciach społecznościowych wchodziło w zakres tzw. koordynowanej dziedziny, o której mowa w dyrektywie o handlu elektronicznym, i gdyby w ten sposób miało dojść działania ograniczającego, które zasadniczo jest wykluczone na podstawie art. 3 ust. 2 dyrektywy o handlu elektronicznym, to i tak spełnione byłyby warunki odstępstwa na podstawie art. 3 ust. 4 dyrektywy o handlu elektronicznym.</w:t>
      </w:r>
      <w:r>
        <w:rPr>
          <w:rStyle w:val="Marker"/>
          <w:color w:val="auto"/>
        </w:rPr>
        <w:t xml:space="preserve"> </w:t>
      </w:r>
      <w:r>
        <w:rPr>
          <w:rStyle w:val="Marker"/>
          <w:color w:val="auto"/>
        </w:rPr>
        <w:t xml:space="preserve">Ponieważ ze względu na duże znaczenie dostawców, których przepis dotyczy, zwiększone możliwości prowadzenia badań zapewnione przez prawo do informacji są w każdym przypadku konieczne do zapobiegania przestępstwom, w tym zwalczania podżegania do nienawiści, jak również do ochrony konsumentów [por. art. 3 ust. 4 lit. a) tiret pierwsze i czwarte dyrektywy o handlu elektronicznym].</w:t>
      </w:r>
      <w:r>
        <w:rPr>
          <w:rStyle w:val="Marker"/>
          <w:color w:val="auto"/>
        </w:rPr>
        <w:t xml:space="preserve"> </w:t>
      </w:r>
      <w:r>
        <w:rPr>
          <w:rStyle w:val="Marker"/>
          <w:color w:val="auto"/>
        </w:rPr>
        <w:t xml:space="preserve">W związku ze znaczącym brakiem informacji w odniesieniu do platform, których przepis dotyczy, a które stanowią coraz ważniejszą przestrzeń publiczną dla obywateli, istnieje nagła potrzeba regulacji (art. 3 ust. 5 dyrektywy o handlu elektronicznym).</w:t>
      </w:r>
    </w:p>
    <w:p w14:paraId="2B3396E0" w14:textId="22DFC019" w:rsidR="00D969A6" w:rsidRPr="0018171E" w:rsidRDefault="00D969A6" w:rsidP="00D969A6">
      <w:pPr>
        <w:pStyle w:val="Text"/>
        <w:rPr>
          <w:rStyle w:val="Marker"/>
          <w:color w:val="auto"/>
        </w:rPr>
      </w:pPr>
      <w:r>
        <w:rPr>
          <w:rStyle w:val="Marker"/>
          <w:color w:val="auto"/>
        </w:rPr>
        <w:t xml:space="preserve">Przewidziane prawo do udzielania informacji jest również ograniczone pod różnymi względami w odniesieniu do osób uprawnionych do korzystania z niego.</w:t>
      </w:r>
    </w:p>
    <w:p w14:paraId="7CD947D6" w14:textId="02AD6996" w:rsidR="00E97B1F" w:rsidRPr="0018171E" w:rsidRDefault="00E97B1F" w:rsidP="00D969A6">
      <w:pPr>
        <w:pStyle w:val="Text"/>
        <w:rPr>
          <w:rStyle w:val="Marker"/>
          <w:color w:val="auto"/>
        </w:rPr>
      </w:pPr>
      <w:r>
        <w:rPr>
          <w:rStyle w:val="Marker"/>
          <w:color w:val="auto"/>
        </w:rPr>
        <w:t xml:space="preserve">W związku z tym uprawnieni naukowcy mogą zwrócić się o informacje wyłącznie do dostawcy sieci społecznościowej.</w:t>
      </w:r>
      <w:r>
        <w:rPr>
          <w:rStyle w:val="Marker"/>
          <w:color w:val="auto"/>
        </w:rPr>
        <w:t xml:space="preserve"> </w:t>
      </w:r>
      <w:r>
        <w:rPr>
          <w:rStyle w:val="Marker"/>
          <w:color w:val="auto"/>
        </w:rPr>
        <w:t xml:space="preserve">§ 5a z kolei nie upoważnia do bezpośredniego dostępu technicznego do baz danych lub systemów technicznych dostawcy.</w:t>
      </w:r>
      <w:r>
        <w:rPr>
          <w:rStyle w:val="Marker"/>
          <w:color w:val="auto"/>
        </w:rPr>
        <w:t xml:space="preserve"> </w:t>
      </w:r>
      <w:r>
        <w:rPr>
          <w:rStyle w:val="Marker"/>
          <w:color w:val="auto"/>
        </w:rPr>
        <w:t xml:space="preserve">Można jednak zwrócić się o informacje kwalifikowane.</w:t>
      </w:r>
      <w:r>
        <w:rPr>
          <w:rStyle w:val="Marker"/>
          <w:color w:val="auto"/>
        </w:rPr>
        <w:t xml:space="preserve"> </w:t>
      </w:r>
      <w:r>
        <w:rPr>
          <w:rStyle w:val="Marker"/>
          <w:color w:val="auto"/>
        </w:rPr>
        <w:t xml:space="preserve">Obejmuje to niezafałszowane dane dostępne u dostawcy, ale także występujące tam informacje przetworzone, takie jak ustalenia z przeprowadzonych przez dostawcę analiz danych dostępnych u dostawcy.</w:t>
      </w:r>
    </w:p>
    <w:p w14:paraId="72C56E68" w14:textId="39D2C9CA" w:rsidR="00E97B1F" w:rsidRPr="0018171E" w:rsidRDefault="00E97B1F" w:rsidP="00D969A6">
      <w:pPr>
        <w:pStyle w:val="Text"/>
        <w:rPr>
          <w:rStyle w:val="Marker"/>
          <w:color w:val="auto"/>
        </w:rPr>
      </w:pPr>
      <w:r>
        <w:rPr>
          <w:rStyle w:val="Marker"/>
          <w:color w:val="auto"/>
        </w:rPr>
        <w:t xml:space="preserve">Ponadto prawo do informacji jest ograniczone pod względem treści do informacji na temat stosowania i funkcjonowania procedur automatycznego rozpoznawania treści, które mają być usunięte lub zablokowane, w tym celów, kryteriów i parametrów programowania.</w:t>
      </w:r>
      <w:r>
        <w:rPr>
          <w:rStyle w:val="Marker"/>
          <w:color w:val="auto"/>
        </w:rPr>
        <w:t xml:space="preserve"> </w:t>
      </w:r>
      <w:r>
        <w:rPr>
          <w:rStyle w:val="Marker"/>
          <w:color w:val="auto"/>
        </w:rPr>
        <w:t xml:space="preserve">Ponadto można zwrócić się o informacje o rozpowszechnianiu treści, które były przedmiotem skarg dotyczących treści niezgodnych z prawem lub które zostały usunięte lub zablokowane przez dostawcę.</w:t>
      </w:r>
      <w:r>
        <w:rPr>
          <w:rStyle w:val="Marker"/>
          <w:color w:val="auto"/>
        </w:rPr>
        <w:t xml:space="preserve"> </w:t>
      </w:r>
    </w:p>
    <w:p w14:paraId="752FC65F" w14:textId="4597FCAE" w:rsidR="00D969A6" w:rsidRPr="0018171E" w:rsidRDefault="00D969A6" w:rsidP="00D969A6">
      <w:pPr>
        <w:pStyle w:val="Text"/>
        <w:rPr>
          <w:rStyle w:val="Marker"/>
          <w:color w:val="auto"/>
        </w:rPr>
      </w:pPr>
      <w:r>
        <w:rPr>
          <w:rStyle w:val="Marker"/>
          <w:color w:val="auto"/>
        </w:rPr>
        <w:t xml:space="preserve">Odpowiednie informacje są właściwe i niezbędne do lepszego zrozumienia odpowiednich ograniczeń treści po stronie dostawcy, jak również rozpowszechniania na platformach treści, które są niedozwolone z punktu widzenia dostawcy lub zostały zgłoszone jako niezgodne z prawem.</w:t>
      </w:r>
      <w:r>
        <w:rPr>
          <w:rStyle w:val="Marker"/>
          <w:color w:val="auto"/>
        </w:rPr>
        <w:t xml:space="preserve"> </w:t>
      </w:r>
    </w:p>
    <w:p w14:paraId="5D09F342" w14:textId="5F0FFD55" w:rsidR="00D969A6" w:rsidRPr="0018171E" w:rsidRDefault="00D969A6" w:rsidP="00D969A6">
      <w:pPr>
        <w:pStyle w:val="Text"/>
        <w:rPr>
          <w:rStyle w:val="Marker"/>
          <w:color w:val="auto"/>
        </w:rPr>
      </w:pPr>
      <w:r>
        <w:rPr>
          <w:rStyle w:val="Marker"/>
          <w:color w:val="auto"/>
        </w:rPr>
        <w:t xml:space="preserve">Ponadto prawo do informacji podlega zastrzeżeniu, że informacja jest w danym przypadku niezbędna dla projektów badań naukowych leżących w interesie publicznym.</w:t>
      </w:r>
      <w:r>
        <w:rPr>
          <w:rStyle w:val="Marker"/>
          <w:color w:val="auto"/>
        </w:rPr>
        <w:t xml:space="preserve"> </w:t>
      </w:r>
      <w:r>
        <w:rPr>
          <w:rStyle w:val="Marker"/>
          <w:color w:val="auto"/>
        </w:rPr>
        <w:t xml:space="preserve">Oznacza to, że przekazywane informacje mogą być wykorzystywane wyłącznie do celów naukowych.</w:t>
      </w:r>
      <w:r>
        <w:rPr>
          <w:rStyle w:val="Marker"/>
          <w:color w:val="auto"/>
        </w:rPr>
        <w:t xml:space="preserve"> </w:t>
      </w:r>
      <w:r>
        <w:rPr>
          <w:rStyle w:val="Marker"/>
          <w:color w:val="auto"/>
        </w:rPr>
        <w:t xml:space="preserve">Wreszcie kwalifikujące się cele badawcze są ograniczone do badań nad charakterem, zakresem, przyczynami i skutkami komunikacji publicznej w sieciach społecznościowych oraz sposobami traktowania jej przez dostawców.</w:t>
      </w:r>
    </w:p>
    <w:p w14:paraId="588C65A9" w14:textId="3AAAB10E" w:rsidR="00C46490" w:rsidRPr="0018171E" w:rsidRDefault="00C46490" w:rsidP="00D969A6">
      <w:pPr>
        <w:pStyle w:val="Text"/>
        <w:rPr>
          <w:rStyle w:val="Marker"/>
          <w:color w:val="auto"/>
        </w:rPr>
      </w:pPr>
      <w:r>
        <w:rPr>
          <w:rStyle w:val="Marker"/>
          <w:color w:val="auto"/>
        </w:rPr>
        <w:t xml:space="preserve">Przewidziana procedura przedstawienia koncepcji ochrony zapewnia poszanowanie interesów, które należy uwzględnić zgodnie z § 5a.</w:t>
      </w:r>
      <w:r>
        <w:rPr>
          <w:rStyle w:val="Marker"/>
          <w:color w:val="auto"/>
        </w:rPr>
        <w:t xml:space="preserve"> </w:t>
      </w:r>
      <w:r>
        <w:rPr>
          <w:rStyle w:val="Marker"/>
          <w:color w:val="auto"/>
        </w:rPr>
        <w:t xml:space="preserve">Dostawca sieci społecznościowej może odmówić udostępnienia informacji do czasu przedstawienia koncepcji ochrony.</w:t>
      </w:r>
      <w:r>
        <w:rPr>
          <w:rStyle w:val="Marker"/>
          <w:color w:val="auto"/>
        </w:rPr>
        <w:t xml:space="preserve"> </w:t>
      </w:r>
      <w:r>
        <w:rPr>
          <w:rStyle w:val="Marker"/>
          <w:color w:val="auto"/>
        </w:rPr>
        <w:t xml:space="preserve">Koncepcja ochrony musi zostać jednocześnie przedstawiona właściwemu organowi nadzorczemu ds. ochrony danych, który w razie przesłanek wskazujących na naruszenie ochrony danych może wszcząć odpowiednie postępowanie.</w:t>
      </w:r>
      <w:r>
        <w:rPr>
          <w:rStyle w:val="Marker"/>
          <w:color w:val="auto"/>
        </w:rPr>
        <w:t xml:space="preserve"> </w:t>
      </w:r>
      <w:r>
        <w:rPr>
          <w:rStyle w:val="Marker"/>
          <w:color w:val="auto"/>
        </w:rPr>
        <w:t xml:space="preserve">Ma to szczególne znaczenie, ponieważ udzielenie informacji przez dostawców może również wpływać na interesy stron trzecich, takich jak użytkownicy.</w:t>
      </w:r>
    </w:p>
    <w:p w14:paraId="61C60CE8" w14:textId="669418FB" w:rsidR="00D969A6" w:rsidRPr="0018171E" w:rsidRDefault="00D969A6" w:rsidP="00D969A6">
      <w:pPr>
        <w:pStyle w:val="Text"/>
        <w:rPr>
          <w:rStyle w:val="Marker"/>
          <w:color w:val="auto"/>
        </w:rPr>
      </w:pPr>
      <w:r>
        <w:rPr>
          <w:rStyle w:val="Marker"/>
          <w:color w:val="auto"/>
        </w:rPr>
        <w:t xml:space="preserve">Ponadto informacje te nie mogą być sprzeczne z nadrzędnymi interesami dostawców sieci społecznościowych, które są godne ochrony.</w:t>
      </w:r>
      <w:r>
        <w:rPr>
          <w:rStyle w:val="Marker"/>
          <w:color w:val="auto"/>
        </w:rPr>
        <w:t xml:space="preserve"> </w:t>
      </w:r>
      <w:r>
        <w:rPr>
          <w:rStyle w:val="Marker"/>
          <w:color w:val="auto"/>
        </w:rPr>
        <w:t xml:space="preserve">Występowanie sprzecznych interesów godnych ochrony można rozważyć, jeżeli dostęp do danych w sposób nieuzasadniony naruszyłby interesy dostawcy w zakresie poufności.</w:t>
      </w:r>
      <w:r>
        <w:rPr>
          <w:rStyle w:val="Marker"/>
          <w:color w:val="auto"/>
        </w:rPr>
        <w:t xml:space="preserve"> </w:t>
      </w:r>
      <w:r>
        <w:rPr>
          <w:rStyle w:val="Marker"/>
          <w:color w:val="auto"/>
        </w:rPr>
        <w:t xml:space="preserve">W sprzeczności z prawem do informacji pozostaje również przypadek, w którym naruszone zostają godne ochrony interesy osób, których dane dotyczą, a interes publiczny badań nie przeważa nad interesem poufności osób, których dane dotyczą.</w:t>
      </w:r>
    </w:p>
    <w:p w14:paraId="05EA09A2" w14:textId="77777777" w:rsidR="00D969A6" w:rsidRPr="0018171E" w:rsidRDefault="00D969A6" w:rsidP="00D969A6">
      <w:pPr>
        <w:pStyle w:val="Text"/>
        <w:rPr>
          <w:rStyle w:val="Marker"/>
          <w:color w:val="auto"/>
        </w:rPr>
      </w:pPr>
      <w:r>
        <w:rPr>
          <w:rStyle w:val="Marker"/>
          <w:color w:val="auto"/>
        </w:rPr>
        <w:t xml:space="preserve">Do celów przekazywania informacji mogą być również przekazywane dane osobowe, przy czym w miarę możliwości musi być przeprowadzana anonimizacja lub przynajmniej pseudonimizacja.</w:t>
      </w:r>
      <w:r>
        <w:rPr>
          <w:rStyle w:val="Marker"/>
          <w:color w:val="auto"/>
        </w:rPr>
        <w:t xml:space="preserve"> </w:t>
      </w:r>
      <w:r>
        <w:rPr>
          <w:rStyle w:val="Marker"/>
          <w:color w:val="auto"/>
        </w:rPr>
        <w:t xml:space="preserve">Ponadto przewidziano dodatkowe środki ochrony danych osobowych w przypadku przetwarzania szczególnych kategorii danych w rozumieniu art. 9 ust. 1 rozporządzenia (UE) 2016/679.</w:t>
      </w:r>
      <w:r>
        <w:rPr>
          <w:rStyle w:val="Marker"/>
          <w:color w:val="auto"/>
        </w:rPr>
        <w:t xml:space="preserve"> </w:t>
      </w:r>
      <w:r>
        <w:rPr>
          <w:rStyle w:val="Marker"/>
          <w:color w:val="auto"/>
        </w:rPr>
        <w:t xml:space="preserve">Pozostałe regulacje dotyczące ochrony danych, w szczególności wynikające z § 27 federalnej ustawy o ochronie danych, pozostają nienaruszone.</w:t>
      </w:r>
      <w:r>
        <w:rPr>
          <w:rStyle w:val="Marker"/>
          <w:color w:val="auto"/>
        </w:rPr>
        <w:t xml:space="preserve"> </w:t>
      </w:r>
    </w:p>
    <w:p w14:paraId="67D27A76" w14:textId="0A74581F" w:rsidR="00A135B4" w:rsidRPr="0018171E" w:rsidRDefault="00D969A6" w:rsidP="00D969A6">
      <w:pPr>
        <w:pStyle w:val="Text"/>
        <w:rPr>
          <w:rStyle w:val="Marker"/>
          <w:color w:val="auto"/>
        </w:rPr>
      </w:pPr>
      <w:r>
        <w:rPr>
          <w:rStyle w:val="Marker"/>
          <w:color w:val="auto"/>
        </w:rPr>
        <w:t xml:space="preserve">Dostawca jest uprawniony do zwrotu rozsądnych kosztów poniesionych w związku z udzieleniem informacji.</w:t>
      </w:r>
      <w:r>
        <w:rPr>
          <w:rStyle w:val="Marker"/>
          <w:color w:val="auto"/>
        </w:rPr>
        <w:t xml:space="preserve"> </w:t>
      </w:r>
      <w:r>
        <w:rPr>
          <w:rStyle w:val="Marker"/>
          <w:color w:val="auto"/>
        </w:rPr>
        <w:t xml:space="preserve">Ograniczając wniosek o zwrot kosztów do rozsądnej kwoty, zapewnia się, że prawo naukowców do informacji nie znika w praktyce z powodu wniosków o zwrot nadmiernie wysokich kosztów.</w:t>
      </w:r>
      <w:r>
        <w:rPr>
          <w:rStyle w:val="Marker"/>
          <w:color w:val="auto"/>
        </w:rPr>
        <w:t xml:space="preserve"> </w:t>
      </w:r>
      <w:r>
        <w:rPr>
          <w:rStyle w:val="Marker"/>
          <w:color w:val="auto"/>
        </w:rPr>
        <w:t xml:space="preserve">Temu celowi służy również ustalenie pułapu kosztów podlegających zwrotowi, który może zostać przekroczony jedynie w wyjątkowo skomplikowanych przypadkach.</w:t>
      </w:r>
      <w:r>
        <w:rPr>
          <w:rStyle w:val="Marker"/>
          <w:color w:val="auto"/>
        </w:rPr>
        <w:t xml:space="preserve"> </w:t>
      </w:r>
      <w:r>
        <w:rPr>
          <w:rStyle w:val="Marker"/>
          <w:color w:val="auto"/>
        </w:rPr>
        <w:t xml:space="preserve">Może to mieć miejsce w przypadku, gdy koszt udzielenia informacji znacznie przekracza zazwyczaj ponoszony koszt udzielania informacji na potrzeby projektów badawczych objętych § 5a.</w:t>
      </w:r>
      <w:r>
        <w:rPr>
          <w:rStyle w:val="Marker"/>
          <w:color w:val="auto"/>
        </w:rPr>
        <w:t xml:space="preserve"> </w:t>
      </w:r>
      <w:r>
        <w:rPr>
          <w:rStyle w:val="Marker"/>
          <w:color w:val="auto"/>
        </w:rPr>
        <w:t xml:space="preserve">Na dostawcy sieci społecznościowej spoczywa ciężar przedstawienia i udowodnienia odpowiednich okoliczności, jak również zasadności kosztów w innych aspektach.</w:t>
      </w:r>
    </w:p>
    <w:p w14:paraId="1B437195" w14:textId="47B203AC" w:rsidR="00D969A6" w:rsidRPr="0018171E" w:rsidRDefault="00D969A6" w:rsidP="00D969A6">
      <w:pPr>
        <w:pStyle w:val="Text"/>
        <w:rPr>
          <w:rStyle w:val="Marker"/>
          <w:color w:val="auto"/>
        </w:rPr>
      </w:pPr>
      <w:r>
        <w:rPr>
          <w:rStyle w:val="Marker"/>
          <w:color w:val="auto"/>
        </w:rPr>
        <w:t xml:space="preserve">Odpowiednie zastosowanie § 287 ust. 1 Kodeksu postępowania cywilnego zapewnia właściwemu sądowi swobodę określenia kwoty roszczenia o zwrot w przypadku sporu, przy uwzględnieniu wszystkich okoliczności.</w:t>
      </w:r>
      <w:r>
        <w:rPr>
          <w:rStyle w:val="Marker"/>
          <w:color w:val="auto"/>
        </w:rPr>
        <w:t xml:space="preserve"> </w:t>
      </w:r>
      <w:r>
        <w:rPr>
          <w:rStyle w:val="Marker"/>
          <w:color w:val="auto"/>
        </w:rPr>
        <w:t xml:space="preserve">Dostawcy nie otrzymują żadnych dalszych rekompensat.</w:t>
      </w:r>
      <w:r>
        <w:rPr>
          <w:rStyle w:val="Marker"/>
          <w:color w:val="auto"/>
        </w:rPr>
        <w:t xml:space="preserve"> </w:t>
      </w:r>
      <w:r>
        <w:rPr>
          <w:rStyle w:val="Marker"/>
          <w:color w:val="auto"/>
        </w:rPr>
        <w:t xml:space="preserve">W celu ułatwienia sobie planowania w odniesieniu do ponoszonych kosztów naukowiec może zwrócić się do dostawcy sieci społecznościowej o przedstawienie bezpłatnego kosztorysu w rozsądnym terminie po przedstawieniu koncepcji ochrony.</w:t>
      </w:r>
    </w:p>
    <w:p w14:paraId="0569302F" w14:textId="40F9020F" w:rsidR="00E11559" w:rsidRPr="0018171E" w:rsidRDefault="00D969A6" w:rsidP="00D969A6">
      <w:pPr>
        <w:pStyle w:val="Text"/>
        <w:rPr>
          <w:rStyle w:val="Marker"/>
          <w:color w:val="auto"/>
        </w:rPr>
      </w:pPr>
      <w:r>
        <w:rPr>
          <w:rStyle w:val="Marker"/>
          <w:color w:val="auto"/>
        </w:rPr>
        <w:t xml:space="preserve">Jeśli naukowcy i dostawca sieci społecznościowej kwestionują istnienie warunków kwalifikowalności, do rozstrzygnięcia tej kwestii powołane są sądy powszechne.</w:t>
      </w:r>
    </w:p>
    <w:p w14:paraId="1A7FF4A4" w14:textId="180DAC81" w:rsidR="00732338" w:rsidRPr="0018171E" w:rsidRDefault="00132D0E" w:rsidP="00132D0E">
      <w:pPr>
        <w:pStyle w:val="Text"/>
        <w:rPr>
          <w:rStyle w:val="Marker"/>
          <w:color w:val="auto"/>
        </w:rPr>
      </w:pPr>
      <w:r>
        <w:rPr>
          <w:rStyle w:val="Marker"/>
          <w:color w:val="auto"/>
        </w:rPr>
        <w:t xml:space="preserve">Wprowadzenie klauzuli dotyczącej badań naukowych uzupełniono wyjaśnieniem dotyczącym obowiązków sprawozdawczych.</w:t>
      </w:r>
      <w:r>
        <w:rPr>
          <w:rStyle w:val="Marker"/>
          <w:color w:val="auto"/>
        </w:rPr>
        <w:t xml:space="preserve"> </w:t>
      </w:r>
      <w:r>
        <w:rPr>
          <w:rStyle w:val="Marker"/>
          <w:color w:val="auto"/>
        </w:rPr>
        <w:t xml:space="preserve">Zgodnie z dotychczasowym § 2 ust. 2 pkt 2 ustawy o poprawie egzekwowania prawa w sieciach społecznościowych należy również przedstawić, czy i w jakim zakresie osoby zajmujące się nauką i badaniami otrzymują wgląd do analizy procedur stosowanych do automatycznego rozpoznawania treści (por. druk Bundestagu 19/18792, s. 43).</w:t>
      </w:r>
      <w:r>
        <w:rPr>
          <w:rStyle w:val="Marker"/>
          <w:color w:val="auto"/>
        </w:rPr>
        <w:t xml:space="preserve"> </w:t>
      </w:r>
      <w:r>
        <w:rPr>
          <w:rStyle w:val="Marker"/>
          <w:color w:val="auto"/>
        </w:rPr>
        <w:t xml:space="preserve">W proponowanym uzupełnieniu § 2 ust. 2 pkt 2 ustawy o poprawie egzekwowania prawa w sieciach społecznościowych wyjaśniono, że odnosi się to również do kwestii udzielania dostępu do informacji dostawcy, w tym informacji przekazywanych zgodnie z § 5a ustawy o poprawie egzekwowania prawa w sieciach społecznościowych.</w:t>
      </w:r>
    </w:p>
    <w:p w14:paraId="5F9F9891" w14:textId="5A8F43C7" w:rsidR="00E97B1F" w:rsidRPr="0018171E" w:rsidRDefault="00E97B1F" w:rsidP="00132D0E">
      <w:pPr>
        <w:pStyle w:val="Text"/>
        <w:rPr>
          <w:rStyle w:val="Marker"/>
          <w:color w:val="auto"/>
        </w:rPr>
      </w:pPr>
      <w:r>
        <w:rPr>
          <w:rStyle w:val="Marker"/>
          <w:color w:val="auto"/>
        </w:rPr>
        <w:t xml:space="preserve">§ 5a podlega ocenie po trzech latach od wejścia w życie.</w:t>
      </w:r>
      <w:r>
        <w:rPr>
          <w:rStyle w:val="Marker"/>
          <w:color w:val="auto"/>
        </w:rPr>
        <w:t xml:space="preserve"> </w:t>
      </w:r>
      <w:r>
        <w:rPr>
          <w:rStyle w:val="Marker"/>
          <w:color w:val="auto"/>
        </w:rPr>
        <w:t xml:space="preserve">Ocena ma na celu określenie, czy i w jakim stopniu osiągnięto zamierzone efekty.</w:t>
      </w:r>
      <w:r>
        <w:rPr>
          <w:rStyle w:val="Marker"/>
          <w:color w:val="auto"/>
        </w:rPr>
        <w:t xml:space="preserve"> </w:t>
      </w:r>
      <w:r>
        <w:rPr>
          <w:rStyle w:val="Marker"/>
          <w:color w:val="auto"/>
        </w:rPr>
        <w:t xml:space="preserve">Obejmuje to w szczególności ustalenie, czy dostarczone informacje przyczyniły się do osiągnięcia leżących u podstaw celów badawczych.</w:t>
      </w:r>
      <w:r>
        <w:rPr>
          <w:rStyle w:val="Marker"/>
          <w:color w:val="auto"/>
        </w:rPr>
        <w:t xml:space="preserve"> </w:t>
      </w:r>
      <w:r>
        <w:rPr>
          <w:rStyle w:val="Marker"/>
          <w:color w:val="auto"/>
        </w:rPr>
        <w:t xml:space="preserve">Należy również ocenić wykonalność rozporządzenia, w szczególności w przypadku sporów między naukowcami a dostawcami sieci społecznościowych dotyczących obowiązku dostarczania informacji.</w:t>
      </w:r>
      <w:r>
        <w:rPr>
          <w:rStyle w:val="Marker"/>
          <w:color w:val="auto"/>
        </w:rPr>
        <w:t xml:space="preserve"> </w:t>
      </w:r>
      <w:r>
        <w:rPr>
          <w:rStyle w:val="Marker"/>
          <w:color w:val="auto"/>
        </w:rPr>
        <w:t xml:space="preserve">W tym względzie należy ustalić, czy celowe wydaje się zaangażowanie organu pośredniczącego dla rozstrzygania różnic w opiniach na temat obowiązku udzielania informacji lub dla uściślenia uzasadnionego wniosku o udzielenie informacji oraz jak taki organ pośredniczący mógłby być zorganizowany.</w:t>
      </w:r>
      <w:r>
        <w:rPr>
          <w:rStyle w:val="Marker"/>
          <w:color w:val="auto"/>
        </w:rPr>
        <w:t xml:space="preserve"> </w:t>
      </w:r>
      <w:r>
        <w:rPr>
          <w:rStyle w:val="Marker"/>
          <w:color w:val="auto"/>
        </w:rPr>
        <w:t xml:space="preserve">Ponadto ocena będzie również dotyczyć tego, czy system zwrotu kosztów, o którym mowa w ust. 8, sprawdził się w praktyce.</w:t>
      </w:r>
    </w:p>
    <w:p w14:paraId="2F6A2064" w14:textId="663911F1" w:rsidR="009F08C0" w:rsidRPr="0018171E" w:rsidRDefault="009F08C0" w:rsidP="0018171E">
      <w:pPr>
        <w:pStyle w:val="Text"/>
        <w:keepNext/>
        <w:rPr>
          <w:rStyle w:val="Marker"/>
          <w:b/>
          <w:color w:val="auto"/>
        </w:rPr>
      </w:pPr>
      <w:r>
        <w:rPr>
          <w:rStyle w:val="Marker"/>
          <w:b/>
          <w:color w:val="auto"/>
        </w:rPr>
        <w:t xml:space="preserve">Do pkt 2</w:t>
      </w:r>
    </w:p>
    <w:p w14:paraId="7D853F30" w14:textId="43DDA2F0" w:rsidR="00132D0E" w:rsidRPr="0018171E" w:rsidRDefault="00132D0E" w:rsidP="00D969A6">
      <w:pPr>
        <w:pStyle w:val="Text"/>
        <w:rPr>
          <w:rStyle w:val="Marker"/>
          <w:color w:val="auto"/>
        </w:rPr>
      </w:pPr>
      <w:r>
        <w:rPr>
          <w:rStyle w:val="Marker"/>
          <w:color w:val="auto"/>
        </w:rPr>
        <w:t xml:space="preserve">Przepisy dotyczące daty wejścia w życie w art. ... zostają uzupełnione w odniesieniu do włączonych zmian do ustawy o poprawie egzekwowania prawa w sieciach społecznościowych.</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 xml:space="preserve">*</w:t>
      </w:r>
      <w:r>
        <w:rPr>
          <w:rStyle w:val="FootnoteReference"/>
          <w:vertAlign w:val="baseline"/>
        </w:rPr>
        <w:t xml:space="preserve">)</w:t>
      </w:r>
      <w:r>
        <w:tab/>
        <w:t xml:space="preserve">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3</TotalTime>
  <Pages>7</Pages>
  <Words>2996</Words>
  <Characters>17079</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Liu, Lei</cp:lastModifiedBy>
  <cp:revision>3</cp:revision>
  <cp:lastPrinted>2020-12-08T16:22:00Z</cp:lastPrinted>
  <dcterms:created xsi:type="dcterms:W3CDTF">2021-01-28T12:34:00Z</dcterms:created>
  <dcterms:modified xsi:type="dcterms:W3CDTF">2021-01-28T13:55:00Z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