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Statutul de punere în aplicare a reglementărilor în temeiul articolului 84 alineatul (8) din Tratatul de stat privind mass-media (MStV) pentru a facilita accesul la ofertele private</w:t>
      </w:r>
    </w:p>
    <w:p w14:paraId="562CFE12" w14:textId="77777777" w:rsidR="00FC378D" w:rsidRPr="00FC378D" w:rsidRDefault="00FC378D" w:rsidP="002A3743">
      <w:pPr>
        <w:spacing w:after="0" w:line="320" w:lineRule="atLeast"/>
        <w:jc w:val="center"/>
        <w:rPr>
          <w:b/>
          <w:sz w:val="28"/>
        </w:rPr>
      </w:pPr>
      <w:r>
        <w:rPr>
          <w:b/>
          <w:sz w:val="28"/>
        </w:rPr>
        <w:t>(Statutul privind valoarea publică)</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Preambul</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Accesibilitatea devine din ce în ce mai importantă pentru ofertele de conținut – în special online. Cantitatea și varietatea din ce în ce mai mari de oferte îngreunează oferta jurnalistică intensivă din punctul de vedere al costurilor, de pildă, pentru a genera atenția necesară refinanțării.</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Mecanismul care facilitează accesul la anumite oferte privind interfețele de utilizare care sunt deosebit de relevante pentru formarea opiniei publice, astfel cum prevede Tratatul de stat privind mass-media, urmărește două obiective de reglementare fundamentale. Există un beneficiu individual direct pentru beneficiar, care afectează, de asemenea, formarea opiniei publice în ansamblul său. Accesibilitatea facilă este menită să încurajeze actorii existenți care oferă conținut relevant pentru formarea opiniei publice și, de asemenea, să facă acest angajament interesant pentru alți furnizori.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Articolul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Scopul</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Autoritățile naționale din domeniul mass-media stabilesc furnizorii de oferte (denumite în continuare „oferte”) astfel cum sunt definite la articolul 84 alineatele (3), (2) și (4) din Tratatul de stat privind mass-media (MStV) (procedura de determinare), în conformitate cu articolul 84 alineatul (5) din Tratatul  de stat privind mass-media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Articolul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Eligibilitatea pentru depunerea unei cereri</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Următoarele sunt eligibile pentru a depune cererea: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În temeiul articolului 84 alineatul (3) punctul 2 din Tratatul de stat privind mass-media (MStV), ofertele de radiodifuziune din partea furnizorilor privați care contribuie în mod special la diversitatea opiniilor și ofertelor din Germania; sau</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în temeiul articolului 84 alineatul (4) din Tratatul de stat privind mass-media (MStV), ofertele din partea furnizorilor privați de telemedia comparabile sau ofertele în temeiul articolului 2 alineatul (2) și (14) litera (b) din Tratatul de stat privind mass-media (MStV) </w:t>
      </w:r>
      <w:r>
        <w:rPr>
          <w:sz w:val="24"/>
        </w:rPr>
        <w:lastRenderedPageBreak/>
        <w:t>care aduc o contribuție specială la diversitatea opiniilor și ofertelor din Germania sau a aplicațiilor bazate pe programe informatice utilizate pentru a le controla direct.</w:t>
      </w:r>
    </w:p>
    <w:p w14:paraId="32B7D25F" w14:textId="77777777" w:rsidR="00C2786D" w:rsidRDefault="00C2786D" w:rsidP="00C2786D"/>
    <w:p w14:paraId="4CB87D96" w14:textId="5B29FD1F" w:rsidR="00124452" w:rsidRPr="00C2786D" w:rsidRDefault="00C2786D" w:rsidP="00C2786D">
      <w:pPr>
        <w:rPr>
          <w:rFonts w:eastAsia="Times New Roman" w:cstheme="minorHAnsi"/>
          <w:sz w:val="24"/>
          <w:szCs w:val="24"/>
        </w:rPr>
      </w:pPr>
      <w:r>
        <w:t xml:space="preserve">                                                                      </w:t>
      </w:r>
      <w:r w:rsidR="00124452">
        <w:rPr>
          <w:b/>
          <w:sz w:val="28"/>
        </w:rPr>
        <w:t>Articolul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Responsabilitatea și cererea de oferte</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Procedura de determinare este efectuată de Comisia pentru licență și supraveghere (ZAK) [articolul 105 alineatul (1) punctul 9 din Tratatul de stat privind mass-media]. Se inițiază o cerere comună de oferte din partea tuturor autorităților naționale din domeniul mass-media, care ia în considerare avizul Conferinței președinților de comisie (GVK), pentru domeniile ofertelor de imagini în mișcare (video) și audio. Autoritatea națională din domeniul mass-media responsabilă cu procedura este stabilită în cadrul licitațiilor.</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În oferte sunt prevăzute reglementări suplimentare privind procedura și cerințele esențiale pentru depunerea cererilor.</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Cererile de oferte sunt publicate de toate autoritățile naționale din domeniul mass-media într-un mod adecvat și pe site sub denumirea generică de „autorități mass-media”.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Procedura de licitație urmează să înceapă în septembrie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Articolul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Depunerea unei cereri</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(1) Cererile trebuie înaintate în scris către autoritatea națională responsabilă din domeniul mass-media în termenul stabilit în respectiva cerere de ofertă. Cererile trebuie să fie însoțite de documente care să permită o analiză a contribuției la diversitatea de opinii și oferte a ofertei respective sau a aplicației bazate pe software și trebuie să conțină cel puțin următoarele informații: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Fapte din care rezultă că oferta este o ofertă privată de difuzare în temeiul articolului 84 alineatul (3) din Tratatul de stat privind mass-media sau o ofertă privată comparabilă de telemedia în temeiul articolului 84 alineatul (4) din Tratatul de stat privind mass-media sau o ofertă în temeiul articolului 2 alineatele (2) și (14) litera (b) sau o cerere bazată pe programe informatice care este utilizată pentru a o controla în mod direct.</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O descriere a conținutului ofertei și o explicație privind modul în care aceasta aduce o contribuție specială la diversitatea ofertelor și opiniilor din Germania.</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Informații privind criteriile care trebuie respectate în luarea deciziei în temeiul articolului 84 alineatul (5) din Tratatul de stat privind mass-media (MStV) și a articolului 7.</w:t>
      </w:r>
    </w:p>
    <w:p w14:paraId="2876C249" w14:textId="77777777" w:rsidR="00611A0A" w:rsidRDefault="00611A0A" w:rsidP="00611A0A"/>
    <w:p w14:paraId="7F87071E" w14:textId="313B7E03" w:rsidR="004B4D8D" w:rsidRPr="00611A0A" w:rsidRDefault="00611A0A" w:rsidP="00611A0A">
      <w:pPr>
        <w:ind w:left="3540"/>
        <w:rPr>
          <w:rFonts w:eastAsia="Times New Roman" w:cstheme="minorHAnsi"/>
          <w:sz w:val="24"/>
          <w:szCs w:val="24"/>
        </w:rPr>
      </w:pPr>
      <w:r>
        <w:t xml:space="preserve">        </w:t>
      </w:r>
      <w:r w:rsidR="004B4D8D">
        <w:rPr>
          <w:b/>
          <w:sz w:val="28"/>
        </w:rPr>
        <w:t>Articolul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Procedura:</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Autoritatea națională responsabilă din domeniul mass-media examinează cererile primite. Aceasta verifică dacă sunt îndeplinite condițiile de determinare a respectivei oferte sau aplicații bazate pe software în temeiul articolelor 2, 7 și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Comisia pentru licențe și supraveghere (ZAK) stabilește prin rezoluție dacă sunt îndeplinite condițiile pentru fiecare ofertă sau pentru aplicația software respectivă.</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Determinarea formală este făcută de autoritatea națională responsabilă din domeniul mass-media. Aceasta este obligată să respecte deciziile Comisiei pentru licență și supraveghere (ZAK) în această privință.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Articolul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Finalizarea procedurii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Decizia privind cererea respectivă este emisă solicitantului printr-un act administrativ.</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Determinările făcute se aplică în fiecare caz pe o perioadă de trei ani de la data anunțată în actul administrativ.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Solicitantul trebuie să informeze imediat autoritatea națională responsabilă din domeniul mass-media cu privire la modificările aduse ofertei care au loc înainte sau după decizia privind cererea și care sunt esențiale pentru determinarea în temeiul articolelor 7 și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Decizia în temeiul articolului 6 alineatul (1) poate fi revocată de autoritatea națională responsabilă din domeniul mass-media în cazul în care au loc ulterior modificări semnificative ale ofertei, potrivit cărora oferta nu mai îndeplinește cerințele articolelor 7 și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Articolul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Criterii de determinare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La stabilirea ofertelor în temeiul articolului 84 alineatele (3), (2) și (4) din Tratatul privind mass-media de stat, trebuie luate în considerare numai criteriile menționate la articolul 84 alineatul (5) din Tratatul privind mass-media de stat.</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Cu excepția cazului în care se prevede altfel în Tratatul de stat privind mass-media,</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știrile despre evenimente politice sau contemporane reprezintă o ofertă de conținut jurnalistic și editorial care, pe baza întregii oferte, descrie cât mai completă o secțiune transversală a subzonelor evenimentelor sociale politice și contemporane relevante pentru formarea opiniei publice și care se concentrează pe reflectarea evenimentelor reale;</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informațiile regionale și locale, astfel cum sunt definite la articolul 2 alineatele (2) și (25) din Tratatul de stat privind mass-media (MStV), reprezintă informații care au o legătură clară cu zonele delimitate din punct de vedere cultural și spațial, care pot fi, de asemenea, transnaționale;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ofertele de producție internă sunt cele ale căror producție și prelucrare sunt efectuate și finanțate în întregime sau în principal de către furnizorul responsabil de conținut cu propriile mijloace de producție sau sunt produse cu influența jurnalistică și editorială corespunzătoare. Se consideră, de asemenea, că producțiile realizate pentru o societate de producție după ce aceasta le-a comandat sunt produse interne;</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Ofertele fără bariere sunt cele care sunt accesibile și utilizabile pentru persoanele cu dizabilități în maniera obișnuită în general pentru acestea, în funcție de stadiul actual al tehnologiei și prin utilizarea ajutoarelor necesare fără dificultăți deosebite și, în esență, fără asistență externă;</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Angajații instruiți sunt cei care au urmat un curs de formare profesională sau un curs de studiu corespunzător relevant pentru sarcina lor jurnalistică sau media-tehnică în producția de programe sau care pot face dovada a cel puțin de cinci ani de experiență profesională. Activitatea auxiliară subordonată nu trebuie inclusă;</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Operele europene sunt cele definite la articolul 3 alineatul (4) din statutul comun al autorităților naționale din domeniul mass-media privind producțiile europene în temeiul articolului 77 din Tratatul de stat privind mass-media și</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oferte destinate grupurilor țintă tinere, dacă acestea sunt în mod clar destinate copiilor sau tinerilor adulți cu vârsta de până la 29 ani. Se iau în considerare următoarele aspecte: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Ofertele care nu pot fi întrerupte de publicitate radio sau teleshopping în temeiul articolului 9 alineatul (1) din Tratatul de stat privind mass-media sau, în cazul unui conținut difuzat cu o orientare similară conținutului care urmează să fie clasificat, nu pot fi întrerupte de publicitate radio sau teleshopping în temeiul articolului 9 alineatul (1) din Tratatul privind mass-media de stat (oferte pentru copii);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Ofertele care, după o analiză generală de la caz la caz a conținutului, formei și timpului de emisie, vizează în mod clar un grup țintă cu vârsta cuprinsă între 14-29 ani (oferte pentru adolescenți și tineri adulți), în măsura în care se concentrează pe informații, astfel cum sunt definite la articolul 2 alineatele (2) și (25) din Tratatul de stat privind mass-media (MStV).</w:t>
      </w:r>
    </w:p>
    <w:p w14:paraId="4F7BC33B" w14:textId="77777777" w:rsidR="000064CB" w:rsidRDefault="000064CB" w:rsidP="000064CB">
      <w:pPr>
        <w:pStyle w:val="ListParagraph"/>
      </w:pPr>
    </w:p>
    <w:p w14:paraId="5B129883" w14:textId="77777777"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Articolul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Principii de bază în luarea deciziei</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Determinarea se face cu o viziune de ansamblu bazată pe următoarele principii de bază:</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Ofertele care practic nu respectă principiile jurnalistice recunoscute și alte cerințe ale Tratatului de stat privind mass-media nu sunt adecvate pentru a aduce o contribuție notabilă la diversitatea opiniilor și ofertelor.</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În măsura în care cerințele statutare corespunzătoare sunt relevante pentru criteriile prevăzute la articolul 7, numai măsurile care depășesc îndeplinirea acestor proiecte statutare sunt luate în considerare la luarea deciziei.</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Atunci când se stabilește o contribuție specială la diversitatea opiniilor și a ofertelor, ar trebui să se acorde prioritate porțiunii de timp dedicate știrilor din evenimentele politice și contemporane și porțiunii de timp dedicate informațiilor regionale și locale, precum și cotei de oferte pentru grupurile țintă tinere.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În cazul ofertelor de radiodifuziune, astfel cum sunt definite la articolul 84 alineatele (3) și (1) din Tratatul de stat privind mass-media, trebuie să se țină seama de regularitatea emisiunii, de durata și de timpul programării emisiunilor relevante în ceea ce privește criteriile prevăzute la articolul 7 alineatele (1), (2), (4) și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În cazul ofertelor de telemedia, astfel cum sunt definite la articolul 84 alineatul (4) din Tratatul de stat privind mass-media, actualizarea periodică, timpul sau alt domeniu de aplicare, precum și plasarea și accesibilitatea în cadrul ofertei de telemedia trebuie luate în considerare în privința criteriilor prevăzute la articolul 7 alineatele (1), (2), (4) și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Ca parte a determinării unui procent mai mare de personal format, astfel cum este definit la articolul 7 alineatul (5), care are un efect pozitiv asupra gradului special de contribuție la diversitatea opiniilor și ofertelor, ar trebui să se ia în considerare numai proporțiile de cel puțin trei la unu de personal format în raport cu personalul stagiar.</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lastRenderedPageBreak/>
        <w:t>Articolul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Punerea în aplicare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Odată finalizată procedura de determinare, autoritățile naționale din domeniul mass-media vor publica o listă pentru ofertele de imagini în mișcare (video) și o listă pentru ofertele audio pe site sub denumirea generică „autoritățile din domeniul mass-media” pentru punerea în aplicare de către furnizorii de interfețe cu utilizatorul.</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Trebuie să fie ușor și posibil în orice moment pentru utilizator să identifice sortarea și aranjarea ofertelor, care au fost stabilite de autoritățile naționale responsabile din domeniul mass-media, în interfețele de utilizator.</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Ordinea listelor stabilite de Comisia pentru licență și supraveghere (ZAK) în calitate de organ de conducere al autorității naționale responsabile din domeniul mass-media rezultă din viziunea generală realizată în temeiul articolului 7 și al articolului 8. În cazul în care și în măsura în care furnizorul unei interfețe cu utilizatorul afișează o secvență de sortare și aranjare a ofertelor, listele publicate în conformitate cu alineatul (1) se utilizează ca bază.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Autoritatea națională responsabilă din domeniul mass-media are sarcina de a lucra la un acord cu furnizorii de programe finanțate prin contribuția statutară și cu ofertele telemedia aferente cu privire la ordinea prezentării.</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Articolul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Intrare în vigoare</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Prezentul statut intră în vigoare la 1 septembrie 2021. În cazul în care statutul corespunzător nu a fost emis și publicat de către toate autoritățile naționale din domeniul mass-media până la 31 august 2021, acest statut va deveni irelevant. Președintele Conferinței directorilor autorităților naționale din domeniul mass-media (DLM) publică pe site-ul web sub denumirea generică „autoritățile din domeniul mass-media” dacă toate autoritățile naționale din domeniul mass-media au emis și au publicat statutele corespunzătoare în termenul tezei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9F870" w14:textId="77777777" w:rsidR="008E659D" w:rsidRDefault="008E659D" w:rsidP="001D484A">
      <w:pPr>
        <w:spacing w:after="0" w:line="240" w:lineRule="auto"/>
      </w:pPr>
      <w:r>
        <w:separator/>
      </w:r>
    </w:p>
  </w:endnote>
  <w:endnote w:type="continuationSeparator" w:id="0">
    <w:p w14:paraId="4A0DB454" w14:textId="77777777" w:rsidR="008E659D" w:rsidRDefault="008E659D"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FB309" w14:textId="77777777" w:rsidR="008E659D" w:rsidRDefault="008E659D" w:rsidP="001D484A">
      <w:pPr>
        <w:spacing w:after="0" w:line="240" w:lineRule="auto"/>
      </w:pPr>
      <w:r>
        <w:separator/>
      </w:r>
    </w:p>
  </w:footnote>
  <w:footnote w:type="continuationSeparator" w:id="0">
    <w:p w14:paraId="6A7F6DE5" w14:textId="77777777" w:rsidR="008E659D" w:rsidRDefault="008E659D"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Notificate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1A0A"/>
    <w:rsid w:val="00612BF0"/>
    <w:rsid w:val="00612D2D"/>
    <w:rsid w:val="00625CBC"/>
    <w:rsid w:val="0064609D"/>
    <w:rsid w:val="00665DD6"/>
    <w:rsid w:val="00665EC3"/>
    <w:rsid w:val="006672EC"/>
    <w:rsid w:val="0067682E"/>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E659D"/>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2786D"/>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1968</Words>
  <Characters>11222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7</cp:revision>
  <cp:lastPrinted>2021-01-25T10:29:00Z</cp:lastPrinted>
  <dcterms:created xsi:type="dcterms:W3CDTF">2021-04-01T05:34:00Z</dcterms:created>
  <dcterms:modified xsi:type="dcterms:W3CDTF">2021-04-13T16:02:00Z</dcterms:modified>
</cp:coreProperties>
</file>