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rPr>
        <w:t>1. ------IND- 2020 0486 L-- SL- ------ 20200812 --- --- PROJET</w:t>
      </w:r>
    </w:p>
    <w:p w14:paraId="5AB4C723" w14:textId="5E46F097" w:rsidR="007104F8" w:rsidRPr="008E1574" w:rsidRDefault="007104F8" w:rsidP="00206537">
      <w:pPr>
        <w:keepNext/>
        <w:keepLines/>
        <w:jc w:val="center"/>
        <w:rPr>
          <w:b/>
          <w:sz w:val="32"/>
          <w:szCs w:val="32"/>
        </w:rPr>
      </w:pPr>
      <w:r>
        <w:rPr>
          <w:b/>
          <w:sz w:val="32"/>
        </w:rPr>
        <w:t>Osnutek zakona o zmanjšanju vpliva nekaterih plastičnih proizvodov na okolje</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rPr>
        <w:t>Člen 1. Cilji</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rPr>
        <w:t>Cilj tega zakona je preprečiti in zmanjšati vpliv nekaterih plastičnih proizvodov na okolje, zlasti vodno okolje, in zdravje ljudi ter s poslovnimi modeli spodbuditi prehod na krožno gospodarstvo, inovativne in trajnostne proizvode in materiale ter tako prispevati tudi k učinkovitemu delovanju notranjega trga.</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Člen 2. Področje uporabe</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Ta zakon se uporablja za plastične proizvode za enkratno uporabo iz Priloge, proizvode, proizvedene na osnovi okso-razgradljive plastike, in ribolovno orodje, ki vsebuje plastiko.</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Gre za poseben zakon, povezan z Zakonom z dne 21. marca 2012 o odpadkih in virih, kakor je bil spremenjen (v nadaljnjem besedilu: zakon z dne 21. marca 2012), in Zakonom z dne 21. marca 2017 o embalaži in odpadni embalaži, kakor je bil spremenjen.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rPr>
        <w:t>Člen 3. Opredelitev pojmov</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V tem zakonu se uporabljajo naslednje opredelitve: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 „odpadno ribolovno orodje“: vsako ribolovno orodje, ki ustreza opredelitvi odpadka iz člena 4 zakona z dne 21. marca 2012, vključno z vsemi ločenimi sestavnimi deli, snovmi ali materiali, ki so bili del takega ribolovnega orodja ali pritrjeni nanj, ko je bilo zavrženo, med drugim tudi, ko je bilo zapuščeno ali izgubljeno;</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„embalaža“: embalaža v smislu člena 3 Zakona z dne 21. marca 2017 o embalaži in odpadni embalaži, kakor je bil spremenjen;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3. „ribolovno orodje“: vsaka oprema ali njen del, ki se uporablja v ribištvu ali akvakulturi za iskanje, lovljenje ali gojenje morskih bioloških virov ali ki plava na morski gladini in se uporablja za privabljanje in lovljenje ali gojenje takih morskih bioloških virov;</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4. „omogočanje dostopnosti na trgu“: dobava proizvoda za distribucijo, porabo ali uporabo na luksemburškem trgu v okviru gospodarske dejavnosti, bodisi odplačno ali neodplačno;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5. „dajanje na trg“: prvo omogočanje dostopnosti proizvoda na luksemburškem trgu;</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6.„harmonizirani standard“: harmonizirani standard, kot je opredeljen v točki 1(c) člena 2 Uredbe (EU) št. 1025/2012; </w:t>
      </w:r>
    </w:p>
    <w:p w14:paraId="013F9AF4" w14:textId="77777777" w:rsidR="007104F8" w:rsidRPr="001514F5" w:rsidRDefault="007104F8" w:rsidP="007104F8">
      <w:pPr>
        <w:pStyle w:val="Article"/>
        <w:numPr>
          <w:ilvl w:val="0"/>
          <w:numId w:val="0"/>
        </w:numPr>
        <w:spacing w:before="240"/>
        <w:rPr>
          <w:rFonts w:asciiTheme="minorHAnsi" w:hAnsiTheme="minorHAnsi" w:cs="TimesNewRoman"/>
          <w:b w:val="0"/>
          <w:spacing w:val="-4"/>
          <w:sz w:val="24"/>
          <w:szCs w:val="24"/>
        </w:rPr>
      </w:pPr>
      <w:r w:rsidRPr="001514F5">
        <w:rPr>
          <w:rFonts w:asciiTheme="minorHAnsi" w:hAnsiTheme="minorHAnsi"/>
          <w:b w:val="0"/>
          <w:spacing w:val="-4"/>
          <w:sz w:val="24"/>
        </w:rPr>
        <w:lastRenderedPageBreak/>
        <w:t xml:space="preserve">7. „plastika“: material, sestavljen iz polimera v smislu člena 3(5) Uredbe (ES) št. 1907/2006, ki so mu lahko dodani aditivi ali druge snovi ter se lahko uporabi kot glavna strukturna komponenta končnih proizvodov, vključno z gumijastimi proizvodi s polimerno osnovo ter biološko in biološko razgradljivo plastiko, ne glede na to, ali je pridobljena iz biomase ali pa se sčasoma biološko razgradi.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Ta opredelitev pojma izključuje naravne polimere, ki niso bili kemično modificirani;</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8. „biološko razgradljiva plastika“: plastika, ki se lahko fizično in biološko razgradi, tako da se na koncu razgradi v ogljikov dioksid (CO</w:t>
      </w:r>
      <w:r>
        <w:rPr>
          <w:rFonts w:asciiTheme="minorHAnsi" w:hAnsiTheme="minorHAnsi"/>
          <w:b w:val="0"/>
          <w:sz w:val="24"/>
          <w:vertAlign w:val="subscript"/>
        </w:rPr>
        <w:t>2</w:t>
      </w:r>
      <w:r>
        <w:rPr>
          <w:rFonts w:asciiTheme="minorHAnsi" w:hAnsiTheme="minorHAnsi"/>
          <w:b w:val="0"/>
          <w:sz w:val="24"/>
        </w:rPr>
        <w:t>), biomaso in vodo, ter je skladna z evropskimi standardi za embalažo, ki jo je mogoče predelati s kompostiranjem in anaerobno presnovo;</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9. „okso-razgradljiva plastika“: plastični materiali, ki vključujejo aditive, ki z oksidacijo povzročijo razpad plastičnega materiala na mikrodelce ali kemično razgradnjo;</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10. „tobačni izdelki“: tobačni izdelki v smislu točke (1)(a) člena 2 Zakona z dne 11. avgusta 2006 o boju proti tobaku, kakor je bil spremenjen;</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11. „plastični proizvod za enkratno uporabo“: proizvod, ki je v celoti ali delno izdelan iz plastike ter ni zasnovan, oblikovan ali dan na trg, da bi v svoji življenjski dobi opravil več poti ali kroženj, tako da bi se vrnil proizvajalcu za ponovno polnjenje ali ponovno uporabo za isti namen, za katerega je bil zasnovan.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Uporabljajo se opredelitve pojmov „odpadki“, „zbiranje“, „ločeno zbiranje“, „obdelava“, „proizvajalec proizvodov“ in „sistem razširjene odgovornosti proizvajalca“, navedene v členu 4 zakona z dne 21. marca 2012, kakor je bil spremenjen.</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Člen 4. Zmanjšanje porabe</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Proizvajalci proizvodov sprejmejo ukrepe, ki zagotavljajo izmerljivo kvantitativno zmanjšanje porabe plastičnih proizvodov za enkratno uporabo, navedenih v delu A Priloge, do leta 2026 v primerjavi z letom 2022. To zmanjšanje mora biti za zadevno obdobje najmanj 20-odstotno glede na število enot, danih na trg. Po 1. januarju 2026 je treba vsako leto doseči vsaj 10-odstotno zmanjšanje glede na količine, dane na trg v preteklem letu. Proizvajalci proizvodov morajo to obveznost naložiti pooblaščenemu organu v skladu s členom 19 zakona z dne 21. marca 2012.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Minister, pristojen za okolje (v nadaljnjem besedilu: minister), usklajuje ukrepe, potrebne za doseganje bistvenega in vzdržnega zmanjšanja porabe plastičnih proizvodov za enkratno uporabo, navedenih v delu A Priloge, v skladu s splošnimi političnimi cilji Unije glede odpadkov, zlasti glede preprečevanja odpadkov, da bi bistveno spremenili trende naraščajoče porabe.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Uprava za okolje zagotovi nadzorovanje plastičnih proizvodov za enkratno uporabo, navedenih v delu A Priloge, ki so dani na trg, kot tudi sprejete ukrepe za zmanjšanje.</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rPr>
        <w:t>Pooblaščeni organ v ta namen v okviru letnega poročila iz člena 35 zakona z dne 21. marca 2012 sporoči količine plastičnih proizvodov za enkratno uporabo, navedenih v delu A Priloge, dane na razpolago na trgu v preteklem letu.</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rPr>
        <w:lastRenderedPageBreak/>
        <w:t>Člen 5. Omejitev pri dajanju na trg</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Dajanje plastičnih proizvodov za enkratno uporabo iz dela B Priloge in proizvodov iz okso-razgradljive plastike na trg je prepovedano.</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Člen 6. Zahteve za proizvode</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(1) Plastični proizvodi za enkratno uporabo iz delu C Priloge, ki imajo plastične pokrovčke in zamaške, se lahko dajejo na trg le, če pokrovčki in zamaški v fazi predvidene uporabe proizvodov ostanejo pritrjeni na vsebnike.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Kovinski pokrovčki in zamaški, ki imajo tesnilo iz plastike, se ne štejejo za izdelane iz plastike.</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Za plastenke pijač iz dela F Priloge se uporabljajo naslednje zahteve: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rPr>
        <w:t xml:space="preserve">1. plastenke pijač iz dela F Priloge, izdelane iz polietilen tereftalata kot glavne komponente (plastenke PET), od leta 2025 vsebujejo najmanj 25 % reciklirane plastike, izračunano kot povprečje za vse plastenke PET, ki jih da na trg </w:t>
      </w:r>
      <w:bookmarkStart w:id="1" w:name="_Hlk25242138"/>
      <w:r>
        <w:rPr>
          <w:rFonts w:asciiTheme="minorHAnsi" w:hAnsiTheme="minorHAnsi"/>
          <w:b w:val="0"/>
          <w:sz w:val="24"/>
        </w:rPr>
        <w:t>isti proizvajalec</w:t>
      </w:r>
      <w:bookmarkEnd w:id="1"/>
      <w:r>
        <w:rPr>
          <w:rFonts w:asciiTheme="minorHAnsi" w:hAnsiTheme="minorHAnsi"/>
          <w:b w:val="0"/>
          <w:sz w:val="24"/>
        </w:rPr>
        <w:t>; in</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rPr>
        <w:t>2. plastenke pijač iz dela F Priloge od leta 2030 vsebujejo najmanj 30 % reciklirane plastike, izračunano kot povprečje za vse take plastenke pijač, ki jih daje na trg isti proizvajalec.</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V ta namen pooblaščeni organ v skladu s členom 19 zakona z dne 21. marca 2012 v okviru letnega poročila iz člena 35 navedenega zakona sporoči količine plastenk PET, danih na razpolago na trg v preteklem letu, in povprečno odstotno vrednost reciklirane plastike teh plastenk. Če izvedbeni akt Evropske unije ni na voljo, podrobna pravila glede izračuna in preverjanja ciljev določi Uprava za okolje.</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 xml:space="preserve">Člen 7. Zahteve za označevanje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(1) Na embalaži vsakega plastičnega proizvoda za enkratno uporabo iz dela D Priloge, danem na trg, ali na samem proizvodu mora biti vidna in jasna čitljiva oznaka, ki je ni mogoče izbrisati in ki potrošnike obvešča o:</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rPr>
        <w:t>1. ustreznih možnostih za ravnanje z odpadki iz proizvoda ali načinih odstranjevanja odpadkov, ki se jim je treba pri tem proizvodu izogibati, v skladu s hierarhijo ravnanja z odpadki; in</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rPr>
        <w:t>2. prisotnosti plastike v proizvodu in posledičnem negativnem vplivu smetenja ali drugih neustreznih načinov odstranjevanja odpadnega proizvoda na okolje.</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(2) Določbe iz tega člena v zvezi s tobačnimi izdelki se dodajo določbam iz Zakona z dne 11. avgusta 2006 o boju proti tobaku, kakor je bil spremenjen.</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lastRenderedPageBreak/>
        <w:t>Člen 8. Razširjena odgovornost proizvajalca</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(1) Za vse plastične proizvode za enkratno uporabo iz dela E Priloge in za celotno ribolovno orodje, ki vsebuje plastiko, se vzpostavijo sistemi razširjene odgovornosti proizvajalca v skladu z ustreznimi določbami zakona z dne 21. marca 2012.</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(2) Proizvajalci plastičnih proizvodov za enkratno uporabo iz oddelka I dela E Priloge krijejo stroške v skladu z določbami glede razširjene odgovornosti proizvajalca iz zakona z dne 21. marca 2012 in zakona z dne 21. marca 2017 o embalaži in odpadni embalaži in krijejo tudi naslednje stroške, v kolikor še niso zajeti: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stroške ukrepov za ozaveščanje iz člena 10 v zvezi s temi proizvodi;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2) stroške zbiranja odpadkov teh proizvodov, ki se zavržejo v javne sisteme za zbiranje odpadkov, vključno s tistimi, ki so povezani z infrastrukturo in njenim delovanjem, ter naknadnega prevoza in obdelave teh odpadkov; in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3) stroške čiščenja okolja zaradi odvrženih smeti, ki izvirajo iz teh proizvodov ter naknadnega prevoza in obdelave teh smeti.</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rPr>
        <w:t xml:space="preserve">(3) Proizvajalci plastičnih proizvodov za enkratno uporabo iz oddelkov II </w:t>
      </w:r>
      <w:bookmarkEnd w:id="2"/>
      <w:r>
        <w:rPr>
          <w:rFonts w:asciiTheme="minorHAnsi" w:hAnsiTheme="minorHAnsi"/>
          <w:b w:val="0"/>
          <w:sz w:val="24"/>
        </w:rPr>
        <w:t>in III dela E Priloge krijejo vsaj naslednje stroške</w:t>
      </w:r>
      <w:bookmarkStart w:id="3" w:name="_Hlk33179167"/>
      <w:r>
        <w:rPr>
          <w:rFonts w:asciiTheme="minorHAnsi" w:hAnsiTheme="minorHAnsi"/>
          <w:b w:val="0"/>
          <w:sz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1) stroške ukrepov za ozaveščanje iz člena 10 v zvezi s temi proizvodi;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2) stroške čiščenja okolja zaradi odvrženih smeti, ki izvirajo iz teh proizvodov, ter naknadnega prevoza in obdelave teh smeti, in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 xml:space="preserve">3) stroške zbiranja podatkov in njihovega posredovanja v skladu s členom 19 zakona z dne 21. marca 2012. </w:t>
      </w:r>
    </w:p>
    <w:p w14:paraId="023DC410" w14:textId="77777777" w:rsidR="007104F8"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Kar zadeva plastične proizvode za enkratno uporabo iz oddelka III dela E Priloge, proizvajalci plastičnih proizvodov krijejo tudi stroške zbiranja odpadkov teh proizvodov, ki se zavržejo v javne sisteme za zbiranje odpadkov, vključno s tistimi, ki so povezani z infrastrukturo in njenim delovanjem, ter naknadnega prevoza in obdelave teh odpadkov. Stroški lahko vključuje stroške vzpostavitve posebne infrastrukture za zbiranje odpadkov teh proizvodov, kot so ustrezne posode za odpadke, nameščene na lokacijah, ki so najbolj obremenjene zaradi smetenja.</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(4) Proizvajalci plastičnih proizvodov za enkratno uporabo iz oddelka III dela E morajo sprejeti potrebne ukrepe za preprečitev puščanja in zapuščanja proizvodov, ki so postali odpadki, in nenadzorovanega ravnanja z njimi.</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Po 1. januarju 2024 je vsako leto treba doseči vsaj 10-odstotno zmanjšanje glede na količine, zavržene v preteklem letu. Pristojna uprava izdela in objavi metodologijo za kvantitativno določanje zavrženih količin in preverjanje zmanjšanja.</w:t>
      </w:r>
    </w:p>
    <w:p w14:paraId="2FA016B7"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lastRenderedPageBreak/>
        <w:t xml:space="preserve">(5) Nastali stroški iz odstavkov 2 in 3 ne presegajo stroškov, potrebnih za stroškovno učinkovito zagotavljanje storitev, in se med zadevnimi udeleženci določijo na pregleden način. Stroški čiščenja okolja zaradi odvrženih smeti se omejijo na dejavnosti, ki jih izvajajo javni organi ali se izvajajo v njihovem imenu. Metodologija za izračun je zasnovana tako, da omogoča določitev stroškov čiščenja okolja zaradi odvrženih smeti na sorazmeren način. Za čim večje zmanjšanje upravnih stroškov se lahko določijo finančni prispevki za stroške čiščenja okolja zaradi odvrženih smeti z določitvijo ustreznih nespremenljivih večletnih zneskov.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(6) Proizvajalci proizvodov s sedežem v drugi državi članici Evropske unije, ki dajejo proizvode na luksemburški trg, lahko imenujejo fizično ali pravno osebo s sedežem na nacionalnem ozemlju ali v drugi državi članici za pooblaščenega zastopnika, odgovornega za izpolnjevanje obveznosti proizvajalcev, povezanih s sistemi razširjene odgovornosti proizvajalca.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(7) Vsak proizvajalec s sedežem v Velikem vojvodstvu Luksemburg, ki plastične proizvode za enkratno uporabo iz dela E Priloge in ribolovno orodje, ki vsebuje plastiko, prodaja v drugi državi članici Evropske unije, v kateri nima sedeža, mora v tej državi članici Evropske unije imenovati pooblaščenega zastopnika. Pooblaščeni zastopnik je oseba, odgovorna za izpolnjevanje obveznosti, ki jih ima zadevni proizvajalec v skladu s tem zakonom, na ozemlju te druge države članice Evropske unije.</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(8) Kar zadeva sisteme razširjene odgovornosti proizvajalca in ribolovno orodje, ki vsebuje plastiko, morajo proizvajalci ribolovnega orodja, ki vsebuje plastiko, kriti stroške ločenega zbiranja odpadkov ribolovnega orodja, ki vsebuje plastiko in je bilo odločeno v posebnem sistemu zbiranja, ter stroške naknadnega prevoza in obdelave.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Proizvajalci krijejo tudi stroške ukrepov za ozaveščanje iz člena 10 v zvezi z ribolovnim orodjem, ki vsebuje plastiko.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Člen 9. Ločeno zbiranje</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Za namene recikliranja mora količina ločeno zbranih odpadkov plastičnih proizvodov za enkratno uporabo iz dela F Priloge znašati: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a) do leta 2025 </w:t>
      </w:r>
      <w:bookmarkStart w:id="4" w:name="_Hlk25246527"/>
      <w:r>
        <w:rPr>
          <w:rFonts w:asciiTheme="minorHAnsi" w:hAnsiTheme="minorHAnsi"/>
          <w:b w:val="0"/>
          <w:sz w:val="24"/>
        </w:rPr>
        <w:t>77 masnih % celotne količine teh odpadnih proizvodov, nastalih v posameznem letu, vključno z odvrženimi smetmi</w:t>
      </w:r>
      <w:bookmarkEnd w:id="4"/>
      <w:r>
        <w:rPr>
          <w:rFonts w:asciiTheme="minorHAnsi" w:hAnsiTheme="minorHAnsi"/>
          <w:b w:val="0"/>
          <w:sz w:val="24"/>
        </w:rPr>
        <w:t xml:space="preserve">; </w:t>
      </w:r>
    </w:p>
    <w:p w14:paraId="39395F5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a) do leta 2029 90 masnih % celotne količine teh odpadnih proizvodov, nastalih v posameznem letu, vključno z odvrženimi smetmi.</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rPr>
        <w:t>Člen 10. Ukrepi za ozaveščanje</w:t>
      </w:r>
    </w:p>
    <w:p w14:paraId="148EAE3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rPr>
        <w:t xml:space="preserve">Uprava za okolje in Uprava za upravljanje z vodnimi viri v skladu s svojimi pristojnostmi zagotavljata obveščanje potrošnikov in spodbujanje odgovornega vedenja potrošnikov, da bi zmanjšali smetenje z odpadki iz proizvodov, zajetih v tem zakonu, in zagotovita obveščanje potrošnikov plastičnih proizvodov za enkratno uporabo iz dela G Priloge in uporabnikov ribolovnega orodja, ki vsebuje plastiko, o naslednjem: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lastRenderedPageBreak/>
        <w:t xml:space="preserve">1. razpoložljivih alternativnih proizvodih za ponovno uporabo, sistemih za ponovno uporabo in možnostih ravnanja z odpadki navedenih plastičnih proizvodov za enkratno uporabo in ribolovnega orodja, ki vsebuje plastiko, ter o dobrih praksah na področju ustreznega ravnanja z odpadki v skladu s členom 10 zakona z dne 21. marca 2012;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2. vplivu smetenja in drugega neustreznega odstranjevanja odpadkov navedenih plastičnih proizvodov za enkratno uporabo in ribolovnega orodja, ki vsebuje plastiko, na okolje, zlasti morsko, ter</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rPr>
        <w:t>3. vplivu neustreznih načinov odstranjevanja odpadkov navedenih proizvodov za enkratno uporabo na kanalizacijsko omrežje.</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rPr>
        <w:t>Člen 11. Usklajevanje ukrepov</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Brez poseganja v prvi pododstavek člen 4(1) so ukrepi, sprejeti v okviru tega zakona, sestavni del njegovih programov ukrepov, vzpostavljenih v skladu z Zakonom z dne 19. decembra 2008 o vodi, kakor je bil spremenjen, načrtov za ravnanje z odpadki in programov za preprečevanje odpadkov, vzpostavljenih v skladu z zakonom z dne 21. marca 2012, ter skladni s temi programi in načrti.</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 xml:space="preserve">Ukrepi, sprejeti v skladu s členi 4 do 9, morajo biti skladni z določbami v zvezi z živili, da se zagotovi, da higiena in varnost živil nista ogroženi.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rPr>
        <w:t>Uprava za okolje in Direktorat za zdravje v skladu s svojimi pristojnostmi v zvezi z materiali, ki so v stiku z živili, namesto plastike za enkratno uporabo spodbujata uporabo trajnostih alternativnih rešitev.</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rPr>
        <w:t>Člen 12. Specifikacije in smernice za plastične proizvode za enkratno uporabo</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Pri ugotavljanju, ali posoda za živilo šteje za plastični proizvod za enkratno uporabo za namene tega zakona, ima poleg meril iz Priloge, ki se uporabljajo za posode za živila, odločilno vlogo verjetnost, da bo posoda za živilo zaradi svoje prostornine ali velikosti odvržena v okolje, zlasti posoda v velikosti enojne porcije.</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rPr>
        <w:t>Člen 13. Upravni ukrepi</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rPr>
        <w:t xml:space="preserve">(1) Minister lahko v primeru neupoštevanja določb iz člena 5, člena 6(1), člena 6(2)(1) in (2), člena 7 in člena 9: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rPr>
        <w:t xml:space="preserve">proizvajalcu ali pooblaščenemu organu določi rok za uskladitev s temi določbami, pri čemer ta rok ne sme biti daljši od dveh let;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rPr>
        <w:t>z začasnim ukrepom deloma ali v celoti prekine dejavnost proizvajalca ali obratovanje obrata oziroma obrat deloma ali v celoti zapre in zapečati.</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(2) Vsaka zainteresirana oseba lahko zahteva uporabo ukrepov iz odstavka 1.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lastRenderedPageBreak/>
        <w:t xml:space="preserve">(3) Ukrepi iz odstavka 1 se lahko ukinejo, če se proizvajalec ali pooblaščeni organ zagotovi izpolnjevanje zadevnih določb.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rPr>
        <w:t>Člen 14. Posebne določbe</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Uporabljajo se naslednje določbe zakona z dne 21. marca 2012:</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členi 44, 45 in 46 v zvezi s preiskavami, ugotavljanjem kršitev ter pooblastili in pristojnostmi glede izvajanja nadzora; in</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člen 50(2) v zvezi s pravico pooblaščenih okoljskih združenj do pritožbe.</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Člen 15. Priloga</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Priloga se lahko spremeni z uredbo Velikega vojvodstva z namenom uskladitve s spremembami zadevne zakonodaje Evropske unije.</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Člen 16. Kazenske sankcije</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rPr>
        <w:t>Z osemdnevno do triletno zaporno kaznijo in globo v višini od 251 EUR do 750 000 EUR ali samo z eno od teh kazni se kaznujejo kršitve iz člena 5, člena 6(1)(1), člena 6(2)(1) in (2), člena 7(1), člena 8(4) in člena 9.</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rPr>
        <w:t xml:space="preserve">Enake kazni se uporabljajo v primeru kršitve ali neizpolnjevanja upravnih ukrepov, sprejetih na podlagi člena 13.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rPr>
        <w:t>Člen 17. Upravne globe</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rPr>
        <w:t>Minister lahko naloži upravno globo v višini od 250 EUR do 10 000 EUR v primeru kršitve člena 4(4) in člena 6(2)(2).</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rPr>
        <w:t xml:space="preserve">Globe je treba plačati v roku dveh mesecev po vročitvi pisnega obvestila o odločbi.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rPr>
        <w:t>Upravne globe pobere Uprava za registracijo, posesti in DDV. Izterjava se izvede na enak način kot pri pristojbinah za registracijo.</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t>Člen 18. Pritožba</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rPr>
        <w:t xml:space="preserve">Zoper odločbe, sprejete na podlagi tega zakona, se je mogoče pritožiti na upravnem sodišču. Postopek pritožbe je treba začeti v roku štiridesetih dni po vročitvi odločbe, sicer se pravica do pritožbe razveljavi.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rPr>
        <w:lastRenderedPageBreak/>
        <w:t>Člen 19. Začetek veljavnosti</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rPr>
        <w:t>Ta zakon začne veljati 3. julija 2021.</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rPr>
        <w:t>Določbe člena 6(1) začnejo veljati 3. julija 2024, določbe člena 8 pa 31. decembra 2026, razen v primeru plastičnih proizvodov za enkratno uporabo iz oddelka III dela E Priloge, za katere začnejo veljati 5. januarja 2023.</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rPr>
        <w:t>Priloga</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rPr>
        <w:t>DEL 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Plastični proizvodi za enkratno uporabo iz člena 4 o zmanjšanju porabe</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rPr>
        <w:t>1) Lončki za pijačo, vključno z njihovimi pokrovčki in zamaški;</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2) posode za živila, tj. posode, kot so škatle s pokrovom ali brez njega, ki se uporabljajo za shranjevanje živil, ki:</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so namenjena za takojšnje zaužitje iz posode na kraju samem ali jih potrošniki odnesejo s seboj,</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se običajno zaužijejo iz posode in</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 xml:space="preserve">c) se zaužijejo brez nadaljnje priprave, kot je kuhanje, vrenje ali segrevanje,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vključno s posodami za živila, ki se uporabljajo za hitro prehrano ali druge obroke, namenjene za takojšnje zaužitje, razen vsebnikov za pijačo, krožnikov, zavitkov in embalaže s hrano.</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DEL B</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Plastični proizvodi za enkratno uporabo iz člena 5 o omejitvah pri dajanju na trg</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rPr>
        <w:t>1) Vatirane palčke, razen če spadajo v področje uporabe Direktive Sveta 90/385/EGS</w:t>
      </w:r>
      <w:r>
        <w:rPr>
          <w:rStyle w:val="FootnoteReference"/>
          <w:rFonts w:cs="TimesNewRoman"/>
          <w:sz w:val="24"/>
          <w:szCs w:val="24"/>
          <w:lang w:val="fr-LU" w:eastAsia="fr-BE"/>
        </w:rPr>
        <w:footnoteReference w:id="1"/>
      </w:r>
      <w:r>
        <w:rPr>
          <w:sz w:val="24"/>
        </w:rPr>
        <w:t xml:space="preserve"> ali Direktive Sveta 93/42/EGS</w:t>
      </w:r>
      <w:r>
        <w:rPr>
          <w:rStyle w:val="FootnoteReference"/>
          <w:rFonts w:cs="TimesNewRoman"/>
          <w:sz w:val="24"/>
          <w:szCs w:val="24"/>
          <w:lang w:val="fr-LU" w:eastAsia="fr-BE"/>
        </w:rPr>
        <w:footnoteReference w:id="2"/>
      </w:r>
      <w:r>
        <w:rPr>
          <w:sz w:val="24"/>
        </w:rPr>
        <w:t>;</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rPr>
        <w:t>2) pribor (vilice, noži, žlice, palčke);</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rPr>
        <w:lastRenderedPageBreak/>
        <w:t>3) krožniki;</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rPr>
        <w:t>4) slamice, razen če spadajo v področje uporabe Direktive 90/385/EGS ali Direktive 93/42/EGS;</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rPr>
        <w:t>5) mešalne palčke za pijače;</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rPr>
        <w:t>6) palčke za pritrditev na balone in podporo balonov, vključno z mehanizmi takih palčk, razen balonov na palčki za industrijsko ali drugo poklicno rabo in uporabo, ki se ne delijo potrošnikom;</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7) posode za živila iz ekspandiranega polistirena, tj. posode, kot so škatle s pokrovom ali brez njega, ki se uporabljajo za shranjevanje živil, ki:</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so namenjena za takojšnje zaužitje iz posode na kraju samem ali jih potrošniki odnesejo s seboj,</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se običajno zaužijejo iz posode in</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c) se zaužijejo brez nadaljnje priprave, kot je kuhanje, vrenje ali segrevanje,</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vključno s posodami za živila, ki se uporabljajo za hitro prehrano ali druge obroke, namenjene za takojšnje zaužitje, razen vsebnikov za pijačo, krožnikov, zavitkov in ovojev s hrano;</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rPr>
        <w:t>8) Vsebniki za pijačo iz ekspandiranega polistirena, vključno z njihovimi pokrovčki in zamaški;</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rPr>
        <w:t>9) lončki za pijačo iz ekspandiranega polistirena, vključno z njihovimi pokrovčki in zamaški.</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rPr>
        <w:t>DEL C</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Plastični proizvodi za enkratno uporabo iz člena 6(1) o zahtevah za proizvode</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rPr>
        <w:t>Vsebniki za pijačo s prostornino do treh litrov, tj. posode, ki vsebujejo tekočino, npr. plastenke pijač, vključno z njihovimi pokrovčki in zamaški, in sestavljena embalaža za pijače, vključno z njihovimi pokrovčki in zamaški, razen:</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steklenih ali kovinskih vsebnikov za pijačo, katerih pokrovčki in zamaški so izdelani iz plastike,</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b) vsebnikov za pijačo, namenjenih za živila za posebne zdravstvene namene, kot so opredeljena v točki (g) člena 2 Uredbe (EU) št. 609/2013 Evropskega parlamenta in Sveta</w:t>
      </w:r>
      <w:r>
        <w:rPr>
          <w:rStyle w:val="FootnoteReference"/>
          <w:rFonts w:cs="TimesNewRoman"/>
          <w:sz w:val="24"/>
          <w:szCs w:val="24"/>
          <w:lang w:val="fr-LU" w:eastAsia="fr-BE"/>
        </w:rPr>
        <w:footnoteReference w:id="3"/>
      </w:r>
      <w:r>
        <w:rPr>
          <w:sz w:val="24"/>
        </w:rPr>
        <w:t xml:space="preserve"> in ki so v tekoči obliki.</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lastRenderedPageBreak/>
        <w:t>DEL D</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Plastični proizvodi za enkratno uporabo iz člena 7 o zahtevah za označevanje</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rPr>
        <w:t>1) Higienski vložki, tamponi in aplikatorji tamponov;</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rPr>
        <w:t>2) vlažilni robčki, tj. predhodno navlaženi robčki za osebno nego in gospodinjsko uporabo;</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rPr>
        <w:t xml:space="preserve">3) tobačni izdelki s filtri in filtri, ki se tržijo v kombinaciji s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rPr>
        <w:t>tobačnimi izdelki;</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rPr>
        <w:t>4) lončki za pijačo.</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DEL E</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rPr>
        <w:t>I. Plastični proizvodi za enkratno uporabo iz člena 8 o razširjeni odgovornosti proizvajalca</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rPr>
        <w:t>1) Posode za živila, tj. posode, kot so škatle s pokrovom ali brez njega, ki se uporabljajo za shranjevanje živil, ki:</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a) so namenjena za takojšnje zaužitje iz posode na kraju samem ali jih potrošniki odnesejo s seboj,</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b) se običajno zaužijejo iz posode in</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rPr>
        <w:t>c) se zaužijejo brez nadaljnje priprave, kot je kuhanje, vrenje ali segrevanje,</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vključno s posodami za živila, ki se uporabljajo za hitro prehrano ali druge obroke, namenjene za takojšnje zaužitje, razen vsebnikov za pijačo, krožnikov, zavitkov in ovojev s hrano;</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rPr>
        <w:t>2) zavitki in ovoji, izdelani iz prožnega materiala, ki vsebujejo živila, namenjena za takojšnje zaužitje iz zavitka ali ovoja brez kakršne koli druge priprave;</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rPr>
        <w:t>3) vsebniki za pijačo s prostornino do treh litrov, tj. posode, ki vsebujejo tekočino, npr. plastenke pijač, vključno z njihovimi pokrovčki in zamaški, in sestavljena embalaža za pijače, vključno z njihovimi pokrovčki in zamaški, razen steklenih ali kovinskih vsebnikov za pijačo, katerih pokrovčki ali zamaški so izdelani iz plastike;</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rPr>
        <w:t>4) lončki za pijačo, vključno z njihovimi pokrovčki in zamaški;</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rPr>
        <w:t>5) lahke plastične nosilne vrečke, kot so opredeljene v točki 1c člena 3 Direktive 94/62/ES.</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rPr>
        <w:t>II. Plastični proizvodi za enkratno uporabo iz člena 8(3) o razširjeni odgovornosti proizvajalca</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rPr>
        <w:t>1) Vlažilni robčki, tj. predhodno navlaženi robčki za osebno nego in gospodinjsko uporabo;</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rPr>
        <w:lastRenderedPageBreak/>
        <w:t>2) baloni, razen balonov za industrijsko ali drugo poklicno rabo in uporabo, ki se ne delijo potrošnikom.</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rPr>
        <w:t>III. Drugi plastični proizvodi za enkratno uporabo iz člena 8(3) o razširjeni odgovornosti proizvajalca</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rPr>
        <w:t>Tobačni izdelki s filtri in filtri, ki se tržijo v kombinaciji s tobačnimi izdelki.</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DEL F</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rPr>
        <w:t>Plastični proizvodi za enkratno uporabo iz člena 9 o ločenem zbiranju in člena 6(2) o zahtevah za proizvode</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rPr>
        <w:t>Plastenke pijač s prostornino do treh litrov, vključno z njihovimi pokrovčki in pokrovi, razen:</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rPr>
        <w:t>a) steklenih in kovinskih vsebnikov za pijačo, katerih pokrovčki in zamaški so izdelani iz plastike;</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rPr>
        <w:t>b) plastenk pijač, namenjenih za živila za posebne zdravstvene namene, kot so opredeljena v točki (g) člena 2 Uredbe (EU) št. 609/2013 in ki so v tekoči obliki.</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rPr>
        <w:t>DEL G</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rPr>
        <w:t>Plastični proizvodi za enkratno uporabo iz člena 10 o ozaveščanju</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rPr>
        <w:t>1) Posode za živila, tj. posode, kot so škatle s pokrovom ali brez njega, ki se uporabljajo za shranjevanje živil, ki:</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a) so namenjena za takojšnje zaužitje iz posode na kraju samem ali jih potrošniki odnesejo s seboj,</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b) se običajno zaužijejo iz posode in</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rPr>
        <w:t>c) se zaužijejo brez nadaljnje priprave, kot je kuhanje, vrenje ali segrevanje,</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rPr>
        <w:t>vključno s posodami za živila, ki se uporabljajo za hitro prehrano ali druge obroke, namenjene za takojšnje zaužitje, razen vsebnikov za pijačo, krožnikov, zavitkov in ovojev s hrano;</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rPr>
        <w:t>2) zavitki in ovoji, izdelani iz prožnega materiala, ki vsebujejo živila, namenjena za takojšnje zaužitje iz zavitka ali ovoja brez kakršne koli druge priprave;</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rPr>
        <w:t>3) vsebniki za pijačo s prostornino do treh litrov, tj. posode, ki vsebujejo tekočino, npr. plastenke pijač, vključno z njihovimi pokrovčki in zamaški, in sestavljena embalaža za pijače, vključno z njihovimi pokrovčki in zamaški, razen steklenih ali kovinskih vsebnikov za pijačo, katerih pokrovčki ali zamaški so izdelani iz plastike;</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rPr>
        <w:t>4) lončki za pijačo, vključno z njihovimi pokrovčki in zamaški;</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rPr>
        <w:t>5) tobačni izdelki s filtri in filtri, ki se lahko uporabljajo v kombinaciji s tobačnimi izdelki;</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rPr>
        <w:t>6) vlažilni robčki, tj. predhodno navlaženi robčki za osebno nego in gospodinjsko uporabo;</w:t>
      </w:r>
    </w:p>
    <w:p w14:paraId="73D3BDE8"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rPr>
        <w:t>7) Baloni, razen balonov za industrijsko ali drugo poklicno rabo in uporabo, ki se ne delijo potrošnikom;</w:t>
      </w:r>
    </w:p>
    <w:p w14:paraId="55AE158C"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rPr>
        <w:t>8) lahke plastične nosilne vrečke, kot so opredeljene v točki 1c člena 3 Direktive 94/62/ES;</w:t>
      </w:r>
    </w:p>
    <w:p w14:paraId="729A7FE0"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2C28BA80" w14:textId="77777777" w:rsidR="007104F8" w:rsidRDefault="007104F8" w:rsidP="007104F8">
      <w:pPr>
        <w:autoSpaceDE w:val="0"/>
        <w:autoSpaceDN w:val="0"/>
        <w:adjustRightInd w:val="0"/>
        <w:spacing w:after="0" w:line="240" w:lineRule="auto"/>
        <w:rPr>
          <w:rFonts w:cs="TimesNewRoman"/>
          <w:sz w:val="24"/>
          <w:szCs w:val="24"/>
        </w:rPr>
      </w:pPr>
      <w:r>
        <w:rPr>
          <w:sz w:val="24"/>
        </w:rPr>
        <w:t>9) higienski vložki, tamponi in aplikatorji tamponov.</w:t>
      </w:r>
    </w:p>
    <w:p w14:paraId="3187795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48062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21F64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CF25E1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10265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9CBCB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Direktiva Sveta 90/385/EGS z dne 20. junija 1990 o približevanju zakonodaje držav članic o aktivnih medicinskih pripomočkih za vsaditev (UL L 189, 20.7.1990, str. 17).</w:t>
      </w:r>
    </w:p>
  </w:footnote>
  <w:footnote w:id="2">
    <w:p w14:paraId="42EC3717" w14:textId="77777777" w:rsidR="007104F8" w:rsidRPr="006227D4" w:rsidRDefault="007104F8" w:rsidP="007104F8">
      <w:pPr>
        <w:pStyle w:val="FootnoteText"/>
      </w:pPr>
      <w:r>
        <w:rPr>
          <w:rStyle w:val="FootnoteReference"/>
        </w:rPr>
        <w:footnoteRef/>
      </w:r>
      <w:r>
        <w:t xml:space="preserve"> Direktiva Sveta 93/42/EGS z dne 14. junija 1993 o medicinskih pripomočkih (UL L 169, 12.7.1993, str. 1)</w:t>
      </w:r>
    </w:p>
  </w:footnote>
  <w:footnote w:id="3">
    <w:p w14:paraId="7B0A379B" w14:textId="77777777" w:rsidR="007104F8" w:rsidRPr="006227D4" w:rsidRDefault="007104F8" w:rsidP="007104F8">
      <w:pPr>
        <w:pStyle w:val="FootnoteText"/>
      </w:pPr>
      <w:r>
        <w:rPr>
          <w:rStyle w:val="FootnoteReference"/>
        </w:rPr>
        <w:footnoteRef/>
      </w:r>
      <w:r>
        <w:t xml:space="preserve"> Uredba (EU) št. 609/2013 Evropskega parlamenta in Sveta z dne 12. junija 2013 o živilih, namenjenih dojenčkom in majhnim otrokom, živilih za posebne zdravstvene namene in popolnih prehranskih nadomestkih za nadzor nad telesno težo ter razveljavitvi Direktive Sveta 92/52/EGS, direktiv Komisije 96/8/ES, 1999/21/ES, 2006/125/ES in 2006/141/ES, Direktive 2009/39/ES Evropskega parlamenta in Sveta ter uredb Komisije (ES) št. 41/2009 in (ES) št. 953/2009 (UL L 181, 29.6.2013, str.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1514F5"/>
    <w:rsid w:val="00206537"/>
    <w:rsid w:val="00475004"/>
    <w:rsid w:val="007104F8"/>
    <w:rsid w:val="00A613C2"/>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sl-SI"/>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3516</Words>
  <Characters>20045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3</cp:revision>
  <dcterms:created xsi:type="dcterms:W3CDTF">2020-07-29T07:14:00Z</dcterms:created>
  <dcterms:modified xsi:type="dcterms:W3CDTF">2020-08-13T07:43:00Z</dcterms:modified>
</cp:coreProperties>
</file>